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358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A  B  L  A  T  I  O  N     &amp;     B  E  N  C  H  M  A  R  K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A1/A2 消融与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基准执行报告：选择规则的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机制分解与推理成本刻画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v5.0 研究计划（方案 B）阶段报告 · 预注册网格收尾（RQ5 早停消融 + H6 推理基准）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研究项目：固定训练预算下的集成不确定性研究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执行日期：2026 年 10 月 27 日（A1/A2 完成，预注册实验网格 S1+S2+S3+A1+A2 全部闭环）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前置文档：核验报告 Doc 1 · 文献缺口 Doc 2 · 预注册计划 Doc 3 · S1 报告 Doc 4 · S2 报告 Doc 5 · S3 报告 Doc 6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数据环境：torch 2.14.1+cpu（双线程）· A1 3 单元 × 10 种子 0.27 h · A2 31 s</w:t>
            </w:r>
          </w:p>
          <w:p>
            <w:pPr>
              <w:spacing w:before="358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Budget-Matched Ensembles Study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v5.0 Stage Report · Doc 7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一、执行摘要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二、执行记录与数据完整性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">
            <w:r>
              <w:t xml:space="preserve">三、RQ5 判定：选择规则改变基础事实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">
            <w:r>
              <w:t xml:space="preserve">四、分配建议的重新解读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5">
            <w:r>
              <w:t xml:space="preserve">五、选择行为与校准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6">
            <w:r>
              <w:t xml:space="preserve">六、A2：推理成本基准（H6）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七、机制综合：选择规则作为分配相图的隐藏维度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8">
            <w:r>
              <w:t xml:space="preserve">八、预注册假设判定更新（A1/A2 收尾）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9">
            <w:r>
              <w:t xml:space="preserve">九、偏离登记（A1/A2 新增）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0">
            <w:r>
              <w:t xml:space="preserve">十、论文重写：数据就绪与输入清单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1">
            <w:r>
              <w:t xml:space="preserve">十一、可核验性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注：本目录由域代码生成。如编辑后页码发生变化，请在目录上右键选择“更新域”以刷新页码。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一、执行摘要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A1 选择规则消融与 A2 推理基准全部完成。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A1（FMNIST B30/60/120 早停版 Single，3 单元 × 10 种子，训练 wallclock 978 秒 ≈ 0.27 小时，预算约 0.5 小时）以 360 个位级锚点（30 种子 × 12 指标）验证与主网格完全位级一致后，给出了 RQ5 的明确答案：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早停使“单模型预算越大越差”的基础事实基本消失。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最终权重规则下 Single 的测试 NLL 从 B30 到 B120 恶化 +0.2877（p=0.0020，10/10 种子同向）；验证集早停规则下同一恶化缩小 40 倍至 +0.0072（30→120 名义 p=0.0352，但量级 0.007 低于预注册等效界 δ=0.010；分段 30→60 与 60→120 均不显著）。单模型随预算的恶化不是预算的内在属性，而是“取最终权重”这一选择规则与训练后期过度自信的交互产物。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分配建议的方向不变、幅度大减，且出现一个符号反转。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早停规则下 DE(k2)−Single 的收益从 −0.0730/−0.1948/−0.2515（final 规则，B30/60/120）缩水至 −0.0369/−0.0173/+0.0651：B120 处早停 Single（0.3506）反超 DE(k2)（0.4157）——两个 60-epoch 成员各自停在过训区，输给一个停在验证最优的 120-epoch 模型。但最优分配仍在集成侧：B120 处 DE(k8)（0.2909）仍比早停 Single 好 0.0597。机制解读：DeepEns 随 k 的收益中相当一部分来自“成员隐式早停”（短成员 e=B/k 提前脱离过训区），独立重启的净多样性贡献在早停基线校正后约为 0.05 nats。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温度缩放吸收两规则差距的 96%。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B120 处 final 与 ES 的 raw 差距 0.3166，TS 后仅剩 0.0117（final TS 0.3485 vs ES TS 0.3368）；B30/B60 处 TS 后两规则差距分别为 −0.0123/+0.0026（final 略优）。后期恶化的主体是温度型过度自信，早停与温度缩放是两个近似可互换的修复手段——这为 H5 的机制版式提供了选择规则维度的第三重确认。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A2（H6，31 秒完成）：推理成本随成员数 k 线性增长。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概率平均的延迟线性拟合 R² = 0.988–0.9998（MLP：batch=1 每成员 0.069 ms、batch=256 每成员 0.556 ms；CNN：batch=1 每成员 0.411 ms、batch=256 每成员 48.0 ms）；权重存储严格 k×（MLP 0.438 MB/成员，CNN 0.135 MB/成员），常驻内存 RSS 差分 3.5 MB 与 8×0.438 精确吻合。H6 的描述性判据全部满足。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二、执行记录与数据完整性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执行环境与 S1/S2/S3 完全一致（torch 2.14.1+cpu 双线程、numpy 2.1.3、统一种子方案 base=10000+100s）。A1 由专用引擎 code/run_ablation_earlystop.py 执行：训练循环为 common.train_run 的逐行复制（cycles=1 无快照路径）加最优权重跟踪，独立成文件以避免改动被 v1/v2/SWA/S3 引擎共享的 common.py；复制的正确性不靠审查保证而靠数据保证——每种子 final-epoch 指标与 S1 主网格同一 (B, seed) 的 single 记录位级一致（共 30 种子 × 12 指标）。选择规则在运行前写定：逐 epoch 验证 NLL（主引擎本就执行的监控前向，Doc 3 表 5-1 不计入预算）取严格更小者为新最优，平局保留最早 epoch。A1 分片执行 4 次调用全部自然完成（B30/B60 各一次，B120 一次），无重试、无孤儿进程；A2 由 scripts/benchmark_inference.py 一次完成（TORCH_THREADS=2 与网格一致，k∈{1,2,3,5,8}，warmup 10 次后重复 30–400 次，median 与 mean±sd 双报以容纳 CPU 计时抖动）。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2-1 A1 数据完整性核验（scripts/check_a1_integrity.py，七项全过）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109"/>
        <w:gridCol w:w="1055"/>
        <w:gridCol w:w="5624"/>
      </w:tblGrid>
      <w:tr>
        <w:trPr>
          <w:cantSplit/>
          <w:tblHeader/>
        </w:trPr>
        <w:tc>
          <w:tcPr>
            <w:tcW w:type="pct" w:w="12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检查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pct" w:w="32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I1 种子完整性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3/3 单元 PASS</w:t>
            </w:r>
          </w:p>
        </w:tc>
        <w:tc>
          <w:tcPr>
            <w:tcW w:type="pct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每单元恰含种子 0–9，无重复、无截断行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I2 版本戳统一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全部记录与 S1/S2/S3 戳完全一致（torch 2.14.1+cpu / numpy 2.1.3）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I3 配置戳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id=fmnist、budget 正确、消融标记与选择规则（含平局规则）在每条记录在位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I4 final 与 S1 位级一致（raw）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 种子 × {nll, acc, brier, ECE15, ECE10} 全部逐位相等，0 失配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I5 final 与 S1 位级一致（TS）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 种子 × {TS-NLL, acc, brier, ECE15, ECE10, T, val-NLL} 全部逐位相等，0 失配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I6 选择一致性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best_epoch ∈ [1,B]、history 长度 = B、best_val_nll = 验证曲线最小值、平局规则核验通过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I7 ES 指标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全部 ES 指标有限且在位（raw + TS + OOD 探针）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预算记账（Doc 3 表 5-1）：A1 计入训练预算的优化器更新为每种子每单元 B epochs（合计 2,100 epochs）；逐 epoch 验证监控前向与主网格等量等价，不计入。A1 训练 wallclock 978 秒（0.27 h，预算 0.5 h 内）；A2 为纯推理基准，不入训练预算。冒烟记录 smoke/smoke_a1_fmnist_B30_seed0.jsonl 仅为引擎验证（其 final 指标与 S1 位级一致后即弃用），不进入任何分析。</w:t>
      </w:r>
    </w:p>
    <w:p>
      <w:pPr>
        <w:pStyle w:val="Heading1"/>
        <w:spacing w:after="160" w:before="360" w:line="312"/>
      </w:pPr>
      <w:bookmarkStart w:name="_Toc3" w:id="3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三、RQ5 判定：选择规则改变基础事实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RQ5（Doc 3 第一节）：模型选择规则（最终权重 vs 验证集早停）是否改变“单模型预算越大越差”的基础事实，从而改变分配建议？消融设计把该问题拆为三步：规则内对比（T1，早停带来多大修复）、跨预算对比（T2/T3，早停后恶化是否存活）、分配收益对比（T4，见下节）。全部对比为种子内配对，精确符号翻转置换检验（n=10 时未校正下限 p=0.0020），95% t-CI；A1 为消融性分析，无预注册假设或等效界适用，下表量级解读中借用的 δ=0.010 仅为预注册分辨率的参照刻度。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3-1 T1：ES 与 final 的逐预算配对对比（测试 NLL，n=10）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1582"/>
        <w:gridCol w:w="1582"/>
        <w:gridCol w:w="1406"/>
        <w:gridCol w:w="1933"/>
        <w:gridCol w:w="1055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ES NLL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final NLL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配对差 ES−final</w:t>
            </w:r>
          </w:p>
        </w:tc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p（置换）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0.3434 ± 0.0092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0.3795 ± 0.0085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−0.0361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[−0.0426, −0.0296]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0.3491 ± 0.0071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0.5265 ± 0.0139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−0.1774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[−0.1881, −0.1667]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0.3506 ± 0.0062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0.6672 ± 0.0213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−0.3166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[−0.3298, −0.3035]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</w:tr>
    </w:tbl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3-2 T2/T3：跨预算恶化的两规则对照（配对差，n=10）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055"/>
        <w:gridCol w:w="1142"/>
        <w:gridCol w:w="1758"/>
        <w:gridCol w:w="703"/>
        <w:gridCol w:w="1230"/>
        <w:gridCol w:w="1845"/>
        <w:gridCol w:w="703"/>
      </w:tblGrid>
      <w:tr>
        <w:trPr>
          <w:cantSplit/>
          <w:tblHeader/>
        </w:trPr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预算跨度</w:t>
            </w:r>
          </w:p>
        </w:tc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ES 规则恶化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final 规则恶化</w:t>
            </w:r>
          </w:p>
        </w:tc>
        <w:tc>
          <w:tcPr>
            <w:tcW w:type="pct" w:w="10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 → 60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+0.0057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[−0.0004, +0.0118]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0.0723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+0.1470</w:t>
            </w:r>
          </w:p>
        </w:tc>
        <w:tc>
          <w:tcPr>
            <w:tcW w:type="pct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[+0.1367, +0.1573]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60 → 120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+0.0015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[−0.0020, +0.0050]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0.3516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+0.1407</w:t>
            </w:r>
          </w:p>
        </w:tc>
        <w:tc>
          <w:tcPr>
            <w:tcW w:type="pct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[+0.1235, +0.1579]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 → 120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+0.0072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[+0.0008, +0.0136]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0.0352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+0.2877</w:t>
            </w:r>
          </w:p>
        </w:tc>
        <w:tc>
          <w:tcPr>
            <w:tcW w:type="pct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[+0.2776, +0.2978]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判定：早停消除基础事实。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final 规则的恶化（T3 列）与 S1 主网格的 Single 恶化完全一致（互为校验）；同一批种子在早停规则下（T2 列）三个预算跨度的恶化全部低于 0.008，其中两段不显著，唯一名义显著的 30→120（p=0.0352）幅度 0.0072 也落在预注册等效界 0.010 之内。恶化幅度被压缩 40 倍（0.2877 → 0.0072），且随预算增大的剩余斜率不呈加速。结论按 RQ5 的问法正面回答：基础事实（单模型随预算恶化）在早停规则下不再成立，它是选择规则与后期过度自信的交互产物；这一结论与 H2 的机制分解（放大差距主要由 Single 恶化贡献）在更深的层次上汇合——恶化本身是温度型的、可被早停或温度缩放修复的成分。</w:t>
      </w:r>
    </w:p>
    <w:p>
      <w:pPr>
        <w:pStyle w:val="Heading1"/>
        <w:spacing w:after="160" w:before="360" w:line="312"/>
      </w:pPr>
      <w:bookmarkStart w:name="_Toc4" w:id="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四、分配建议的重新解读</w:t>
      </w:r>
      <w:bookmarkEnd w:id="4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4-1 T4：分配收益 DE(k2)−Single 在两种选择规则下（配对，n=10）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1494"/>
        <w:gridCol w:w="703"/>
        <w:gridCol w:w="1758"/>
        <w:gridCol w:w="703"/>
        <w:gridCol w:w="1230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final 规则收益</w:t>
            </w:r>
          </w:p>
        </w:tc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ES 规则收益</w:t>
            </w:r>
          </w:p>
        </w:tc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缩水倍数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−0.0730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−0.0369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2.0×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−0.1948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−0.0173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11.3×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−0.2515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+0.0651（反转）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符号反转</w:t>
            </w:r>
          </w:p>
        </w:tc>
      </w:tr>
    </w:tbl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4-2 早停 Single 与各 k 配置的对照（测试 NLL，n=10 均值；DE 取 S1 存档）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1230"/>
        <w:gridCol w:w="1230"/>
        <w:gridCol w:w="1230"/>
        <w:gridCol w:w="1230"/>
        <w:gridCol w:w="1230"/>
        <w:gridCol w:w="1055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ES-Single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DE(k2)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DE(k3)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DE(k5)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DE(k8)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最优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0.3434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0.3065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0.3041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0.3161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DE(k3)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0.3491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0.3317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0.2974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DE(k5)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0.3506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0.4157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0.3355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0.2965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0.2909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DE(k8)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三点解读。其一，方向不变：三个预算下最优配置均为 DeepEns（B30 k3 / B60 k5 / B120 k8），与主网格的 k*(B) 结论一致——早停不改变“分配应偏向多成员”的方向性建议。其二，幅度剧变且符号反转：DE(k2) 在 B120 处被早停 Single 反超（0.4157 vs 0.3506，差 +0.0651，p=0.0020）——k2 的每个成员各训 60 epochs、按最终权重取值，双双停在过训区；一个停在验证最优的 120-epoch 单模型同时胜过它们。这是 v5 首次出现“集成配置被 Single 明确击败”的设置，其成因全部归于选择规则。其三，机制分解：把 final 规则的 DE−SG 收益减去 ES 规则下的同项，差值即“成员隐式早停”的贡献——B120 处为 0.2515−(−0.0651)≈0.32 nats 的表观收益中，早停校正后仅剩 0.06（DE(k8) 0.2909 vs ES-Single 0.3506）。DeepEns 相对早停 Single 的净优势（约 0.05–0.06 nats）才是独立重启的纯多样性贡献，且该净值在三个预算上几乎恒定（B30 0.039 / B60 0.052 / B120 0.060，均以各自最优 k 计）。</w:t>
      </w:r>
    </w:p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表 4-2 的 k 扫描对照为消融内的探索性对比（A1 预注册仅指定 ES vs final 主对比），不进入主网格假设判定；其作用是把 T4 的 k2 反转放到全 k 谱系中定位，防止“集成不如单模型”的过度概括。</w:t>
      </w:r>
    </w:p>
    <w:p>
      <w:pPr>
        <w:pStyle w:val="Heading1"/>
        <w:spacing w:after="160" w:before="360" w:line="312"/>
      </w:pPr>
      <w:bookmarkStart w:name="_Toc5" w:id="5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五、选择行为与校准</w:t>
      </w:r>
      <w:bookmarkEnd w:id="5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5-1 验证最优 epoch 的分布（n=10）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1230"/>
        <w:gridCol w:w="1055"/>
        <w:gridCol w:w="879"/>
        <w:gridCol w:w="4746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均值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中位数</w:t>
            </w:r>
          </w:p>
        </w:tc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pct" w:w="2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逐种子值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12.1 ± 2.1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[8, 15]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12, 13, 12, 12, 12, 10, 15, 12, 8, 15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10.9 ± 2.6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11.5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[7, 14]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8, 13, 12, 12, 12, 11, 7, 14, 7, 13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10.7 ± 1.6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[8, 13]</w:t>
            </w:r>
          </w:p>
        </w:tc>
        <w:tc>
          <w:tcPr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8, 11, 10, 11, 10, 11, 13, 9, 11, 13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验证最优 epoch 集中在 7–15 且随预算增大轻微左移（12.1 → 10.9 → 10.7），与 Doc 3 第四节可行性论证引用的“FMNIST 验证最优 epoch 中位约 12”一致；这同时解释了 e 甜区的左端（S1/S3 的成员级曲线显示 e&lt;10 的成员开始欠拟合）——甜区左边界与验证最优 epoch 本是同一现象的两侧。选择行为的稳定性（sd ≈ 2 epochs）意味着早停规则在实践中是低方差的：不需要精调停止点，验证曲线在最优附近相当平坦。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5-2 温度缩放后的两规则对比（TS-NLL，n=10 均值 ± 标准差）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1582"/>
        <w:gridCol w:w="1582"/>
        <w:gridCol w:w="1582"/>
        <w:gridCol w:w="1406"/>
        <w:gridCol w:w="1582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ES + TS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final + TS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TS 后差距 ES−final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raw 差距（参照）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TS 吸收比例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0.3249 ± 0.0088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0.3126 ± 0.0028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+0.0123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−0.0361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—（final 已略优）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0.3351 ± 0.0089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0.3325 ± 0.0050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+0.0026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−0.1774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99%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0.3368 ± 0.0051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0.3485 ± 0.0061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−0.0117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−0.3166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96%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温度缩放与早停在 B60/B120 上近乎可互换（吸收比例 99%/96%），在 B30 上 TS 后 final 反而略优 0.012——短预算的轻微过训经温度校正后，其更长的有效训练反而占优。两个修复手段的组合（ES + TS，0.3368）是 B120 处四组合中最优的，但与 final + TS（0.3485）的差距仅 0.012，处于实践可忽略区。结论：后期恶化的主体是温度型过度自信（H5 机制的极端形式），任何单靠校准修复的手段（TS）或回避后期训练的手段（早停）都能消除其大部分；早停在 B30 略有代价（选中的模型训练不足），TS 则无此代价。</w:t>
      </w:r>
    </w:p>
    <w:p>
      <w:pPr>
        <w:pStyle w:val="Heading1"/>
        <w:spacing w:after="160" w:before="360" w:line="312"/>
      </w:pPr>
      <w:bookmarkStart w:name="_Toc6" w:id="6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六、A2：推理成本基准（H6）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H6（Doc 3 表 3-1）：预测平均的延迟/内存/存储随 k 线性增长；给出实测数字，仅描述性，无失败判据，且必须与训练预算分开报告。基准覆盖主网格两个模型族（FMNIST MLP 109,386 参数；CIFAR-10 SmallCNN 33,834 参数），成员数 k∈{1,2,3,5,8}（网格值加 k=1 即 Single），批大小 1 与 256，双线程 CPU。延迟按主引擎的预测管线计时（成员常驻、float32 前向、numpy float64 概率平均），报告重复 30–400 次的中位数（mean±sd 见 JSON 存档；batch=1 的 mean 受偶发调度抖动影响，中位数更稳健）。延迟只依赖（架构，批大小，k）——FLOPs 固定、无数据依赖分支——故用合成正态张量（已存档注明）。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6-1 概率平均的推理延迟（中位数，ms；k 为成员数）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318"/>
        <w:gridCol w:w="703"/>
        <w:gridCol w:w="967"/>
        <w:gridCol w:w="967"/>
        <w:gridCol w:w="967"/>
        <w:gridCol w:w="967"/>
        <w:gridCol w:w="967"/>
        <w:gridCol w:w="1494"/>
        <w:gridCol w:w="791"/>
      </w:tblGrid>
      <w:tr>
        <w:trPr>
          <w:cantSplit/>
          <w:tblHeader/>
        </w:trPr>
        <w:tc>
          <w:tcPr>
            <w:tcW w:type="pct" w:w="7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模型族</w:t>
            </w:r>
          </w:p>
        </w:tc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k=1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k=2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k=3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k=5</w:t>
            </w:r>
          </w:p>
        </w:tc>
        <w:tc>
          <w:tcPr>
            <w:tcW w:type="pct" w:w="5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k=8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线性拟合</w:t>
            </w:r>
          </w:p>
        </w:tc>
        <w:tc>
          <w:tcPr>
            <w:tcW w:type="pct" w:w="4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MLP-FMNIST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0.041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0.076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0.113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0.213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0.371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0.069 ms/成员</w:t>
            </w:r>
          </w:p>
        </w:tc>
        <w:tc>
          <w:tcPr>
            <w:tcW w:type="pct" w:w="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0.9943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MLP-FMNIST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0.403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0.778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1.153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1.909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3.027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0.556 ms/成员</w:t>
            </w:r>
          </w:p>
        </w:tc>
        <w:tc>
          <w:tcPr>
            <w:tcW w:type="pct" w:w="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0.9876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CNN-CIFAR10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0.276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0.571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0.846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1.440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2.302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0.411 ms/成员</w:t>
            </w:r>
          </w:p>
        </w:tc>
        <w:tc>
          <w:tcPr>
            <w:tcW w:type="pct" w:w="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0.9969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CNN-CIFAR10</w:t>
            </w:r>
          </w:p>
        </w:tc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34.92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94.23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130.09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225.98</w:t>
            </w:r>
          </w:p>
        </w:tc>
        <w:tc>
          <w:tcPr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384.43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48.024 ms/成员</w:t>
            </w:r>
          </w:p>
        </w:tc>
        <w:tc>
          <w:tcPr>
            <w:tcW w:type="pct" w:w="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0.9998</w:t>
            </w:r>
          </w:p>
        </w:tc>
      </w:tr>
    </w:tbl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6-2 参数量、权重存储与常驻内存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318"/>
        <w:gridCol w:w="1142"/>
        <w:gridCol w:w="1318"/>
        <w:gridCol w:w="2373"/>
        <w:gridCol w:w="2373"/>
      </w:tblGrid>
      <w:tr>
        <w:trPr>
          <w:cantSplit/>
          <w:tblHeader/>
        </w:trPr>
        <w:tc>
          <w:tcPr>
            <w:tcW w:type="pct" w:w="7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模型族</w:t>
            </w:r>
          </w:p>
        </w:tc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参数量/模型</w:t>
            </w:r>
          </w:p>
        </w:tc>
        <w:tc>
          <w:tcPr>
            <w:tcW w:type="pct" w:w="7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fp32 权重/模型</w:t>
            </w:r>
          </w:p>
        </w:tc>
        <w:tc>
          <w:tcPr>
            <w:tcW w:type="pct" w:w="13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k=2 / 3 / 5 / 8 存储</w:t>
            </w:r>
          </w:p>
        </w:tc>
        <w:tc>
          <w:tcPr>
            <w:tcW w:type="pct" w:w="13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RSS 差分（8 模型）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MLP-FMNIST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109,386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0.438 MB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0.88 / 1.31 / 2.19 / 3.50 MB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3.5 MB（与 8×0.438 吻合）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CNN-CIFAR10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33,834</w:t>
            </w:r>
          </w:p>
        </w:tc>
        <w:tc>
          <w:tcPr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0.135 MB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0.27 / 0.41 / 0.68 / 1.08 MB</w:t>
            </w:r>
          </w:p>
        </w:tc>
        <w:tc>
          <w:tcPr>
            <w:tcW w:type="pct" w:w="13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≈0 MB（小于分配器粒度）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H6 的描述性结论全部成立：延迟对 k 的线性拟合 R² 介于 0.988 与 0.9998，截距可忽略（MLP −0.04 至 −0.11 ms；CNN −0.03 至 −3.6 ms，相对斜率 &lt;8%）；权重存储严格按 k 线性（每成员 0.438/0.135 MB）；常驻内存的实测差分与确定性字节数一致。绝对数字给出部署参照：MLP 族 batch=256 时每增加一个成员多 0.556 ms（每样本 2.2 µs），8 成员全程 3.0 ms；CNN 族每成员 48 ms（每样本 188 µs），8 成员 384 ms——CNN 的每成员成本是 MLP 的 86 倍，成员数选择的成本敏感度高度依赖模型族的每样本算力。与训练预算的分离报告（Doc 3 表 5-1）由此完成：B=60 的训练预算下，k=8 的推理成本是 k=1 的 8 倍（线性、无亚线性），任何“多成员更优”的建议都必须把这一列与 NLL 列并排呈现。</w:t>
      </w:r>
    </w:p>
    <w:p>
      <w:pPr>
        <w:pStyle w:val="Heading1"/>
        <w:spacing w:after="160" w:before="360" w:line="312"/>
      </w:pPr>
      <w:bookmarkStart w:name="_Toc7" w:id="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七、机制综合：选择规则作为分配相图的隐藏维度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A1 的发现并入 S1–S3 的分配相图后，v5 的机制结构完成最后一块拼图。原相图有两条轴：预算轴（B30–B240，S1/S2）与域轴（MNIST/FMNIST/CIFAR-10，S3），刻画分配收益 = f(单模型余量)。A1 揭示第三条隐藏轴——选择规则轴：同一训练轨迹、同一预算、同一架构，仅因取权重的时间点不同，单模型 NLL 在 B120 处相差 0.3166（0.3506 vs 0.6672）。三轴的关系并非独立叠加：选择规则轴在近饱和域（MNIST，无过度自信恶化）上预期近零，在高难度域（CIFAR，恶化的温度成分更大）上预期更大——它与域轴通过“后期过度自信”这同一机制耦合，与预算轴通过“恶化随 B 单调积累”耦合。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DeepEns 的机制分解由此获得三重拆分：final 规则下的表观分配收益 =（成员隐式早停的贡献）+（独立多样性的净贡献）+（随机性平均的方差缩减）。A1 把第一项从 B120 的 0.32 中剥离出来，留下约 0.06 的净贡献；结合 S3 的域轴证据（净贡献随域难度放大：MNIST ≈ 0.009、FMNIST ≈ 0.06、CIFAR ≈ 1.14——以各域最优 k 与 final 规则计，MNIST/CIFAR 未做早停消融，其数字为 final 规则下的下界），独立重启的价值谱系与单模型余量谱系同向。这一分解对实践的含义直接：若部署方已使用验证集早停（几乎所有现代训练管线的默认），主网格的 DE−SG 数字高估了切换到集成可获得的收益，真实可得的净收益约为表观值减去早停修复量；温度缩放在场时同理（B120：0.2515 的表观收益经 TS 后仅剩 0.012 的对应项）。论文的重写须把“分配建议”明确条件化于选择规则——这是 v5 相对 v4 及既有文献的关键增量之一。</w:t>
      </w:r>
    </w:p>
    <w:p>
      <w:pPr>
        <w:pStyle w:val="Heading1"/>
        <w:spacing w:after="160" w:before="360" w:line="312"/>
      </w:pPr>
      <w:bookmarkStart w:name="_Toc8" w:id="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八、预注册假设判定更新（A1/A2 收尾）</w:t>
      </w:r>
      <w:bookmarkEnd w:id="8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8-1 假设与研究问题判定对照（判据原文见 Doc 3 表 3-1 / 第一节）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3691"/>
        <w:gridCol w:w="2461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pct" w:w="2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A1/A2 数据</w:t>
            </w:r>
          </w:p>
        </w:tc>
        <w:tc>
          <w:tcPr>
            <w:tcW w:type="pct" w:w="1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判定更新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H6 推理成本（延迟/内存/存储随 k 线性）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延迟线性 R² 0.988–0.9998；存储 k×0.438/0.135 MB；RSS 差分与字节数吻合；绝对数字已与训练预算分离报告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支持（描述性判据全部满足；无失败判据，闭环）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RQ5 选择规则是否改变基础事实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早停使 B30→120 恶化由 +0.2877 缩至 +0.0072（&lt; δ=0.010）；TS 吸收两规则差距 96–99%；B120 处 DE(k2) 被 ES-Single 反超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是——基础事实是选择规则的产物；分配建议须条件化于选择规则（净收益 ≈ 表观收益 − 早停修复量）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H2 放大机制（条件命题，S2 判 D6）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补充：放大差距的 Single 端在早停下消失，放大由“规则×后期过度自信”交互驱动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维持 D6 条件命题；机制分解深化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H5 温度缩放（压缩不消除）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TS 与早停近可互换（B60/B120 吸收 96–99%）；ES+TS 组合最优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维持部分支持；选择规则维度第三重确认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至此预注册实验网格（S1+S2+S3+A1+A2 = 22 个网格单元 + 3 个消融单元 + 1 个基准脚本）全部完成，六项假设（H1–H6）与五项研究问题（RQ1–RQ5）全部有数据支撑的判定。无新增偏离预注册判据的情况；全局停止规则三条件均未命中。</w:t>
      </w:r>
    </w:p>
    <w:p>
      <w:pPr>
        <w:pStyle w:val="Heading1"/>
        <w:spacing w:after="160" w:before="360" w:line="312"/>
      </w:pPr>
      <w:bookmarkStart w:name="_Toc9" w:id="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九、偏离登记（A1/A2 新增）</w:t>
      </w:r>
      <w:bookmarkEnd w:id="9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703"/>
        <w:gridCol w:w="4042"/>
        <w:gridCol w:w="4042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pct" w:w="23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偏离</w:t>
            </w:r>
          </w:p>
        </w:tc>
        <w:tc>
          <w:tcPr>
            <w:tcW w:type="pct" w:w="23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D15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引擎为独立复制的训练循环（run_ablation_earlystop.py）而非修改共享 common.py 的 train_run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避免牵连 v1/v2/SWA/S3 引擎；复制正确性由 360 个位级锚点（final vs S1，含 TS 的 T 与 val-NLL）数据级验证，I4/I5 全过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D16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早停的平局规则（严格更小者胜、平局取最早 epoch）在引擎 docstring 与配置戳中预先写明，但 Doc 3 未显式规定平局处理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按标准早停惯例预先固定并全程唯一使用；I6 对每条记录核验规则执行一致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D17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A2 使用合成正态张量而非真实测试图像（延迟只依赖架构/批大小/k，FLOPs 与权重值无关）；RSS 差分在 CNN 族小于内存分配器粒度不可测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JSON 存档逐表注明；存储列改用确定性字节数（参数量 × fp32），MLP 族的 RSS 差分与字节数吻合作交叉验证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D18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实测 0.27 h（978 s）vs Doc 3 估算 ≈0.5 h；表 4-2 的 k 扫描对照超出 A1 预注册主对比范围</w:t>
            </w:r>
          </w:p>
        </w:tc>
        <w:tc>
          <w:tcPr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预算内完成；k 扫描标注为探索性对比，不进入主网格假设判定</w:t>
            </w:r>
          </w:p>
        </w:tc>
      </w:tr>
    </w:tbl>
    <w:p>
      <w:pPr>
        <w:pStyle w:val="Heading1"/>
        <w:spacing w:after="160" w:before="360" w:line="312"/>
      </w:pPr>
      <w:bookmarkStart w:name="_Toc10" w:id="10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十、论文重写：数据就绪与输入清单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全部预注册数据就绪，论文 v5 全文重写为唯一剩余工作。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A1/A2 对重写的三点核心输入：其一，摘要与讨论必须包含选择规则的条件化——“分配收益的表观值依赖最终权重规则；在早停或温度缩放在场时，净收益约为表观值减去校准修复量（FMNIST B120：0.25 → 0.06/0.01）”；其二，A2 的成本列与 NLL 列并排呈现（每成员边际延迟 MLP 0.556 ms vs CNN 48 ms，batch=256），把“成员数选择”明确为质量-多样性-成本的三元权衡；其三，机制叙事升级为三轴相图（预算 × 域 × 选择规则），其中选择规则轴为本工作新增维度，MNIST/CIFAR 上的早停消融可作为未来工作的边界探针（本阶段仅 FMNIST）。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10-1 全网格数据资产与论文对应关系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933"/>
        <w:gridCol w:w="3515"/>
        <w:gridCol w:w="3339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数据块</w:t>
            </w:r>
          </w:p>
        </w:tc>
        <w:tc>
          <w:tcPr>
            <w:tcW w:type="pct" w:w="2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1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论文对应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S1 主网格（14 单元）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B30–B120 × k2–k8，H1/H2/H3 判定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主结果：k 曲线、放大规律、快照差距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S2 外推（4 单元）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B240 × k2–k8，G2 通过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外推验证：放大趋势延续至 B240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跨域（4 单元）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MNIST/CIFAR-10，H4/G3 通过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边界条件：域谱系与 e 甜区跨域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消融（3 单元）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B30/60/120 早停 Single，RQ5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机制分解：选择规则轴、净多样性收益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A2 基准（1 脚本）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双模型族延迟/存储，H6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成本列：k 的部署代价</w:t>
            </w:r>
          </w:p>
        </w:tc>
      </w:tr>
    </w:tbl>
    <w:p>
      <w:pPr>
        <w:pStyle w:val="Heading1"/>
        <w:spacing w:after="160" w:before="360" w:line="312"/>
      </w:pPr>
      <w:bookmarkStart w:name="_Toc11" w:id="1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十一、可核验性</w:t>
      </w:r>
      <w:bookmarkEnd w:id="11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原始记录：ijmlc-repo/results/a1/experiment_v5_a1_fmnist_B{30,60,120}.jsonl（30 条逐种子记录：best_epoch、ES/final 全指标、逐 epoch 历史、版本戳）；ijmlc-repo/results/a2/benchmark_inference.json（双族延迟分布、线性拟合、存储/RSS）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分析输出：results/a1/analysis_v5_a1a2.json（T1–T5 配对对比与 95% CI、A2 汇总）、summary_v5_a1.csv、summary_v5_a2_latency.csv、summary_v5_a2_cost.csv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脚本：code/run_ablation_earlystop.py（A1 引擎）、scripts/benchmark_inference.py（A2 基准）、scripts/check_a1_integrity.py（七项核验）、scripts/analyze_a1a2.py（分析，置换检验与 analyze_s3.py 同实现）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复现命令：python code/run_ablation_earlystop.py --budget B --seeds 0:10 --out &lt;path&gt; --time-budget 500（B∈{30,60,120}）；python scripts/benchmark_inference.py；python scripts/check_a1_integrity.py；python scripts/analyze_a1a2.py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位级锚点：final vs S1 single 30 种子 × 12 指标逐位相等（I4/I5）；best_epoch 与 Doc 3 §4 预估（中位约 12）一致；本报告全部数值与 analysis_v5_a1a2.json 逐项对应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v5.0 A1/A2 阶段报告（Doc 7）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v5.0 A1/A2 阶段报告（Doc 7）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A1/A2 消融与基准执行报告：选择规则的机制分解与推理成本刻画</dc:title>
  <dc:creator>Chang Tan</dc:creator>
  <cp:lastModifiedBy>Un-named</cp:lastModifiedBy>
  <cp:revision>1</cp:revision>
  <dcterms:created xsi:type="dcterms:W3CDTF">2026-10-27T12:15:14.946Z</dcterms:created>
  <dcterms:modified xsi:type="dcterms:W3CDTF">2026-10-27T12:15:14.947Z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