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8.xml.rels" ContentType="application/vnd.openxmlformats-package.relationships+xml"/>
  <Override PartName="/word/_rels/header12.xml.rels" ContentType="application/vnd.openxmlformats-package.relationships+xml"/>
  <Override PartName="/word/_rels/header3.xml.rels" ContentType="application/vnd.openxmlformats-package.relationships+xml"/>
  <Override PartName="/word/_rels/header5.xml.rels" ContentType="application/vnd.openxmlformats-package.relationships+xml"/>
  <Override PartName="/word/_rels/header16.xml.rels" ContentType="application/vnd.openxmlformats-package.relationships+xml"/>
  <Override PartName="/word/_rels/header13.xml.rels" ContentType="application/vnd.openxmlformats-package.relationships+xml"/>
  <Override PartName="/word/_rels/header15.xml.rels" ContentType="application/vnd.openxmlformats-package.relationships+xml"/>
  <Override PartName="/word/_rels/header4.xml.rels" ContentType="application/vnd.openxmlformats-package.relationships+xml"/>
  <Override PartName="/word/_rels/header6.xml.rels" ContentType="application/vnd.openxmlformats-package.relationships+xml"/>
  <Override PartName="/word/_rels/header17.xml.rels" ContentType="application/vnd.openxmlformats-package.relationships+xml"/>
  <Override PartName="/word/_rels/header11.xml.rels" ContentType="application/vnd.openxmlformats-package.relationships+xml"/>
  <Override PartName="/word/_rels/document.xml.rels" ContentType="application/vnd.openxmlformats-package.relationships+xml"/>
  <Override PartName="/word/_rels/header14.xml.rels" ContentType="application/vnd.openxmlformats-package.relationships+xml"/>
  <Override PartName="/word/_rels/header10.xml.rels" ContentType="application/vnd.openxmlformats-package.relationships+xml"/>
  <Override PartName="/word/_rels/header7.xml.rels" ContentType="application/vnd.openxmlformats-package.relationships+xml"/>
  <Override PartName="/word/_rels/header9.xml.rels" ContentType="application/vnd.openxmlformats-package.relationships+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header1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media/image1.png" ContentType="image/png"/>
  <Override PartName="/word/media/image2.jpeg" ContentType="image/jpeg"/>
  <Override PartName="/word/media/image4.png" ContentType="image/png"/>
  <Override PartName="/word/media/image3.png" ContentType="image/png"/>
  <Override PartName="/word/media/image5.png" ContentType="image/png"/>
  <Override PartName="/word/media/image6.png" ContentType="image/png"/>
  <Override PartName="/word/media/image7.png" ContentType="image/png"/>
  <Override PartName="/word/header1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header11.xml" ContentType="application/vnd.openxmlformats-officedocument.wordprocessingml.header+xml"/>
  <Override PartName="/word/header2.xml" ContentType="application/vnd.openxmlformats-officedocument.wordprocessingml.header+xml"/>
  <Override PartName="/word/footer18.xml" ContentType="application/vnd.openxmlformats-officedocument.wordprocessingml.footer+xml"/>
  <Override PartName="/word/header1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10.xml" ContentType="application/vnd.openxmlformats-officedocument.wordprocessingml.header+xml"/>
  <Override PartName="/word/footer17.xml" ContentType="application/vnd.openxmlformats-officedocument.wordprocessingml.footer+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word/header1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header17.xml" ContentType="application/vnd.openxmlformats-officedocument.wordprocessingml.header+xml"/>
  <Override PartName="/word/header8.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32"/>
        </w:rPr>
      </w:pPr>
      <w:r>
        <w:rPr>
          <w:rFonts w:eastAsia="楷体" w:cs="Times New Roman" w:ascii="楷体" w:hAnsi="楷体"/>
          <w:b/>
        </w:rPr>
        <w:t> </w:t>
      </w:r>
    </w:p>
    <w:p>
      <w:pPr>
        <w:pStyle w:val="Normal"/>
        <w:rPr>
          <w:sz w:val="32"/>
        </w:rPr>
      </w:pPr>
      <w:r>
        <w:rPr>
          <w:sz w:val="32"/>
        </w:rPr>
      </w:r>
    </w:p>
    <w:p>
      <w:pPr>
        <w:pStyle w:val="Normal"/>
        <w:rPr>
          <w:sz w:val="32"/>
        </w:rPr>
      </w:pPr>
      <w:r>
        <w:rPr>
          <w:sz w:val="32"/>
        </w:rPr>
      </w:r>
    </w:p>
    <w:p>
      <w:pPr>
        <w:pStyle w:val="Normal"/>
        <w:rPr>
          <w:sz w:val="32"/>
        </w:rPr>
      </w:pPr>
      <w:r>
        <w:rPr>
          <w:sz w:val="32"/>
        </w:rPr>
      </w:r>
    </w:p>
    <w:tbl>
      <w:tblPr>
        <w:tblW w:w="9356" w:type="dxa"/>
        <w:jc w:val="start"/>
        <w:tblInd w:w="-601" w:type="dxa"/>
        <w:tblLayout w:type="fixed"/>
        <w:tblCellMar>
          <w:top w:w="0" w:type="dxa"/>
          <w:start w:w="108" w:type="dxa"/>
          <w:bottom w:w="0" w:type="dxa"/>
          <w:end w:w="108" w:type="dxa"/>
        </w:tblCellMar>
      </w:tblPr>
      <w:tblGrid>
        <w:gridCol w:w="9356"/>
      </w:tblGrid>
      <w:tr>
        <w:trPr>
          <w:trHeight w:val="3410" w:hRule="atLeast"/>
        </w:trPr>
        <w:tc>
          <w:tcPr>
            <w:tcW w:w="9356" w:type="dxa"/>
            <w:tcBorders>
              <w:top w:val="double" w:sz="4" w:space="0" w:color="000000"/>
              <w:start w:val="double" w:sz="4" w:space="0" w:color="000000"/>
              <w:bottom w:val="double" w:sz="4" w:space="0" w:color="000000"/>
              <w:end w:val="double" w:sz="4" w:space="0" w:color="000000"/>
            </w:tcBorders>
          </w:tcPr>
          <w:p>
            <w:pPr>
              <w:pStyle w:val="BodyText"/>
              <w:snapToGrid w:val="false"/>
              <w:spacing w:before="120" w:after="120"/>
              <w:jc w:val="center"/>
              <w:rPr>
                <w:rStyle w:val="client1"/>
                <w:b/>
                <w:sz w:val="32"/>
              </w:rPr>
            </w:pPr>
            <w:r>
              <w:rPr/>
            </w:r>
          </w:p>
          <w:p>
            <w:pPr>
              <w:pStyle w:val="BodyText"/>
              <w:spacing w:before="120" w:after="120"/>
              <w:jc w:val="center"/>
              <w:rPr>
                <w:rStyle w:val="client1"/>
                <w:b/>
                <w:sz w:val="32"/>
              </w:rPr>
            </w:pPr>
            <w:r>
              <w:rPr>
                <w:rStyle w:val="r"/>
                <w:b/>
                <w:sz w:val="32"/>
                <w:szCs w:val="32"/>
              </w:rPr>
              <w:t>{{权属人}}</w:t>
            </w:r>
            <w:r>
              <w:rPr>
                <w:rStyle w:val="client1"/>
                <w:b/>
                <w:sz w:val="32"/>
              </w:rPr>
              <w:t>所有的</w:t>
            </w:r>
          </w:p>
          <w:p>
            <w:pPr>
              <w:pStyle w:val="BodyText"/>
              <w:spacing w:before="120" w:after="120"/>
              <w:jc w:val="center"/>
              <w:rPr>
                <w:rStyle w:val="client1"/>
                <w:b/>
                <w:sz w:val="32"/>
              </w:rPr>
            </w:pPr>
            <w:r>
              <w:rPr>
                <w:rStyle w:val="client1"/>
                <w:b/>
                <w:sz w:val="32"/>
              </w:rPr>
              <w:t>位于</w:t>
            </w:r>
            <w:r>
              <w:rPr>
                <w:rStyle w:val="r"/>
                <w:b/>
                <w:sz w:val="32"/>
                <w:szCs w:val="32"/>
              </w:rPr>
              <w:t>{{房产地址}}</w:t>
            </w:r>
          </w:p>
          <w:p>
            <w:pPr>
              <w:pStyle w:val="BodyText"/>
              <w:spacing w:before="120" w:after="120"/>
              <w:jc w:val="center"/>
              <w:rPr>
                <w:b/>
                <w:sz w:val="32"/>
              </w:rPr>
            </w:pPr>
            <w:r>
              <w:rPr>
                <w:rStyle w:val="client1"/>
                <w:b/>
                <w:sz w:val="32"/>
              </w:rPr>
              <w:t>住宅房地产</w:t>
            </w:r>
            <w:r>
              <w:rPr>
                <w:b/>
                <w:bCs/>
                <w:sz w:val="32"/>
              </w:rPr>
              <w:t>估价</w:t>
            </w:r>
            <w:r>
              <w:rPr>
                <w:b/>
                <w:sz w:val="32"/>
              </w:rPr>
              <w:t>报告</w:t>
            </w:r>
          </w:p>
          <w:p>
            <w:pPr>
              <w:pStyle w:val="Normal"/>
              <w:spacing w:before="120" w:after="120"/>
              <w:jc w:val="center"/>
              <w:rPr>
                <w:rFonts w:ascii="宋体;SimSun" w:hAnsi="宋体;SimSun"/>
                <w:b/>
                <w:bCs/>
              </w:rPr>
            </w:pPr>
            <w:r>
              <w:rPr>
                <w:rStyle w:val="client1"/>
                <w:sz w:val="32"/>
              </w:rPr>
              <w:t>{{报告编号}}</w:t>
            </w:r>
          </w:p>
        </w:tc>
      </w:tr>
    </w:tbl>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pStyle w:val="Normal"/>
        <w:rPr>
          <w:sz w:val="32"/>
        </w:rPr>
      </w:pPr>
      <w:r>
        <w:rPr>
          <w:sz w:val="32"/>
        </w:rPr>
      </w:r>
    </w:p>
    <w:p>
      <w:pPr>
        <w:sectPr>
          <w:headerReference w:type="default" r:id="rId2"/>
          <w:headerReference w:type="first" r:id="rId3"/>
          <w:footerReference w:type="default" r:id="rId4"/>
          <w:footerReference w:type="first" r:id="rId5"/>
          <w:type w:val="nextPage"/>
          <w:pgSz w:w="11906" w:h="16838"/>
          <w:pgMar w:left="1588" w:right="1134" w:gutter="340" w:header="851" w:top="1440" w:footer="992" w:bottom="1440"/>
          <w:pgNumType w:start="0" w:fmt="decimal"/>
          <w:formProt w:val="false"/>
          <w:titlePg/>
          <w:textDirection w:val="lrTb"/>
          <w:docGrid w:type="default" w:linePitch="312" w:charSpace="0"/>
        </w:sectPr>
        <w:pStyle w:val="Normal"/>
        <w:rPr>
          <w:sz w:val="32"/>
        </w:rPr>
      </w:pPr>
      <w:r>
        <w:rPr>
          <w:sz w:val="32"/>
        </w:rPr>
      </w:r>
    </w:p>
    <w:p>
      <w:pPr>
        <w:pStyle w:val="Style11"/>
        <w:rPr>
          <w:sz w:val="32"/>
        </w:rPr>
      </w:pPr>
      <w:r>
        <w:rPr>
          <w:sz w:val="32"/>
        </w:rPr>
      </w:r>
    </w:p>
    <w:p>
      <w:pPr>
        <w:pStyle w:val="Heading9"/>
        <w:spacing w:before="0" w:after="0"/>
        <w:ind w:hanging="0" w:start="0"/>
        <w:jc w:val="center"/>
        <w:rPr>
          <w:rFonts w:ascii="宋体;SimSun" w:hAnsi="宋体;SimSun" w:eastAsia="宋体;SimSun"/>
          <w:b/>
          <w:bCs/>
          <w:sz w:val="44"/>
          <w:szCs w:val="44"/>
        </w:rPr>
      </w:pPr>
      <w:r>
        <w:rPr>
          <w:rFonts w:ascii="宋体;SimSun" w:hAnsi="宋体;SimSun" w:eastAsia="宋体;SimSun"/>
          <w:b/>
          <w:bCs/>
          <w:sz w:val="44"/>
          <w:szCs w:val="44"/>
        </w:rPr>
        <w:t>涉执房地产处置司法评估报告</w:t>
      </w:r>
    </w:p>
    <w:p>
      <w:pPr>
        <w:pStyle w:val="Style11"/>
        <w:snapToGrid w:val="false"/>
        <w:spacing w:lineRule="auto" w:line="360"/>
        <w:rPr>
          <w:rFonts w:ascii="宋体;SimSun" w:hAnsi="宋体;SimSun" w:eastAsia="宋体;SimSun"/>
          <w:b/>
          <w:bCs/>
          <w:sz w:val="44"/>
          <w:szCs w:val="44"/>
        </w:rPr>
      </w:pPr>
      <w:r>
        <w:rPr>
          <w:rFonts w:eastAsia="宋体;SimSun" w:ascii="宋体;SimSun" w:hAnsi="宋体;SimSun"/>
          <w:b/>
          <w:bCs/>
          <w:sz w:val="44"/>
          <w:szCs w:val="44"/>
        </w:rPr>
      </w:r>
    </w:p>
    <w:p>
      <w:pPr>
        <w:pStyle w:val="Normal"/>
        <w:spacing w:lineRule="auto" w:line="360"/>
        <w:textAlignment w:val="bottom"/>
        <w:rPr>
          <w:rFonts w:ascii="楷体_GB2312" w:hAnsi="楷体_GB2312" w:eastAsia="楷体_GB2312"/>
          <w:b/>
          <w:sz w:val="32"/>
        </w:rPr>
      </w:pPr>
      <w:r>
        <w:rPr>
          <w:rFonts w:eastAsia="楷体_GB2312" w:ascii="楷体_GB2312" w:hAnsi="楷体_GB2312"/>
          <w:b/>
          <w:sz w:val="32"/>
        </w:rPr>
      </w:r>
    </w:p>
    <w:p>
      <w:pPr>
        <w:pStyle w:val="Normal"/>
        <w:spacing w:lineRule="auto" w:line="480" w:before="312" w:after="312"/>
        <w:textAlignment w:val="bottom"/>
        <w:rPr>
          <w:rFonts w:ascii="楷体_GB2312" w:hAnsi="楷体_GB2312" w:eastAsia="楷体_GB2312"/>
          <w:b/>
          <w:sz w:val="32"/>
        </w:rPr>
      </w:pPr>
      <w:r>
        <w:rPr>
          <w:rFonts w:ascii="楷体_GB2312" w:hAnsi="楷体_GB2312" w:eastAsia="楷体_GB2312"/>
          <w:b/>
          <w:sz w:val="32"/>
        </w:rPr>
        <w:t>估价项目名称：</w:t>
      </w:r>
      <w:r>
        <w:rPr>
          <w:rStyle w:val="s2"/>
          <w:sz w:val="32"/>
          <w:szCs w:val="32"/>
        </w:rPr>
        <w:t>{{权属人}}所有的位于{{房产地址}}住宅房地产市场价格</w:t>
      </w:r>
      <w:r>
        <w:rPr>
          <w:sz w:val="32"/>
          <w:szCs w:val="32"/>
        </w:rPr>
        <w:t>评估</w:t>
      </w:r>
    </w:p>
    <w:p>
      <w:pPr>
        <w:pStyle w:val="Normal"/>
        <w:spacing w:lineRule="auto" w:line="480" w:before="312" w:after="312"/>
        <w:ind w:hanging="2160" w:start="2160" w:end="0"/>
        <w:textAlignment w:val="bottom"/>
        <w:rPr>
          <w:rFonts w:eastAsia="楷体_GB2312"/>
        </w:rPr>
      </w:pPr>
      <w:r>
        <w:rPr>
          <w:rFonts w:ascii="楷体_GB2312" w:hAnsi="楷体_GB2312" w:eastAsia="楷体_GB2312"/>
          <w:b/>
          <w:sz w:val="32"/>
        </w:rPr>
        <w:t>估价委托人：</w:t>
      </w:r>
      <w:r>
        <w:rPr>
          <w:rStyle w:val="s2"/>
          <w:sz w:val="32"/>
          <w:szCs w:val="32"/>
        </w:rPr>
        <w:t>{{委托人}}</w:t>
      </w:r>
    </w:p>
    <w:p>
      <w:pPr>
        <w:pStyle w:val="Normal"/>
        <w:spacing w:lineRule="auto" w:line="480" w:before="312" w:after="312"/>
        <w:textAlignment w:val="bottom"/>
        <w:rPr>
          <w:b/>
          <w:sz w:val="32"/>
        </w:rPr>
      </w:pPr>
      <w:r>
        <w:rPr>
          <w:rFonts w:ascii="楷体_GB2312" w:hAnsi="楷体_GB2312" w:eastAsia="楷体_GB2312"/>
          <w:b/>
          <w:sz w:val="32"/>
        </w:rPr>
        <w:t xml:space="preserve">房地产估价机构： </w:t>
      </w:r>
      <w:r>
        <w:rPr>
          <w:rStyle w:val="corp1name"/>
          <w:sz w:val="32"/>
        </w:rPr>
        <w:t>浙江国信房地产土地估价咨询有限公司</w:t>
      </w:r>
      <w:r>
        <w:rPr>
          <w:b/>
          <w:sz w:val="32"/>
        </w:rPr>
        <w:t xml:space="preserve"> </w:t>
      </w:r>
    </w:p>
    <w:p>
      <w:pPr>
        <w:pStyle w:val="Normal"/>
        <w:spacing w:lineRule="auto" w:line="480" w:before="312" w:after="312"/>
        <w:textAlignment w:val="bottom"/>
        <w:rPr/>
      </w:pPr>
      <w:r>
        <w:rPr>
          <w:rFonts w:ascii="楷体_GB2312" w:hAnsi="楷体_GB2312" w:eastAsia="楷体_GB2312"/>
          <w:b/>
          <w:sz w:val="32"/>
        </w:rPr>
        <w:t>注册房地产估价师：</w:t>
      </w:r>
      <w:r>
        <w:rPr>
          <w:rStyle w:val="r1"/>
          <w:sz w:val="32"/>
        </w:rPr>
        <w:t xml:space="preserve">马  成  注册号3320170019  </w:t>
      </w:r>
    </w:p>
    <w:p>
      <w:pPr>
        <w:pStyle w:val="Normal"/>
        <w:spacing w:lineRule="auto" w:line="480" w:before="312" w:after="312"/>
        <w:ind w:firstLine="2880" w:end="0"/>
        <w:textAlignment w:val="bottom"/>
        <w:rPr>
          <w:rFonts w:ascii="楷体_GB2312" w:hAnsi="楷体_GB2312" w:eastAsia="楷体_GB2312"/>
          <w:b/>
          <w:sz w:val="32"/>
        </w:rPr>
      </w:pPr>
      <w:r>
        <w:rPr>
          <w:rStyle w:val="r1"/>
          <w:sz w:val="32"/>
        </w:rPr>
        <w:t xml:space="preserve">荣竞平  注册号3320160045  </w:t>
      </w:r>
    </w:p>
    <w:p>
      <w:pPr>
        <w:pStyle w:val="Normal"/>
        <w:spacing w:lineRule="auto" w:line="480" w:before="312" w:after="312"/>
        <w:textAlignment w:val="bottom"/>
        <w:rPr>
          <w:rFonts w:eastAsia="楷体_GB2312"/>
        </w:rPr>
      </w:pPr>
      <w:r>
        <w:rPr>
          <w:rFonts w:ascii="楷体_GB2312" w:hAnsi="楷体_GB2312" w:eastAsia="楷体_GB2312"/>
          <w:b/>
          <w:sz w:val="32"/>
        </w:rPr>
        <w:t>估价报告出具日期：</w:t>
      </w:r>
      <w:r>
        <w:rPr>
          <w:rStyle w:val="s2"/>
          <w:sz w:val="32"/>
          <w:szCs w:val="32"/>
        </w:rPr>
        <w:t>{{报告日期}}</w:t>
      </w:r>
    </w:p>
    <w:p>
      <w:pPr>
        <w:pStyle w:val="Normal"/>
        <w:spacing w:lineRule="auto" w:line="480" w:before="312" w:after="312"/>
        <w:textAlignment w:val="bottom"/>
        <w:rPr>
          <w:rStyle w:val="r4"/>
          <w:rFonts w:eastAsia="楷体_GB2312"/>
          <w:sz w:val="32"/>
        </w:rPr>
      </w:pPr>
      <w:r>
        <w:rPr>
          <w:rFonts w:ascii="楷体_GB2312" w:hAnsi="楷体_GB2312" w:eastAsia="楷体_GB2312"/>
          <w:b/>
          <w:sz w:val="32"/>
        </w:rPr>
        <w:t>估价报告编号：</w:t>
      </w:r>
      <w:r>
        <w:rPr>
          <w:rStyle w:val="s2"/>
          <w:sz w:val="32"/>
          <w:szCs w:val="32"/>
        </w:rPr>
        <w:t>{{报告编号}}</w:t>
      </w:r>
    </w:p>
    <w:p>
      <w:pPr>
        <w:pStyle w:val="Normal"/>
        <w:spacing w:lineRule="auto" w:line="360"/>
        <w:textAlignment w:val="bottom"/>
        <w:rPr>
          <w:rStyle w:val="r4"/>
          <w:rFonts w:eastAsia="楷体_GB2312"/>
          <w:sz w:val="32"/>
        </w:rPr>
      </w:pPr>
      <w:r>
        <w:rPr/>
      </w:r>
    </w:p>
    <w:p>
      <w:pPr>
        <w:pStyle w:val="Normal"/>
        <w:spacing w:lineRule="auto" w:line="360"/>
        <w:textAlignment w:val="bottom"/>
        <w:rPr>
          <w:rStyle w:val="r4"/>
          <w:sz w:val="32"/>
        </w:rPr>
      </w:pPr>
      <w:r>
        <w:rPr/>
      </w:r>
    </w:p>
    <w:p>
      <w:pPr>
        <w:pStyle w:val="Normal"/>
        <w:spacing w:lineRule="auto" w:line="360"/>
        <w:textAlignment w:val="bottom"/>
        <w:rPr>
          <w:rStyle w:val="r4"/>
          <w:sz w:val="32"/>
          <w:lang w:val="en-US" w:eastAsia="en-US"/>
        </w:rPr>
      </w:pPr>
      <w:r>
        <w:rPr/>
        <mc:AlternateContent>
          <mc:Choice Requires="wpg">
            <w:drawing>
              <wp:anchor behindDoc="0" distT="0" distB="0" distL="114935" distR="114935" simplePos="0" locked="0" layoutInCell="1" allowOverlap="1" relativeHeight="47">
                <wp:simplePos x="0" y="0"/>
                <wp:positionH relativeFrom="column">
                  <wp:posOffset>-2540</wp:posOffset>
                </wp:positionH>
                <wp:positionV relativeFrom="paragraph">
                  <wp:posOffset>547370</wp:posOffset>
                </wp:positionV>
                <wp:extent cx="5566410" cy="843280"/>
                <wp:effectExtent l="635" t="3175" r="3175" b="0"/>
                <wp:wrapNone/>
                <wp:docPr id="2" name="组合 4"/>
                <a:graphic xmlns:a="http://schemas.openxmlformats.org/drawingml/2006/main">
                  <a:graphicData uri="http://schemas.microsoft.com/office/word/2010/wordprocessingGroup">
                    <wpg:wgp>
                      <wpg:cNvGrpSpPr/>
                      <wpg:grpSpPr>
                        <a:xfrm>
                          <a:off x="0" y="0"/>
                          <a:ext cx="5566320" cy="843120"/>
                          <a:chOff x="0" y="0"/>
                          <a:chExt cx="5566320" cy="843120"/>
                        </a:xfrm>
                      </wpg:grpSpPr>
                      <wps:wsp>
                        <wps:cNvSpPr txBox="1"/>
                        <wps:spPr>
                          <a:xfrm>
                            <a:off x="128160" y="720"/>
                            <a:ext cx="899640" cy="805320"/>
                          </a:xfrm>
                          <a:prstGeom prst="rect">
                            <a:avLst/>
                          </a:prstGeom>
                          <a:solidFill>
                            <a:srgbClr val="ffffff"/>
                          </a:solidFill>
                          <a:ln w="0">
                            <a:noFill/>
                          </a:ln>
                        </wps:spPr>
                        <wps:bodyPr/>
                      </wps:wsp>
                      <wpg:grpSp>
                        <wpg:cNvGrpSpPr/>
                        <wpg:grpSpPr>
                          <a:xfrm>
                            <a:off x="0" y="0"/>
                            <a:ext cx="5566320" cy="843120"/>
                          </a:xfrm>
                        </wpg:grpSpPr>
                        <wps:wsp>
                          <wps:cNvSpPr txBox="1"/>
                          <wps:spPr>
                            <a:xfrm>
                              <a:off x="1066680" y="0"/>
                              <a:ext cx="4499640" cy="819720"/>
                            </a:xfrm>
                            <a:prstGeom prst="rect">
                              <a:avLst/>
                            </a:prstGeom>
                            <a:solidFill>
                              <a:srgbClr val="ffffff"/>
                            </a:solidFill>
                            <a:ln w="6480">
                              <a:solidFill>
                                <a:srgbClr val="000000"/>
                              </a:solidFill>
                              <a:miter/>
                            </a:ln>
                          </wps:spPr>
                          <wps:txbx>
                            <w:txbxContent>
                              <w:p>
                                <w:pPr>
                                  <w:overflowPunct w:val="false"/>
                                  <w:bidi w:val="0"/>
                                  <w:spacing w:before="124" w:after="0"/>
                                  <w:jc w:val="both"/>
                                  <w:rPr/>
                                </w:pPr>
                                <w:r>
                                  <w:rPr>
                                    <w:kern w:val="2"/>
                                    <w:sz w:val="24"/>
                                    <w:szCs w:val="24"/>
                                    <w:bCs/>
                                    <w:rFonts w:ascii="仿宋_GB2312" w:hAnsi="仿宋_GB2312" w:eastAsia="仿宋_GB2312" w:cs="微软雅黑"/>
                                    <w:color w:val="auto"/>
                                    <w:lang w:val="en-US" w:eastAsia="zh-CN" w:bidi="ar-SA"/>
                                  </w:rPr>
                                  <w:t>地址：杭州市拱墅区嘉联华铭座1003室</w:t>
                                </w:r>
                              </w:p>
                              <w:p>
                                <w:pPr>
                                  <w:overflowPunct w:val="false"/>
                                  <w:bidi w:val="0"/>
                                  <w:spacing w:before="124" w:after="0"/>
                                  <w:jc w:val="both"/>
                                  <w:rPr/>
                                </w:pPr>
                                <w:r>
                                  <w:rPr>
                                    <w:kern w:val="2"/>
                                    <w:sz w:val="24"/>
                                    <w:szCs w:val="24"/>
                                    <w:bCs/>
                                    <w:rFonts w:ascii="仿宋_GB2312" w:hAnsi="仿宋_GB2312" w:eastAsia="仿宋_GB2312" w:cs="微软雅黑"/>
                                    <w:color w:val="auto"/>
                                    <w:lang w:val="en-US" w:eastAsia="zh-CN" w:bidi="ar-SA"/>
                                  </w:rPr>
                                  <w:t>电话：0571-28066616</w:t>
                                </w:r>
                              </w:p>
                            </w:txbxContent>
                          </wps:txbx>
                          <wps:bodyPr wrap="square" anchor="t">
                            <a:noAutofit/>
                          </wps:bodyPr>
                        </wps:wsp>
                        <wps:wsp>
                          <wps:cNvPr id="3" name="矩形 9"/>
                          <wps:cNvSpPr/>
                          <wps:spPr>
                            <a:xfrm>
                              <a:off x="0" y="720"/>
                              <a:ext cx="85680" cy="214560"/>
                            </a:xfrm>
                            <a:prstGeom prst="rect">
                              <a:avLst/>
                            </a:prstGeom>
                            <a:solidFill>
                              <a:srgbClr val="c3ad72"/>
                            </a:solidFill>
                            <a:ln w="0">
                              <a:noFill/>
                            </a:ln>
                          </wps:spPr>
                          <wps:style>
                            <a:lnRef idx="0"/>
                            <a:fillRef idx="0"/>
                            <a:effectRef idx="0"/>
                            <a:fontRef idx="minor"/>
                          </wps:style>
                          <wps:bodyPr/>
                        </wps:wsp>
                        <wps:wsp>
                          <wps:cNvPr id="4" name="矩形 10"/>
                          <wps:cNvSpPr/>
                          <wps:spPr>
                            <a:xfrm>
                              <a:off x="0" y="324000"/>
                              <a:ext cx="85680" cy="214560"/>
                            </a:xfrm>
                            <a:prstGeom prst="rect">
                              <a:avLst/>
                            </a:prstGeom>
                            <a:solidFill>
                              <a:srgbClr val="a6a6a6"/>
                            </a:solidFill>
                            <a:ln w="0">
                              <a:noFill/>
                            </a:ln>
                          </wps:spPr>
                          <wps:style>
                            <a:lnRef idx="0"/>
                            <a:fillRef idx="0"/>
                            <a:effectRef idx="0"/>
                            <a:fontRef idx="minor"/>
                          </wps:style>
                          <wps:bodyPr/>
                        </wps:wsp>
                        <wps:wsp>
                          <wps:cNvPr id="5" name="矩形 11"/>
                          <wps:cNvSpPr/>
                          <wps:spPr>
                            <a:xfrm>
                              <a:off x="0" y="628560"/>
                              <a:ext cx="85680" cy="214560"/>
                            </a:xfrm>
                            <a:prstGeom prst="rect">
                              <a:avLst/>
                            </a:prstGeom>
                            <a:solidFill>
                              <a:srgbClr val="7f7f7f"/>
                            </a:solidFill>
                            <a:ln w="0">
                              <a:noFill/>
                            </a:ln>
                          </wps:spPr>
                          <wps:style>
                            <a:lnRef idx="0"/>
                            <a:fillRef idx="0"/>
                            <a:effectRef idx="0"/>
                            <a:fontRef idx="minor"/>
                          </wps:style>
                          <wps:bodyPr/>
                        </wps:wsp>
                      </wpg:grpSp>
                    </wpg:wgp>
                  </a:graphicData>
                </a:graphic>
              </wp:anchor>
            </w:drawing>
          </mc:Choice>
          <mc:Fallback>
            <w:pict>
              <v:group id="shape_0" alt="组合 4" style="position:absolute;margin-left:-0.2pt;margin-top:43.1pt;width:438.3pt;height:66.35pt" coordorigin="-4,862" coordsize="8766,1327">
                <v:shapetype id="_x0000_t202" coordsize="21600,21600" o:spt="202" path="m,l,21600l21600,21600l21600,xe">
                  <v:stroke joinstyle="miter"/>
                  <v:path gradientshapeok="t" o:connecttype="rect"/>
                </v:shapetype>
                <v:shape id="shape_0" fillcolor="white" stroked="f" o:allowincell="f" style="position:absolute;left:198;top:863;width:1416;height:1267;mso-wrap-style:none;v-text-anchor:middle" type="_x0000_t202">
                  <v:textbox>
                    <w:txbxContent>
                      <w:p>
                        <w:pPr>
                          <w:overflowPunct w:val="false"/>
                          <w:bidi w:val="0"/>
                          <w:jc w:val="both"/>
                          <w:rPr/>
                        </w:pPr>
                        <w:r>
                          <w:rPr>
                            <w:sz w:val="24"/>
                            <w:rFonts w:ascii="Liberation Serif" w:hAnsi="Liberation Serif" w:eastAsia="Noto Serif CJK SC" w:cs="FreeSans"/>
                            <w:lang w:bidi="hi-IN"/>
                          </w:rPr>
                        </w:r>
                      </w:p>
                    </w:txbxContent>
                  </v:textbox>
                  <v:fill o:detectmouseclick="t" type="solid" color2="black"/>
                  <v:stroke color="#3465a4" joinstyle="round" endcap="flat"/>
                  <w10:wrap type="none"/>
                </v:shape>
                <v:group id="shape_0" alt="组合 6" style="position:absolute;left:-4;top:862;width:8766;height:1327">
                  <v:shape id="shape_0" fillcolor="white" stroked="t" o:allowincell="f" style="position:absolute;left:1676;top:862;width:7085;height:1290;mso-wrap-style:square;v-text-anchor:top" type="_x0000_t202">
                    <v:textbox>
                      <w:txbxContent>
                        <w:p>
                          <w:pPr>
                            <w:overflowPunct w:val="false"/>
                            <w:bidi w:val="0"/>
                            <w:spacing w:before="124" w:after="0"/>
                            <w:jc w:val="both"/>
                            <w:rPr/>
                          </w:pPr>
                          <w:r>
                            <w:rPr>
                              <w:kern w:val="2"/>
                              <w:sz w:val="24"/>
                              <w:szCs w:val="24"/>
                              <w:bCs/>
                              <w:rFonts w:ascii="仿宋_GB2312" w:hAnsi="仿宋_GB2312" w:eastAsia="仿宋_GB2312" w:cs="微软雅黑"/>
                              <w:color w:val="auto"/>
                              <w:lang w:val="en-US" w:eastAsia="zh-CN" w:bidi="ar-SA"/>
                            </w:rPr>
                            <w:t>地址：杭州市拱墅区嘉联华铭座1003室</w:t>
                          </w:r>
                        </w:p>
                        <w:p>
                          <w:pPr>
                            <w:overflowPunct w:val="false"/>
                            <w:bidi w:val="0"/>
                            <w:spacing w:before="124" w:after="0"/>
                            <w:jc w:val="both"/>
                            <w:rPr/>
                          </w:pPr>
                          <w:r>
                            <w:rPr>
                              <w:kern w:val="2"/>
                              <w:sz w:val="24"/>
                              <w:szCs w:val="24"/>
                              <w:bCs/>
                              <w:rFonts w:ascii="仿宋_GB2312" w:hAnsi="仿宋_GB2312" w:eastAsia="仿宋_GB2312" w:cs="微软雅黑"/>
                              <w:color w:val="auto"/>
                              <w:lang w:val="en-US" w:eastAsia="zh-CN" w:bidi="ar-SA"/>
                            </w:rPr>
                            <w:t>电话：0571-28066616</w:t>
                          </w:r>
                        </w:p>
                      </w:txbxContent>
                    </v:textbox>
                    <v:fill o:detectmouseclick="t" type="solid" color2="black"/>
                    <v:stroke color="black" weight="6480" joinstyle="miter" endcap="flat"/>
                    <w10:wrap type="none"/>
                  </v:shape>
                  <v:rect id="shape_0" ID="矩形 9" fillcolor="#c3ad72" stroked="f" o:allowincell="f" style="position:absolute;left:-4;top:863;width:134;height:337;mso-wrap-style:none;v-text-anchor:middle">
                    <v:fill o:detectmouseclick="t" type="solid" color2="#3c528d"/>
                    <v:stroke color="#3465a4" joinstyle="round" endcap="flat"/>
                    <w10:wrap type="none"/>
                  </v:rect>
                  <v:rect id="shape_0" ID="矩形 10" fillcolor="#a6a6a6" stroked="f" o:allowincell="f" style="position:absolute;left:-4;top:1372;width:134;height:337;mso-wrap-style:none;v-text-anchor:middle">
                    <v:fill o:detectmouseclick="t" type="solid" color2="#595959"/>
                    <v:stroke color="#3465a4" joinstyle="round" endcap="flat"/>
                    <w10:wrap type="none"/>
                  </v:rect>
                  <v:rect id="shape_0" ID="矩形 11" fillcolor="#7f7f7f" stroked="f" o:allowincell="f" style="position:absolute;left:-4;top:1852;width:134;height:337;mso-wrap-style:none;v-text-anchor:middle">
                    <v:fill o:detectmouseclick="t" type="solid" color2="gray"/>
                    <v:stroke color="#3465a4" joinstyle="round" endcap="flat"/>
                    <w10:wrap type="none"/>
                  </v:rect>
                </v:group>
              </v:group>
            </w:pict>
          </mc:Fallback>
        </mc:AlternateContent>
      </w:r>
    </w:p>
    <w:p>
      <w:pPr>
        <w:pStyle w:val="Normal"/>
        <w:spacing w:lineRule="auto" w:line="360"/>
        <w:textAlignment w:val="bottom"/>
        <w:rPr>
          <w:rStyle w:val="r4"/>
          <w:sz w:val="32"/>
        </w:rPr>
      </w:pPr>
      <w:r>
        <w:rPr/>
      </w:r>
    </w:p>
    <w:p>
      <w:pPr>
        <w:pStyle w:val="Normal"/>
        <w:autoSpaceDE w:val="false"/>
        <w:snapToGrid w:val="false"/>
        <w:spacing w:lineRule="auto" w:line="360" w:before="156" w:after="156"/>
        <w:ind w:firstLine="643" w:end="0"/>
        <w:jc w:val="center"/>
        <w:textAlignment w:val="bottom"/>
        <w:rPr>
          <w:rStyle w:val="r4"/>
          <w:b/>
          <w:sz w:val="32"/>
          <w:szCs w:val="32"/>
        </w:rPr>
      </w:pPr>
      <w:r>
        <w:rPr/>
      </w:r>
    </w:p>
    <w:p>
      <w:pPr>
        <w:pStyle w:val="Normal"/>
        <w:autoSpaceDE w:val="false"/>
        <w:snapToGrid w:val="false"/>
        <w:spacing w:lineRule="auto" w:line="360" w:before="156" w:after="156"/>
        <w:ind w:firstLine="643" w:end="0"/>
        <w:jc w:val="center"/>
        <w:textAlignment w:val="bottom"/>
        <w:rPr>
          <w:b/>
          <w:sz w:val="32"/>
          <w:szCs w:val="32"/>
        </w:rPr>
      </w:pPr>
      <w:r>
        <w:rPr>
          <w:b/>
          <w:sz w:val="32"/>
          <w:szCs w:val="32"/>
        </w:rPr>
        <w:t>致估价委托人函</w:t>
      </w:r>
    </w:p>
    <w:p>
      <w:pPr>
        <w:pStyle w:val="Normal"/>
        <w:spacing w:lineRule="exact" w:line="600"/>
        <w:textAlignment w:val="bottom"/>
        <w:rPr/>
      </w:pPr>
      <w:r>
        <w:rPr>
          <w:rStyle w:val="client1"/>
          <w:szCs w:val="28"/>
        </w:rPr>
        <w:t>{{委托人}}</w:t>
      </w:r>
      <w:r>
        <w:rPr/>
        <w:t xml:space="preserve">： </w:t>
      </w:r>
    </w:p>
    <w:p>
      <w:pPr>
        <w:pStyle w:val="Normal"/>
        <w:autoSpaceDE w:val="false"/>
        <w:snapToGrid w:val="false"/>
        <w:spacing w:lineRule="exact" w:line="600"/>
        <w:ind w:firstLine="560" w:end="0"/>
        <w:textAlignment w:val="bottom"/>
        <w:rPr/>
      </w:pPr>
      <w:r>
        <w:rPr/>
        <w:t>根据贵方的委托要求，我公司派估价人员于{{价值时点}}对估价对象进行了实地查勘，并确定该查勘日期为价值时点。</w:t>
      </w:r>
    </w:p>
    <w:p>
      <w:pPr>
        <w:pStyle w:val="Normal"/>
        <w:autoSpaceDE w:val="false"/>
        <w:snapToGrid w:val="false"/>
        <w:spacing w:lineRule="exact" w:line="600"/>
        <w:ind w:firstLine="560" w:end="0"/>
        <w:textAlignment w:val="bottom"/>
        <w:rPr/>
      </w:pPr>
      <w:r>
        <w:rPr/>
        <w:t>估价人员根据国家和地方的有关评估管理规定，选用比较法和收益法，对</w:t>
      </w:r>
      <w:r>
        <w:rPr>
          <w:rStyle w:val="s1"/>
        </w:rPr>
        <w:t>{{权属人}}</w:t>
      </w:r>
      <w:r>
        <w:rPr/>
        <w:t>所有的位于</w:t>
      </w:r>
      <w:r>
        <w:rPr>
          <w:rStyle w:val="s"/>
        </w:rPr>
        <w:t>{{房产地址}}</w:t>
      </w:r>
      <w:r>
        <w:rPr/>
        <w:t>的</w:t>
      </w:r>
      <w:r>
        <w:rPr>
          <w:rStyle w:val="r"/>
          <w:szCs w:val="32"/>
        </w:rPr>
        <w:t>住宅</w:t>
      </w:r>
      <w:r>
        <w:rPr/>
        <w:t>房地产进行估价，估价目的为人民法院确定财产处置参考价提供参考依据。</w:t>
      </w:r>
    </w:p>
    <w:p>
      <w:pPr>
        <w:pStyle w:val="Normal"/>
        <w:autoSpaceDE w:val="false"/>
        <w:snapToGrid w:val="false"/>
        <w:spacing w:lineRule="exact" w:line="600"/>
        <w:ind w:firstLine="560" w:end="0"/>
        <w:textAlignment w:val="bottom"/>
        <w:rPr>
          <w:b/>
        </w:rPr>
      </w:pPr>
      <w:r>
        <w:rPr/>
        <w:t>估价对象房屋证载建筑面积为{{建筑面积}}平方米、土地使用权面积为</w:t>
      </w:r>
      <w:r>
        <w:rPr>
          <w:rStyle w:val="s8"/>
        </w:rPr>
        <w:t>{{土地面积}}平方米</w:t>
      </w:r>
      <w:r>
        <w:rPr/>
        <w:t>，包含房地产内部固定装修以及相关房屋配套设施设备，不包含动产、债权债务、特许经营权等其他财产或权益。估价人员遵循独立、客观、公正、合法等估价原则，按照严谨的估价程序，经过仔细的分析测算，确定估价对象房地产在价值时点（{{价值时点}}）的市场价格为</w:t>
      </w:r>
      <w:r>
        <w:rPr>
          <w:b/>
        </w:rPr>
        <w:t>人民币{{评估总价}}（含室内固定装修价值），大写为{{评估总价大写}}；单价为{{评估单价}}，大写为每平方米{{评估单价大写}}</w:t>
      </w:r>
      <w:r>
        <w:rPr>
          <w:szCs w:val="28"/>
        </w:rPr>
        <w:t>。</w:t>
      </w:r>
    </w:p>
    <w:p>
      <w:pPr>
        <w:pStyle w:val="2"/>
        <w:spacing w:lineRule="exact" w:line="600"/>
        <w:ind w:firstLine="560" w:end="0"/>
        <w:rPr/>
      </w:pPr>
      <w:r>
        <w:rPr/>
        <w:t xml:space="preserve"> 特此函告 </w:t>
      </w:r>
    </w:p>
    <w:p>
      <w:pPr>
        <w:pStyle w:val="Normal"/>
        <w:autoSpaceDE w:val="false"/>
        <w:snapToGrid w:val="false"/>
        <w:spacing w:lineRule="exact" w:line="540"/>
        <w:ind w:firstLine="600" w:end="0"/>
        <w:textAlignment w:val="bottom"/>
        <w:rPr>
          <w:sz w:val="24"/>
        </w:rPr>
      </w:pPr>
      <w:r>
        <w:rPr>
          <w:sz w:val="24"/>
        </w:rPr>
        <w:t>特别提示：</w:t>
      </w:r>
    </w:p>
    <w:p>
      <w:pPr>
        <w:pStyle w:val="Normal"/>
        <w:autoSpaceDE w:val="false"/>
        <w:snapToGrid w:val="false"/>
        <w:spacing w:lineRule="exact" w:line="400"/>
        <w:ind w:firstLine="480" w:end="0"/>
        <w:textAlignment w:val="bottom"/>
        <w:rPr>
          <w:sz w:val="24"/>
        </w:rPr>
      </w:pPr>
      <w:r>
        <w:rPr>
          <w:rFonts w:cs="仿宋_GB2312"/>
          <w:sz w:val="24"/>
        </w:rPr>
        <w:t xml:space="preserve"> </w:t>
      </w:r>
      <w:r>
        <w:rPr>
          <w:sz w:val="24"/>
        </w:rPr>
        <w:t>1、本估价结果受到估价报告中已说明的估价假设和限制条件的限制。</w:t>
      </w:r>
    </w:p>
    <w:p>
      <w:pPr>
        <w:pStyle w:val="2"/>
        <w:spacing w:lineRule="exact" w:line="400"/>
        <w:ind w:firstLine="480" w:end="0"/>
        <w:rPr/>
      </w:pPr>
      <w:r>
        <w:rPr>
          <w:rFonts w:cs="仿宋_GB2312"/>
          <w:sz w:val="24"/>
        </w:rPr>
        <w:t xml:space="preserve"> </w:t>
      </w:r>
      <w:r>
        <w:rPr>
          <w:sz w:val="24"/>
        </w:rPr>
        <w:t>2、本估价报告的使用期限为{{报告日期}}起壹年。</w:t>
      </w:r>
    </w:p>
    <w:p>
      <w:pPr>
        <w:pStyle w:val="2"/>
        <w:spacing w:lineRule="exact" w:line="400"/>
        <w:ind w:firstLine="480" w:end="0"/>
        <w:rPr>
          <w:sz w:val="24"/>
        </w:rPr>
      </w:pPr>
      <w:r>
        <w:rPr>
          <w:sz w:val="24"/>
        </w:rPr>
      </w:r>
    </w:p>
    <w:p>
      <w:pPr>
        <w:pStyle w:val="Style12"/>
        <w:widowControl/>
        <w:spacing w:lineRule="exact" w:line="600"/>
        <w:rPr>
          <w:rFonts w:ascii="仿宋_GB2312" w:hAnsi="仿宋_GB2312" w:eastAsia="仿宋_GB2312"/>
        </w:rPr>
      </w:pPr>
      <w:r>
        <w:rPr>
          <w:rStyle w:val="corp1name"/>
          <w:rFonts w:ascii="仿宋_GB2312" w:hAnsi="仿宋_GB2312" w:eastAsia="仿宋_GB2312"/>
        </w:rPr>
        <w:t>浙江国信房地产土地估价咨询有限公司</w:t>
      </w:r>
    </w:p>
    <w:p>
      <w:pPr>
        <w:pStyle w:val="Style14"/>
        <w:spacing w:lineRule="exact" w:line="600" w:before="0" w:after="0"/>
        <w:jc w:val="end"/>
        <w:textAlignment w:val="bottom"/>
        <w:rPr/>
      </w:pPr>
      <w:r>
        <w:rPr/>
        <w:t>法定代表人：何伟勇</w:t>
      </w:r>
    </w:p>
    <w:p>
      <w:pPr>
        <w:sectPr>
          <w:headerReference w:type="default" r:id="rId6"/>
          <w:headerReference w:type="first" r:id="rId7"/>
          <w:footerReference w:type="default" r:id="rId8"/>
          <w:footerReference w:type="first" r:id="rId9"/>
          <w:type w:val="nextPage"/>
          <w:pgSz w:w="11906" w:h="16838"/>
          <w:pgMar w:left="1588" w:right="1134" w:gutter="340" w:header="851" w:top="1440" w:footer="992" w:bottom="1440"/>
          <w:pgNumType w:start="1" w:fmt="decimal"/>
          <w:formProt w:val="false"/>
          <w:titlePg/>
          <w:textDirection w:val="lrTb"/>
          <w:docGrid w:type="lines" w:linePitch="312" w:charSpace="0"/>
        </w:sectPr>
        <w:pStyle w:val="Normal"/>
        <w:spacing w:lineRule="exact" w:line="600"/>
        <w:jc w:val="end"/>
        <w:textAlignment w:val="bottom"/>
        <w:rPr>
          <w:rStyle w:val="r3"/>
        </w:rPr>
      </w:pPr>
      <w:r>
        <w:rPr>
          <w:rStyle w:val="r3"/>
        </w:rPr>
        <w:t>{{报告日期}}</w:t>
      </w:r>
    </w:p>
    <w:p>
      <w:pPr>
        <w:pStyle w:val="Normal"/>
        <w:spacing w:lineRule="auto" w:line="480"/>
        <w:jc w:val="center"/>
        <w:textAlignment w:val="bottom"/>
        <w:rPr/>
      </w:pPr>
      <w:r>
        <w:rPr>
          <w:rStyle w:val="r4"/>
          <w:b/>
          <w:sz w:val="32"/>
        </w:rPr>
        <w:t>目 录</w:t>
      </w:r>
    </w:p>
    <w:sdt>
      <w:sdtPr>
        <w:docPartObj>
          <w:docPartGallery w:val="Table of Contents"/>
          <w:docPartUnique w:val="true"/>
        </w:docPartObj>
      </w:sdtPr>
      <w:sdtContent>
        <w:p>
          <w:pPr>
            <w:pStyle w:val="TOC1"/>
            <w:rPr>
              <w:rFonts w:ascii="Calibri" w:hAnsi="Calibri" w:eastAsia="宋体;SimSun" w:cs="Calibri"/>
              <w:sz w:val="21"/>
              <w:szCs w:val="22"/>
              <w:lang w:val="en-US" w:eastAsia="en-US"/>
            </w:rPr>
          </w:pPr>
          <w:r>
            <w:fldChar w:fldCharType="begin"/>
          </w:r>
          <w:r>
            <w:rPr>
              <w:rStyle w:val="IndexLink"/>
              <w:lang w:val="en-US" w:eastAsia="en-US"/>
            </w:rPr>
            <w:instrText xml:space="preserve"> TOC \o "1-3" \h \z \u </w:instrText>
            <w:fldChar w:fldCharType="separate"/>
          </w:r>
          <w:hyperlink w:anchor="__RefHeading___Toc208393247">
            <w:r>
              <w:rPr>
                <w:rStyle w:val="IndexLink"/>
                <w:lang w:val="en-US" w:eastAsia="en-US"/>
              </w:rPr>
              <w:t>第一部分  估价师声明</w:t>
              <w:tab/>
              <w:t>1</w:t>
            </w:r>
          </w:hyperlink>
        </w:p>
        <w:p>
          <w:pPr>
            <w:pStyle w:val="TOC1"/>
            <w:rPr>
              <w:rFonts w:ascii="Calibri" w:hAnsi="Calibri" w:eastAsia="宋体;SimSun" w:cs="Calibri"/>
              <w:sz w:val="21"/>
              <w:szCs w:val="22"/>
              <w:lang w:val="en-US" w:eastAsia="en-US"/>
            </w:rPr>
          </w:pPr>
          <w:hyperlink w:anchor="__RefHeading___Toc208393248">
            <w:r>
              <w:rPr>
                <w:rStyle w:val="IndexLink"/>
                <w:lang w:val="en-US" w:eastAsia="en-US"/>
              </w:rPr>
              <w:t>第二部分  估价假设和限制条件</w:t>
              <w:tab/>
              <w:t>2</w:t>
            </w:r>
          </w:hyperlink>
        </w:p>
        <w:p>
          <w:pPr>
            <w:pStyle w:val="TOC2"/>
            <w:rPr>
              <w:rFonts w:ascii="Calibri" w:hAnsi="Calibri" w:eastAsia="宋体;SimSun" w:cs="Calibri"/>
              <w:sz w:val="21"/>
              <w:szCs w:val="22"/>
              <w:lang w:val="en-US" w:eastAsia="en-US"/>
            </w:rPr>
          </w:pPr>
          <w:hyperlink w:anchor="__RefHeading___Toc208393249">
            <w:r>
              <w:rPr>
                <w:rStyle w:val="IndexLink"/>
                <w:rFonts w:cs="宋体;SimSun"/>
                <w:bCs/>
                <w:lang w:val="en-US" w:eastAsia="en-US"/>
              </w:rPr>
              <w:t>一、估价假设</w:t>
            </w:r>
            <w:r>
              <w:rPr>
                <w:rStyle w:val="IndexLink"/>
                <w:lang w:val="en-US" w:eastAsia="en-US"/>
              </w:rPr>
              <w:tab/>
              <w:t>2</w:t>
            </w:r>
          </w:hyperlink>
        </w:p>
        <w:p>
          <w:pPr>
            <w:pStyle w:val="TOC2"/>
            <w:rPr>
              <w:rFonts w:ascii="Calibri" w:hAnsi="Calibri" w:eastAsia="宋体;SimSun" w:cs="Calibri"/>
              <w:sz w:val="21"/>
              <w:szCs w:val="22"/>
              <w:lang w:val="en-US" w:eastAsia="en-US"/>
            </w:rPr>
          </w:pPr>
          <w:hyperlink w:anchor="__RefHeading___Toc208393250">
            <w:r>
              <w:rPr>
                <w:rStyle w:val="IndexLink"/>
                <w:rFonts w:cs="宋体;SimSun"/>
                <w:lang w:val="en-US" w:eastAsia="en-US"/>
              </w:rPr>
              <w:t>二、限制条件</w:t>
            </w:r>
            <w:r>
              <w:rPr>
                <w:rStyle w:val="IndexLink"/>
                <w:lang w:val="en-US" w:eastAsia="en-US"/>
              </w:rPr>
              <w:tab/>
              <w:t>4</w:t>
            </w:r>
          </w:hyperlink>
        </w:p>
        <w:p>
          <w:pPr>
            <w:pStyle w:val="TOC1"/>
            <w:rPr>
              <w:rFonts w:ascii="Calibri" w:hAnsi="Calibri" w:eastAsia="宋体;SimSun" w:cs="Calibri"/>
              <w:sz w:val="21"/>
              <w:szCs w:val="22"/>
              <w:lang w:val="en-US" w:eastAsia="en-US"/>
            </w:rPr>
          </w:pPr>
          <w:hyperlink w:anchor="__RefHeading___Toc208393251">
            <w:r>
              <w:rPr>
                <w:rStyle w:val="IndexLink"/>
                <w:lang w:val="en-US" w:eastAsia="en-US"/>
              </w:rPr>
              <w:t>第三部分  房地产估价结果报告</w:t>
              <w:tab/>
              <w:t>6</w:t>
            </w:r>
          </w:hyperlink>
        </w:p>
        <w:p>
          <w:pPr>
            <w:pStyle w:val="TOC2"/>
            <w:rPr>
              <w:rFonts w:ascii="Calibri" w:hAnsi="Calibri" w:eastAsia="宋体;SimSun" w:cs="Calibri"/>
              <w:sz w:val="21"/>
              <w:szCs w:val="22"/>
              <w:lang w:val="en-US" w:eastAsia="en-US"/>
            </w:rPr>
          </w:pPr>
          <w:hyperlink w:anchor="__RefHeading___Toc208393252">
            <w:r>
              <w:rPr>
                <w:rStyle w:val="IndexLink"/>
                <w:rFonts w:cs="宋体;SimSun"/>
                <w:lang w:val="en-US" w:eastAsia="en-US"/>
              </w:rPr>
              <w:t>一、估价委托人</w:t>
            </w:r>
            <w:r>
              <w:rPr>
                <w:rStyle w:val="IndexLink"/>
                <w:lang w:val="en-US" w:eastAsia="en-US"/>
              </w:rPr>
              <w:tab/>
              <w:t>6</w:t>
            </w:r>
          </w:hyperlink>
        </w:p>
        <w:p>
          <w:pPr>
            <w:pStyle w:val="TOC2"/>
            <w:rPr>
              <w:rFonts w:ascii="Calibri" w:hAnsi="Calibri" w:eastAsia="宋体;SimSun" w:cs="Calibri"/>
              <w:sz w:val="21"/>
              <w:szCs w:val="22"/>
              <w:lang w:val="en-US" w:eastAsia="en-US"/>
            </w:rPr>
          </w:pPr>
          <w:hyperlink w:anchor="__RefHeading___Toc208393253">
            <w:r>
              <w:rPr>
                <w:rStyle w:val="IndexLink"/>
                <w:rFonts w:cs="宋体;SimSun"/>
                <w:lang w:val="en-US" w:eastAsia="en-US"/>
              </w:rPr>
              <w:t>二、房地产估价机构</w:t>
            </w:r>
            <w:r>
              <w:rPr>
                <w:rStyle w:val="IndexLink"/>
                <w:lang w:val="en-US" w:eastAsia="en-US"/>
              </w:rPr>
              <w:tab/>
              <w:t>6</w:t>
            </w:r>
          </w:hyperlink>
        </w:p>
        <w:p>
          <w:pPr>
            <w:pStyle w:val="TOC2"/>
            <w:rPr>
              <w:rFonts w:ascii="Calibri" w:hAnsi="Calibri" w:eastAsia="宋体;SimSun" w:cs="Calibri"/>
              <w:sz w:val="21"/>
              <w:szCs w:val="22"/>
              <w:lang w:val="en-US" w:eastAsia="en-US"/>
            </w:rPr>
          </w:pPr>
          <w:hyperlink w:anchor="__RefHeading___Toc208393254">
            <w:r>
              <w:rPr>
                <w:rStyle w:val="IndexLink"/>
                <w:rFonts w:cs="宋体;SimSun"/>
                <w:lang w:val="en-US" w:eastAsia="en-US"/>
              </w:rPr>
              <w:t>三、估价目的</w:t>
            </w:r>
            <w:r>
              <w:rPr>
                <w:rStyle w:val="IndexLink"/>
                <w:lang w:val="en-US" w:eastAsia="en-US"/>
              </w:rPr>
              <w:tab/>
              <w:t>6</w:t>
            </w:r>
          </w:hyperlink>
        </w:p>
        <w:p>
          <w:pPr>
            <w:pStyle w:val="TOC2"/>
            <w:rPr>
              <w:rFonts w:ascii="Calibri" w:hAnsi="Calibri" w:eastAsia="宋体;SimSun" w:cs="Calibri"/>
              <w:sz w:val="21"/>
              <w:szCs w:val="22"/>
              <w:lang w:val="en-US" w:eastAsia="en-US"/>
            </w:rPr>
          </w:pPr>
          <w:hyperlink w:anchor="__RefHeading___Toc208393255">
            <w:r>
              <w:rPr>
                <w:rStyle w:val="IndexLink"/>
                <w:rFonts w:cs="宋体;SimSun"/>
                <w:lang w:val="en-US" w:eastAsia="en-US"/>
              </w:rPr>
              <w:t>四、估价对象</w:t>
            </w:r>
            <w:r>
              <w:rPr>
                <w:rStyle w:val="IndexLink"/>
                <w:lang w:val="en-US" w:eastAsia="en-US"/>
              </w:rPr>
              <w:tab/>
              <w:t>6</w:t>
            </w:r>
          </w:hyperlink>
        </w:p>
        <w:p>
          <w:pPr>
            <w:pStyle w:val="TOC2"/>
            <w:rPr>
              <w:rFonts w:ascii="Calibri" w:hAnsi="Calibri" w:eastAsia="宋体;SimSun" w:cs="Calibri"/>
              <w:sz w:val="21"/>
              <w:szCs w:val="22"/>
              <w:lang w:val="en-US" w:eastAsia="en-US"/>
            </w:rPr>
          </w:pPr>
          <w:hyperlink w:anchor="__RefHeading___Toc208393256">
            <w:r>
              <w:rPr>
                <w:rStyle w:val="IndexLink"/>
                <w:rFonts w:cs="宋体;SimSun"/>
                <w:lang w:val="en-US" w:eastAsia="en-US"/>
              </w:rPr>
              <w:t>五、价值时点</w:t>
            </w:r>
            <w:r>
              <w:rPr>
                <w:rStyle w:val="IndexLink"/>
                <w:lang w:val="en-US" w:eastAsia="en-US"/>
              </w:rPr>
              <w:tab/>
              <w:t>8</w:t>
            </w:r>
          </w:hyperlink>
        </w:p>
        <w:p>
          <w:pPr>
            <w:pStyle w:val="TOC2"/>
            <w:rPr>
              <w:rFonts w:ascii="Calibri" w:hAnsi="Calibri" w:eastAsia="宋体;SimSun" w:cs="Calibri"/>
              <w:sz w:val="21"/>
              <w:szCs w:val="22"/>
              <w:lang w:val="en-US" w:eastAsia="en-US"/>
            </w:rPr>
          </w:pPr>
          <w:hyperlink w:anchor="__RefHeading___Toc208393257">
            <w:r>
              <w:rPr>
                <w:rStyle w:val="IndexLink"/>
                <w:rFonts w:cs="宋体;SimSun"/>
                <w:lang w:val="en-US" w:eastAsia="en-US"/>
              </w:rPr>
              <w:t>六、价值类型</w:t>
            </w:r>
            <w:r>
              <w:rPr>
                <w:rStyle w:val="IndexLink"/>
                <w:lang w:val="en-US" w:eastAsia="en-US"/>
              </w:rPr>
              <w:tab/>
              <w:t>8</w:t>
            </w:r>
          </w:hyperlink>
        </w:p>
        <w:p>
          <w:pPr>
            <w:pStyle w:val="TOC2"/>
            <w:rPr>
              <w:rFonts w:ascii="Calibri" w:hAnsi="Calibri" w:eastAsia="宋体;SimSun" w:cs="Calibri"/>
              <w:sz w:val="21"/>
              <w:szCs w:val="22"/>
              <w:lang w:val="en-US" w:eastAsia="en-US"/>
            </w:rPr>
          </w:pPr>
          <w:hyperlink w:anchor="__RefHeading___Toc208393258">
            <w:r>
              <w:rPr>
                <w:rStyle w:val="IndexLink"/>
                <w:rFonts w:cs="宋体;SimSun"/>
                <w:lang w:val="en-US" w:eastAsia="en-US"/>
              </w:rPr>
              <w:t>七、估价依据</w:t>
            </w:r>
            <w:r>
              <w:rPr>
                <w:rStyle w:val="IndexLink"/>
                <w:lang w:val="en-US" w:eastAsia="en-US"/>
              </w:rPr>
              <w:tab/>
              <w:t>9</w:t>
            </w:r>
          </w:hyperlink>
        </w:p>
        <w:p>
          <w:pPr>
            <w:pStyle w:val="TOC2"/>
            <w:rPr>
              <w:rFonts w:ascii="Calibri" w:hAnsi="Calibri" w:eastAsia="宋体;SimSun" w:cs="Calibri"/>
              <w:sz w:val="21"/>
              <w:szCs w:val="22"/>
              <w:lang w:val="en-US" w:eastAsia="en-US"/>
            </w:rPr>
          </w:pPr>
          <w:hyperlink w:anchor="__RefHeading___Toc208393259">
            <w:r>
              <w:rPr>
                <w:rStyle w:val="IndexLink"/>
                <w:rFonts w:cs="宋体;SimSun"/>
                <w:lang w:val="en-US" w:eastAsia="en-US"/>
              </w:rPr>
              <w:t>八、估价原则</w:t>
            </w:r>
            <w:r>
              <w:rPr>
                <w:rStyle w:val="IndexLink"/>
                <w:lang w:val="en-US" w:eastAsia="en-US"/>
              </w:rPr>
              <w:tab/>
              <w:t>10</w:t>
            </w:r>
          </w:hyperlink>
        </w:p>
        <w:p>
          <w:pPr>
            <w:pStyle w:val="TOC2"/>
            <w:rPr>
              <w:rFonts w:ascii="Calibri" w:hAnsi="Calibri" w:eastAsia="宋体;SimSun" w:cs="Calibri"/>
              <w:sz w:val="21"/>
              <w:szCs w:val="22"/>
              <w:lang w:val="en-US" w:eastAsia="en-US"/>
            </w:rPr>
          </w:pPr>
          <w:hyperlink w:anchor="__RefHeading___Toc208393260">
            <w:r>
              <w:rPr>
                <w:rStyle w:val="IndexLink"/>
                <w:rFonts w:cs="宋体;SimSun"/>
                <w:lang w:val="en-US" w:eastAsia="en-US"/>
              </w:rPr>
              <w:t>九、估价方法</w:t>
            </w:r>
            <w:r>
              <w:rPr>
                <w:rStyle w:val="IndexLink"/>
                <w:lang w:val="en-US" w:eastAsia="en-US"/>
              </w:rPr>
              <w:tab/>
              <w:t>11</w:t>
            </w:r>
          </w:hyperlink>
        </w:p>
        <w:p>
          <w:pPr>
            <w:pStyle w:val="TOC2"/>
            <w:rPr>
              <w:rFonts w:ascii="Calibri" w:hAnsi="Calibri" w:eastAsia="宋体;SimSun" w:cs="Calibri"/>
              <w:sz w:val="21"/>
              <w:szCs w:val="22"/>
              <w:lang w:val="en-US" w:eastAsia="en-US"/>
            </w:rPr>
          </w:pPr>
          <w:hyperlink w:anchor="__RefHeading___Toc208393261">
            <w:r>
              <w:rPr>
                <w:rStyle w:val="IndexLink"/>
                <w:rFonts w:cs="宋体;SimSun"/>
                <w:lang w:val="en-US" w:eastAsia="en-US"/>
              </w:rPr>
              <w:t>十、估价结果</w:t>
            </w:r>
            <w:r>
              <w:rPr>
                <w:rStyle w:val="IndexLink"/>
                <w:lang w:val="en-US" w:eastAsia="en-US"/>
              </w:rPr>
              <w:tab/>
              <w:t>11</w:t>
            </w:r>
          </w:hyperlink>
        </w:p>
        <w:p>
          <w:pPr>
            <w:pStyle w:val="TOC2"/>
            <w:rPr>
              <w:rFonts w:ascii="Calibri" w:hAnsi="Calibri" w:eastAsia="宋体;SimSun" w:cs="Calibri"/>
              <w:sz w:val="21"/>
              <w:szCs w:val="22"/>
              <w:lang w:val="en-US" w:eastAsia="en-US"/>
            </w:rPr>
          </w:pPr>
          <w:hyperlink w:anchor="__RefHeading___Toc208393262">
            <w:r>
              <w:rPr>
                <w:rStyle w:val="IndexLink"/>
                <w:rFonts w:cs="宋体;SimSun"/>
                <w:lang w:val="en-US" w:eastAsia="en-US"/>
              </w:rPr>
              <w:t>十一、注册房地产估价师</w:t>
            </w:r>
            <w:r>
              <w:rPr>
                <w:rStyle w:val="IndexLink"/>
                <w:lang w:val="en-US" w:eastAsia="en-US"/>
              </w:rPr>
              <w:tab/>
              <w:t>12</w:t>
            </w:r>
          </w:hyperlink>
        </w:p>
        <w:p>
          <w:pPr>
            <w:pStyle w:val="TOC2"/>
            <w:rPr>
              <w:rFonts w:ascii="Calibri" w:hAnsi="Calibri" w:eastAsia="宋体;SimSun" w:cs="Calibri"/>
              <w:sz w:val="21"/>
              <w:szCs w:val="22"/>
              <w:lang w:val="en-US" w:eastAsia="en-US"/>
            </w:rPr>
          </w:pPr>
          <w:hyperlink w:anchor="__RefHeading___Toc208393263">
            <w:r>
              <w:rPr>
                <w:rStyle w:val="IndexLink"/>
                <w:rFonts w:cs="宋体;SimSun"/>
                <w:lang w:val="en-US" w:eastAsia="en-US"/>
              </w:rPr>
              <w:t>十二、实地查勘期</w:t>
            </w:r>
            <w:r>
              <w:rPr>
                <w:rStyle w:val="IndexLink"/>
                <w:lang w:val="en-US" w:eastAsia="en-US"/>
              </w:rPr>
              <w:tab/>
              <w:t>12</w:t>
            </w:r>
          </w:hyperlink>
        </w:p>
        <w:p>
          <w:pPr>
            <w:pStyle w:val="TOC2"/>
            <w:rPr>
              <w:rFonts w:ascii="Calibri" w:hAnsi="Calibri" w:eastAsia="宋体;SimSun" w:cs="Calibri"/>
              <w:sz w:val="21"/>
              <w:szCs w:val="22"/>
              <w:lang w:val="en-US" w:eastAsia="en-US"/>
            </w:rPr>
          </w:pPr>
          <w:hyperlink w:anchor="__RefHeading___Toc208393264">
            <w:r>
              <w:rPr>
                <w:rStyle w:val="IndexLink"/>
                <w:rFonts w:cs="宋体;SimSun"/>
                <w:lang w:val="en-US" w:eastAsia="en-US"/>
              </w:rPr>
              <w:t>十三、估价作业期</w:t>
            </w:r>
            <w:r>
              <w:rPr>
                <w:rStyle w:val="IndexLink"/>
                <w:lang w:val="en-US" w:eastAsia="en-US"/>
              </w:rPr>
              <w:tab/>
              <w:t>12</w:t>
            </w:r>
          </w:hyperlink>
        </w:p>
        <w:p>
          <w:pPr>
            <w:pStyle w:val="TOC1"/>
            <w:rPr>
              <w:rFonts w:ascii="Calibri" w:hAnsi="Calibri" w:eastAsia="宋体;SimSun" w:cs="Calibri"/>
              <w:sz w:val="21"/>
              <w:szCs w:val="22"/>
              <w:lang w:val="en-US" w:eastAsia="en-US"/>
            </w:rPr>
          </w:pPr>
          <w:hyperlink w:anchor="__RefHeading___Toc208393265">
            <w:r>
              <w:rPr>
                <w:rStyle w:val="IndexLink"/>
                <w:lang w:val="en-US" w:eastAsia="en-US"/>
              </w:rPr>
              <w:t>第四部分  房地产估价技术报告</w:t>
              <w:tab/>
              <w:t>13</w:t>
            </w:r>
          </w:hyperlink>
        </w:p>
        <w:p>
          <w:pPr>
            <w:pStyle w:val="TOC2"/>
            <w:rPr>
              <w:rFonts w:ascii="Calibri" w:hAnsi="Calibri" w:eastAsia="宋体;SimSun" w:cs="Calibri"/>
              <w:sz w:val="21"/>
              <w:szCs w:val="22"/>
              <w:lang w:val="en-US" w:eastAsia="en-US"/>
            </w:rPr>
          </w:pPr>
          <w:hyperlink w:anchor="__RefHeading___Toc208393266">
            <w:r>
              <w:rPr>
                <w:rStyle w:val="IndexLink"/>
                <w:rFonts w:cs="宋体;SimSun"/>
                <w:lang w:val="en-US" w:eastAsia="en-US"/>
              </w:rPr>
              <w:t>一、实物状况描述与分析</w:t>
            </w:r>
            <w:r>
              <w:rPr>
                <w:rStyle w:val="IndexLink"/>
                <w:lang w:val="en-US" w:eastAsia="en-US"/>
              </w:rPr>
              <w:tab/>
              <w:t>13</w:t>
            </w:r>
          </w:hyperlink>
        </w:p>
        <w:p>
          <w:pPr>
            <w:pStyle w:val="TOC2"/>
            <w:rPr>
              <w:rFonts w:ascii="Calibri" w:hAnsi="Calibri" w:eastAsia="宋体;SimSun" w:cs="Calibri"/>
              <w:sz w:val="21"/>
              <w:szCs w:val="22"/>
              <w:lang w:val="en-US" w:eastAsia="en-US"/>
            </w:rPr>
          </w:pPr>
          <w:hyperlink w:anchor="__RefHeading___Toc208393267">
            <w:r>
              <w:rPr>
                <w:rStyle w:val="IndexLink"/>
                <w:rFonts w:cs="宋体;SimSun"/>
                <w:lang w:val="en-US" w:eastAsia="en-US"/>
              </w:rPr>
              <w:t>二、权益状况描述与分析</w:t>
            </w:r>
            <w:r>
              <w:rPr>
                <w:rStyle w:val="IndexLink"/>
                <w:lang w:val="en-US" w:eastAsia="en-US"/>
              </w:rPr>
              <w:tab/>
              <w:t>14</w:t>
            </w:r>
          </w:hyperlink>
        </w:p>
        <w:p>
          <w:pPr>
            <w:pStyle w:val="TOC2"/>
            <w:rPr>
              <w:rFonts w:ascii="Calibri" w:hAnsi="Calibri" w:eastAsia="宋体;SimSun" w:cs="Calibri"/>
              <w:sz w:val="21"/>
              <w:szCs w:val="22"/>
              <w:lang w:val="en-US" w:eastAsia="en-US"/>
            </w:rPr>
          </w:pPr>
          <w:hyperlink w:anchor="__RefHeading___Toc208393268">
            <w:r>
              <w:rPr>
                <w:rStyle w:val="IndexLink"/>
                <w:rFonts w:cs="宋体;SimSun"/>
                <w:lang w:val="en-US" w:eastAsia="en-US"/>
              </w:rPr>
              <w:t>三、区位状况描述与分析</w:t>
            </w:r>
            <w:r>
              <w:rPr>
                <w:rStyle w:val="IndexLink"/>
                <w:lang w:val="en-US" w:eastAsia="en-US"/>
              </w:rPr>
              <w:tab/>
              <w:t>14</w:t>
            </w:r>
          </w:hyperlink>
        </w:p>
        <w:p>
          <w:pPr>
            <w:pStyle w:val="TOC2"/>
            <w:rPr>
              <w:rFonts w:ascii="Calibri" w:hAnsi="Calibri" w:eastAsia="宋体;SimSun" w:cs="Calibri"/>
              <w:sz w:val="21"/>
              <w:szCs w:val="22"/>
              <w:lang w:val="en-US" w:eastAsia="en-US"/>
            </w:rPr>
          </w:pPr>
          <w:hyperlink w:anchor="__RefHeading___Toc208393269">
            <w:r>
              <w:rPr>
                <w:rStyle w:val="IndexLink"/>
                <w:rFonts w:cs="宋体;SimSun"/>
                <w:lang w:val="en-US" w:eastAsia="en-US"/>
              </w:rPr>
              <w:t>四、市场背景描述与分析</w:t>
            </w:r>
            <w:r>
              <w:rPr>
                <w:rStyle w:val="IndexLink"/>
                <w:lang w:val="en-US" w:eastAsia="en-US"/>
              </w:rPr>
              <w:tab/>
              <w:t>15</w:t>
            </w:r>
          </w:hyperlink>
        </w:p>
        <w:p>
          <w:pPr>
            <w:pStyle w:val="TOC2"/>
            <w:rPr>
              <w:rFonts w:ascii="Calibri" w:hAnsi="Calibri" w:eastAsia="宋体;SimSun" w:cs="Calibri"/>
              <w:sz w:val="21"/>
              <w:szCs w:val="22"/>
              <w:lang w:val="en-US" w:eastAsia="en-US"/>
            </w:rPr>
          </w:pPr>
          <w:hyperlink w:anchor="__RefHeading___Toc208393270">
            <w:r>
              <w:rPr>
                <w:rStyle w:val="IndexLink"/>
                <w:rFonts w:cs="宋体;SimSun"/>
                <w:lang w:val="en-US" w:eastAsia="en-US"/>
              </w:rPr>
              <w:t>五、最高最佳利用分析</w:t>
            </w:r>
            <w:r>
              <w:rPr>
                <w:rStyle w:val="IndexLink"/>
                <w:lang w:val="en-US" w:eastAsia="en-US"/>
              </w:rPr>
              <w:tab/>
              <w:t>27</w:t>
            </w:r>
          </w:hyperlink>
        </w:p>
        <w:p>
          <w:pPr>
            <w:pStyle w:val="TOC2"/>
            <w:rPr>
              <w:rFonts w:ascii="Calibri" w:hAnsi="Calibri" w:eastAsia="宋体;SimSun" w:cs="Calibri"/>
              <w:sz w:val="21"/>
              <w:szCs w:val="22"/>
              <w:lang w:val="en-US" w:eastAsia="en-US"/>
            </w:rPr>
          </w:pPr>
          <w:hyperlink w:anchor="__RefHeading___Toc208393271">
            <w:r>
              <w:rPr>
                <w:rStyle w:val="IndexLink"/>
                <w:rFonts w:cs="宋体;SimSun"/>
                <w:lang w:val="en-US" w:eastAsia="en-US"/>
              </w:rPr>
              <w:t>六、估价方法适用性分析</w:t>
            </w:r>
            <w:r>
              <w:rPr>
                <w:rStyle w:val="IndexLink"/>
                <w:lang w:val="en-US" w:eastAsia="en-US"/>
              </w:rPr>
              <w:tab/>
              <w:t>28</w:t>
            </w:r>
          </w:hyperlink>
        </w:p>
        <w:p>
          <w:pPr>
            <w:pStyle w:val="TOC2"/>
            <w:rPr>
              <w:rFonts w:ascii="Calibri" w:hAnsi="Calibri" w:eastAsia="宋体;SimSun" w:cs="Calibri"/>
              <w:sz w:val="21"/>
              <w:szCs w:val="22"/>
              <w:lang w:val="en-US" w:eastAsia="en-US"/>
            </w:rPr>
          </w:pPr>
          <w:hyperlink w:anchor="__RefHeading___Toc208393272">
            <w:r>
              <w:rPr>
                <w:rStyle w:val="IndexLink"/>
                <w:rFonts w:cs="宋体;SimSun"/>
                <w:lang w:val="en-US" w:eastAsia="en-US"/>
              </w:rPr>
              <w:t>七、估价测算过程</w:t>
            </w:r>
            <w:r>
              <w:rPr>
                <w:rStyle w:val="IndexLink"/>
                <w:lang w:val="en-US" w:eastAsia="en-US"/>
              </w:rPr>
              <w:tab/>
              <w:t>29</w:t>
            </w:r>
          </w:hyperlink>
        </w:p>
        <w:p>
          <w:pPr>
            <w:pStyle w:val="TOC2"/>
            <w:rPr>
              <w:rFonts w:ascii="Calibri" w:hAnsi="Calibri" w:eastAsia="宋体;SimSun" w:cs="Calibri"/>
              <w:sz w:val="21"/>
              <w:szCs w:val="22"/>
              <w:lang w:val="en-US" w:eastAsia="en-US"/>
            </w:rPr>
          </w:pPr>
          <w:hyperlink w:anchor="__RefHeading___Toc208393273">
            <w:r>
              <w:rPr>
                <w:rStyle w:val="IndexLink"/>
                <w:rFonts w:cs="宋体;SimSun"/>
                <w:lang w:val="en-US" w:eastAsia="en-US"/>
              </w:rPr>
              <w:t>八、估价结果确定</w:t>
            </w:r>
            <w:r>
              <w:rPr>
                <w:rStyle w:val="IndexLink"/>
                <w:lang w:val="en-US" w:eastAsia="en-US"/>
              </w:rPr>
              <w:tab/>
              <w:t>37</w:t>
            </w:r>
          </w:hyperlink>
        </w:p>
        <w:p>
          <w:pPr>
            <w:pStyle w:val="TOC1"/>
            <w:rPr>
              <w:rFonts w:ascii="Calibri" w:hAnsi="Calibri" w:eastAsia="宋体;SimSun" w:cs="Calibri"/>
              <w:sz w:val="21"/>
              <w:szCs w:val="22"/>
              <w:lang w:val="en-US" w:eastAsia="en-US"/>
            </w:rPr>
          </w:pPr>
          <w:hyperlink w:anchor="__RefHeading___Toc208393274">
            <w:r>
              <w:rPr>
                <w:rStyle w:val="IndexLink"/>
                <w:lang w:val="en-US" w:eastAsia="en-US"/>
              </w:rPr>
              <w:t>第五部分  附件</w:t>
              <w:tab/>
              <w:t>39</w:t>
            </w:r>
          </w:hyperlink>
        </w:p>
        <w:p>
          <w:pPr>
            <w:pStyle w:val="TOC3"/>
            <w:ind w:hanging="560" w:start="560" w:end="0"/>
            <w:rPr>
              <w:rFonts w:ascii="Calibri" w:hAnsi="Calibri" w:eastAsia="宋体;SimSun" w:cs="Calibri"/>
              <w:sz w:val="21"/>
              <w:szCs w:val="22"/>
              <w:lang w:val="en-US" w:eastAsia="en-US"/>
            </w:rPr>
          </w:pPr>
          <w:hyperlink w:anchor="__RefHeading___Toc208393275">
            <w:r>
              <w:rPr>
                <w:rStyle w:val="IndexLink"/>
                <w:lang w:val="en-US" w:eastAsia="en-US"/>
              </w:rPr>
              <w:t>附件一、 《{{委托人}}资产评估委托书》（复印件）</w:t>
              <w:tab/>
              <w:t>39</w:t>
            </w:r>
          </w:hyperlink>
        </w:p>
        <w:p>
          <w:pPr>
            <w:pStyle w:val="TOC3"/>
            <w:ind w:hanging="560" w:start="560" w:end="0"/>
            <w:rPr>
              <w:rFonts w:ascii="Calibri" w:hAnsi="Calibri" w:eastAsia="宋体;SimSun" w:cs="Calibri"/>
              <w:sz w:val="21"/>
              <w:szCs w:val="22"/>
              <w:lang w:val="en-US" w:eastAsia="en-US"/>
            </w:rPr>
          </w:pPr>
          <w:hyperlink w:anchor="__RefHeading___Toc208393276">
            <w:r>
              <w:rPr>
                <w:rStyle w:val="IndexLink"/>
                <w:lang w:val="en-US" w:eastAsia="en-US"/>
              </w:rPr>
              <w:t>附件二、 《杭州市不动产登记信息查询记录》（复印件）</w:t>
              <w:tab/>
              <w:t>39</w:t>
            </w:r>
          </w:hyperlink>
        </w:p>
        <w:p>
          <w:pPr>
            <w:pStyle w:val="TOC3"/>
            <w:ind w:hanging="560" w:start="560" w:end="0"/>
            <w:rPr>
              <w:rFonts w:ascii="Calibri" w:hAnsi="Calibri" w:eastAsia="宋体;SimSun" w:cs="Calibri"/>
              <w:sz w:val="21"/>
              <w:szCs w:val="22"/>
              <w:lang w:val="en-US" w:eastAsia="en-US"/>
            </w:rPr>
          </w:pPr>
          <w:hyperlink w:anchor="__RefHeading___Toc208393277">
            <w:r>
              <w:rPr>
                <w:rStyle w:val="IndexLink"/>
                <w:lang w:val="en-US" w:eastAsia="en-US"/>
              </w:rPr>
              <w:t>附件三、 估价对象位置图</w:t>
              <w:tab/>
              <w:t>39</w:t>
            </w:r>
          </w:hyperlink>
        </w:p>
        <w:p>
          <w:pPr>
            <w:pStyle w:val="TOC3"/>
            <w:ind w:hanging="560" w:start="560" w:end="0"/>
            <w:rPr>
              <w:rFonts w:ascii="Calibri" w:hAnsi="Calibri" w:eastAsia="宋体;SimSun" w:cs="Calibri"/>
              <w:sz w:val="21"/>
              <w:szCs w:val="22"/>
              <w:lang w:val="en-US" w:eastAsia="en-US"/>
            </w:rPr>
          </w:pPr>
          <w:hyperlink w:anchor="__RefHeading___Toc208393278">
            <w:r>
              <w:rPr>
                <w:rStyle w:val="IndexLink"/>
                <w:lang w:val="en-US" w:eastAsia="en-US"/>
              </w:rPr>
              <w:t>附件四、 估价对象实地查勘情况和实景照片</w:t>
              <w:tab/>
              <w:t>39</w:t>
            </w:r>
          </w:hyperlink>
        </w:p>
        <w:p>
          <w:pPr>
            <w:pStyle w:val="TOC3"/>
            <w:ind w:hanging="560" w:start="560" w:end="0"/>
            <w:rPr>
              <w:rFonts w:ascii="Calibri" w:hAnsi="Calibri" w:eastAsia="宋体;SimSun" w:cs="Calibri"/>
              <w:sz w:val="21"/>
              <w:szCs w:val="22"/>
              <w:lang w:val="en-US" w:eastAsia="en-US"/>
            </w:rPr>
          </w:pPr>
          <w:hyperlink w:anchor="__RefHeading___Toc208393279">
            <w:r>
              <w:rPr>
                <w:rStyle w:val="IndexLink"/>
                <w:lang w:val="en-US" w:eastAsia="en-US"/>
              </w:rPr>
              <w:t>附件五、 交易税费明细表</w:t>
              <w:tab/>
              <w:t>39</w:t>
            </w:r>
          </w:hyperlink>
        </w:p>
        <w:p>
          <w:pPr>
            <w:pStyle w:val="TOC3"/>
            <w:ind w:hanging="560" w:start="560" w:end="0"/>
            <w:rPr>
              <w:rFonts w:ascii="Calibri" w:hAnsi="Calibri" w:eastAsia="宋体;SimSun" w:cs="Calibri"/>
              <w:sz w:val="21"/>
              <w:szCs w:val="22"/>
              <w:lang w:val="en-US" w:eastAsia="en-US"/>
            </w:rPr>
          </w:pPr>
          <w:hyperlink w:anchor="__RefHeading___Toc208393280">
            <w:r>
              <w:rPr>
                <w:rStyle w:val="IndexLink"/>
                <w:lang w:val="en-US" w:eastAsia="en-US"/>
              </w:rPr>
              <w:t>附件六、 房地产估价机构营业执照（副本复印件）</w:t>
              <w:tab/>
              <w:t>39</w:t>
            </w:r>
          </w:hyperlink>
        </w:p>
        <w:p>
          <w:pPr>
            <w:pStyle w:val="TOC3"/>
            <w:ind w:hanging="560" w:start="560" w:end="0"/>
            <w:rPr>
              <w:rFonts w:ascii="Calibri" w:hAnsi="Calibri" w:eastAsia="宋体;SimSun" w:cs="Calibri"/>
              <w:sz w:val="21"/>
              <w:szCs w:val="22"/>
              <w:lang w:val="en-US" w:eastAsia="en-US"/>
            </w:rPr>
          </w:pPr>
          <w:hyperlink w:anchor="__RefHeading___Toc208393281">
            <w:r>
              <w:rPr>
                <w:rStyle w:val="IndexLink"/>
                <w:lang w:val="en-US" w:eastAsia="en-US"/>
              </w:rPr>
              <w:t>附件七、 房地产估价机构估价资质证书（复印件）</w:t>
              <w:tab/>
              <w:t>39</w:t>
            </w:r>
          </w:hyperlink>
        </w:p>
        <w:p>
          <w:pPr>
            <w:pStyle w:val="TOC3"/>
            <w:ind w:hanging="560" w:start="560" w:end="0"/>
            <w:rPr>
              <w:rFonts w:ascii="Calibri" w:hAnsi="Calibri" w:eastAsia="宋体;SimSun" w:cs="Calibri"/>
              <w:sz w:val="21"/>
              <w:szCs w:val="22"/>
              <w:lang w:val="en-US" w:eastAsia="en-US"/>
            </w:rPr>
          </w:pPr>
          <w:hyperlink w:anchor="__RefHeading___Toc208393282">
            <w:r>
              <w:rPr>
                <w:rStyle w:val="IndexLink"/>
                <w:lang w:val="en-US" w:eastAsia="en-US"/>
              </w:rPr>
              <w:t>附件八、 注册房地产估价师估价资格证书（复印件）</w:t>
              <w:tab/>
              <w:t>39</w:t>
            </w:r>
          </w:hyperlink>
        </w:p>
        <w:p>
          <w:pPr>
            <w:pStyle w:val="TOC3"/>
            <w:ind w:hanging="560" w:start="560" w:end="0"/>
            <w:rPr>
              <w:rFonts w:ascii="Calibri" w:hAnsi="Calibri" w:eastAsia="宋体;SimSun" w:cs="Calibri"/>
              <w:sz w:val="21"/>
              <w:szCs w:val="22"/>
              <w:lang w:val="en-US" w:eastAsia="en-US"/>
            </w:rPr>
          </w:pPr>
          <w:hyperlink w:anchor="__RefHeading___Toc208393283">
            <w:r>
              <w:rPr>
                <w:rStyle w:val="IndexLink"/>
                <w:lang w:val="en-US" w:eastAsia="en-US"/>
              </w:rPr>
              <w:t>附件九、 其他相关资料（复印件）</w:t>
              <w:tab/>
              <w:t>39</w:t>
            </w:r>
          </w:hyperlink>
          <w:r>
            <w:rPr>
              <w:rStyle w:val="IndexLink"/>
              <w:lang w:val="en-US" w:eastAsia="en-US"/>
            </w:rPr>
            <w:fldChar w:fldCharType="end"/>
          </w:r>
        </w:p>
      </w:sdtContent>
    </w:sdt>
    <w:p>
      <w:pPr>
        <w:sectPr>
          <w:headerReference w:type="default" r:id="rId10"/>
          <w:headerReference w:type="first" r:id="rId11"/>
          <w:footerReference w:type="default" r:id="rId12"/>
          <w:footerReference w:type="first" r:id="rId13"/>
          <w:type w:val="nextPage"/>
          <w:pgSz w:w="11906" w:h="16838"/>
          <w:pgMar w:left="1588" w:right="1134" w:gutter="340" w:header="851" w:top="1440" w:footer="992" w:bottom="1440"/>
          <w:pgNumType w:start="1" w:fmt="decimal"/>
          <w:formProt w:val="false"/>
          <w:titlePg/>
          <w:textDirection w:val="lrTb"/>
          <w:docGrid w:type="lines" w:linePitch="312" w:charSpace="0"/>
        </w:sectPr>
        <w:pStyle w:val="Normal"/>
        <w:numPr>
          <w:ilvl w:val="0"/>
          <w:numId w:val="0"/>
        </w:numPr>
        <w:rPr>
          <w:rFonts w:ascii="Calibri" w:hAnsi="Calibri" w:eastAsia="宋体;SimSun" w:cs="Calibri"/>
          <w:sz w:val="21"/>
          <w:szCs w:val="22"/>
          <w:lang w:val="en-US" w:eastAsia="en-US"/>
        </w:rPr>
      </w:pPr>
      <w:r>
        <w:rPr>
          <w:rFonts w:eastAsia="宋体;SimSun" w:cs="Calibri" w:ascii="Calibri" w:hAnsi="Calibri"/>
          <w:sz w:val="21"/>
          <w:szCs w:val="22"/>
          <w:lang w:val="en-US" w:eastAsia="en-US"/>
        </w:rPr>
      </w:r>
    </w:p>
    <w:p>
      <w:pPr>
        <w:pStyle w:val="Heading1"/>
        <w:spacing w:lineRule="auto" w:line="360" w:before="156" w:after="156"/>
        <w:ind w:hanging="0" w:start="0"/>
        <w:jc w:val="center"/>
        <w:rPr>
          <w:rFonts w:eastAsia="仿宋_GB2312"/>
          <w:sz w:val="32"/>
          <w:szCs w:val="32"/>
        </w:rPr>
      </w:pPr>
      <w:bookmarkStart w:id="0" w:name="__RefHeading___Toc208393247"/>
      <w:bookmarkEnd w:id="0"/>
      <w:r>
        <w:rPr>
          <w:rFonts w:eastAsia="仿宋_GB2312"/>
          <w:sz w:val="32"/>
          <w:szCs w:val="32"/>
        </w:rPr>
        <w:t>第一部分</w:t>
      </w:r>
      <w:r>
        <w:rPr>
          <w:rFonts w:eastAsia="Times New Roman"/>
          <w:sz w:val="32"/>
          <w:szCs w:val="32"/>
        </w:rPr>
        <w:t xml:space="preserve">  </w:t>
      </w:r>
      <w:r>
        <w:rPr>
          <w:rFonts w:eastAsia="仿宋_GB2312"/>
          <w:sz w:val="32"/>
          <w:szCs w:val="32"/>
        </w:rPr>
        <w:t>估价师声明</w:t>
      </w:r>
    </w:p>
    <w:p>
      <w:pPr>
        <w:pStyle w:val="Normal"/>
        <w:snapToGrid w:val="false"/>
        <w:spacing w:lineRule="exact" w:line="480"/>
        <w:textAlignment w:val="bottom"/>
        <w:rPr/>
      </w:pPr>
      <w:r>
        <w:rPr/>
        <w:t>我们郑重声明：</w:t>
      </w:r>
    </w:p>
    <w:p>
      <w:pPr>
        <w:pStyle w:val="Normal"/>
        <w:autoSpaceDE w:val="false"/>
        <w:snapToGrid w:val="false"/>
        <w:spacing w:lineRule="exact" w:line="520"/>
        <w:ind w:firstLine="560" w:end="0"/>
        <w:jc w:val="start"/>
        <w:textAlignment w:val="bottom"/>
        <w:rPr/>
      </w:pPr>
      <w:r>
        <w:rPr/>
        <w:t>1、注册房地产估价师在估价报告中对事实的说明是真实和准确的，没有虚假记载、误导性陈述和重大遗漏。</w:t>
      </w:r>
    </w:p>
    <w:p>
      <w:pPr>
        <w:pStyle w:val="Normal"/>
        <w:autoSpaceDE w:val="false"/>
        <w:snapToGrid w:val="false"/>
        <w:spacing w:lineRule="exact" w:line="520"/>
        <w:ind w:firstLine="560" w:end="0"/>
        <w:jc w:val="start"/>
        <w:textAlignment w:val="bottom"/>
        <w:rPr/>
      </w:pPr>
      <w:r>
        <w:rPr/>
        <w:t>2、估价报告中的分析、意见和结论是注册房地产估价师独立、客观、公正的专业分析、意见和结论，但受到估价报告中已说明的估价假设和限制条件的限制。</w:t>
      </w:r>
    </w:p>
    <w:p>
      <w:pPr>
        <w:pStyle w:val="Normal"/>
        <w:autoSpaceDE w:val="false"/>
        <w:snapToGrid w:val="false"/>
        <w:spacing w:lineRule="exact" w:line="520"/>
        <w:ind w:firstLine="560" w:end="0"/>
        <w:jc w:val="start"/>
        <w:textAlignment w:val="bottom"/>
        <w:rPr/>
      </w:pPr>
      <w:r>
        <w:rPr/>
        <w:t>3、注册房地产估价师与估价报告中的估价对象没有现实或潜在的利益，与估价委托人及估价利害关系人没有利害关系，也对估价对象、估价委托人及估价利害关系人没有偏见。</w:t>
      </w:r>
    </w:p>
    <w:p>
      <w:pPr>
        <w:pStyle w:val="Normal"/>
        <w:autoSpaceDE w:val="false"/>
        <w:snapToGrid w:val="false"/>
        <w:spacing w:lineRule="exact" w:line="520"/>
        <w:ind w:firstLine="560" w:end="0"/>
        <w:jc w:val="start"/>
        <w:textAlignment w:val="bottom"/>
        <w:rPr/>
      </w:pPr>
      <w:r>
        <w:rPr/>
        <w:t>4、注册房地产估价师是依照中华人民共和国国家标准《房地产估价规范》（GB/T50291-2015）、《房地产估价基本术语标准》（GB/T50899-2013）以及《涉执房地产处置司法评估指导意见》的规定进行工作，撰写估价报告。</w:t>
      </w:r>
    </w:p>
    <w:p>
      <w:pPr>
        <w:pStyle w:val="Normal"/>
        <w:autoSpaceDE w:val="false"/>
        <w:snapToGrid w:val="false"/>
        <w:spacing w:lineRule="exact" w:line="520"/>
        <w:ind w:firstLine="560" w:end="0"/>
        <w:jc w:val="start"/>
        <w:textAlignment w:val="bottom"/>
        <w:rPr/>
      </w:pPr>
      <w:r>
        <w:rPr/>
        <w:t>5、注册房地产估价师</w:t>
      </w:r>
      <w:r>
        <w:rPr>
          <w:kern w:val="0"/>
        </w:rPr>
        <w:t>于{{价值时点}}</w:t>
      </w:r>
      <w:r>
        <w:rPr/>
        <w:t>对估价报告中的估价对象进行了实地查勘。</w:t>
      </w:r>
    </w:p>
    <w:p>
      <w:pPr>
        <w:pStyle w:val="Normal"/>
        <w:autoSpaceDE w:val="false"/>
        <w:snapToGrid w:val="false"/>
        <w:spacing w:lineRule="exact" w:line="520"/>
        <w:ind w:firstLine="560" w:end="0"/>
        <w:jc w:val="start"/>
        <w:textAlignment w:val="bottom"/>
        <w:rPr/>
      </w:pPr>
      <w:r>
        <w:rPr/>
        <w:t>6、没有外部专家和单位对估价报告提供专业帮助。</w:t>
      </w:r>
    </w:p>
    <w:p>
      <w:pPr>
        <w:pStyle w:val="Normal"/>
        <w:autoSpaceDE w:val="false"/>
        <w:snapToGrid w:val="false"/>
        <w:spacing w:lineRule="exact" w:line="520"/>
        <w:ind w:firstLine="560" w:end="0"/>
        <w:jc w:val="start"/>
        <w:textAlignment w:val="bottom"/>
        <w:rPr/>
      </w:pPr>
      <w:r>
        <w:rPr/>
      </w:r>
    </w:p>
    <w:tbl>
      <w:tblPr>
        <w:tblW w:w="9315" w:type="dxa"/>
        <w:jc w:val="center"/>
        <w:tblInd w:w="0" w:type="dxa"/>
        <w:tblLayout w:type="fixed"/>
        <w:tblCellMar>
          <w:top w:w="0" w:type="dxa"/>
          <w:start w:w="108" w:type="dxa"/>
          <w:bottom w:w="0" w:type="dxa"/>
          <w:end w:w="108" w:type="dxa"/>
        </w:tblCellMar>
      </w:tblPr>
      <w:tblGrid>
        <w:gridCol w:w="1240"/>
        <w:gridCol w:w="1984"/>
        <w:gridCol w:w="3116"/>
        <w:gridCol w:w="2975"/>
      </w:tblGrid>
      <w:tr>
        <w:trPr>
          <w:trHeight w:val="567" w:hRule="atLeast"/>
        </w:trPr>
        <w:tc>
          <w:tcPr>
            <w:tcW w:w="1240" w:type="dxa"/>
            <w:tcBorders/>
          </w:tcPr>
          <w:p>
            <w:pPr>
              <w:pStyle w:val="Normal"/>
              <w:snapToGrid w:val="false"/>
              <w:spacing w:lineRule="exact" w:line="360"/>
              <w:jc w:val="center"/>
              <w:textAlignment w:val="bottom"/>
              <w:rPr/>
            </w:pPr>
            <w:r>
              <w:rPr/>
              <w:t>姓  名</w:t>
            </w:r>
          </w:p>
        </w:tc>
        <w:tc>
          <w:tcPr>
            <w:tcW w:w="1984" w:type="dxa"/>
            <w:tcBorders/>
          </w:tcPr>
          <w:p>
            <w:pPr>
              <w:pStyle w:val="Normal"/>
              <w:snapToGrid w:val="false"/>
              <w:spacing w:lineRule="exact" w:line="360"/>
              <w:jc w:val="center"/>
              <w:textAlignment w:val="bottom"/>
              <w:rPr/>
            </w:pPr>
            <w:r>
              <w:rPr/>
              <w:t>注 册 号</w:t>
            </w:r>
          </w:p>
        </w:tc>
        <w:tc>
          <w:tcPr>
            <w:tcW w:w="3116" w:type="dxa"/>
            <w:tcBorders/>
          </w:tcPr>
          <w:p>
            <w:pPr>
              <w:pStyle w:val="Normal"/>
              <w:snapToGrid w:val="false"/>
              <w:spacing w:lineRule="exact" w:line="360"/>
              <w:jc w:val="center"/>
              <w:textAlignment w:val="bottom"/>
              <w:rPr/>
            </w:pPr>
            <w:r>
              <w:rPr/>
              <w:t>签  名</w:t>
            </w:r>
          </w:p>
        </w:tc>
        <w:tc>
          <w:tcPr>
            <w:tcW w:w="2975" w:type="dxa"/>
            <w:tcBorders/>
          </w:tcPr>
          <w:p>
            <w:pPr>
              <w:pStyle w:val="Normal"/>
              <w:snapToGrid w:val="false"/>
              <w:spacing w:lineRule="exact" w:line="360"/>
              <w:jc w:val="center"/>
              <w:textAlignment w:val="bottom"/>
              <w:rPr/>
            </w:pPr>
            <w:r>
              <w:rPr/>
              <w:t>签名日期</w:t>
            </w:r>
          </w:p>
        </w:tc>
      </w:tr>
      <w:tr>
        <w:trPr>
          <w:trHeight w:val="1361" w:hRule="atLeast"/>
        </w:trPr>
        <w:tc>
          <w:tcPr>
            <w:tcW w:w="1240" w:type="dxa"/>
            <w:tcBorders/>
            <w:vAlign w:val="center"/>
          </w:tcPr>
          <w:p>
            <w:pPr>
              <w:pStyle w:val="Normal"/>
              <w:autoSpaceDE w:val="false"/>
              <w:snapToGrid w:val="false"/>
              <w:spacing w:lineRule="auto" w:line="360"/>
              <w:jc w:val="center"/>
              <w:textAlignment w:val="bottom"/>
              <w:rPr>
                <w:kern w:val="0"/>
              </w:rPr>
            </w:pPr>
            <w:r>
              <w:rPr>
                <w:kern w:val="0"/>
              </w:rPr>
              <w:t>马  成</w:t>
            </w:r>
          </w:p>
        </w:tc>
        <w:tc>
          <w:tcPr>
            <w:tcW w:w="1984" w:type="dxa"/>
            <w:tcBorders/>
            <w:vAlign w:val="center"/>
          </w:tcPr>
          <w:p>
            <w:pPr>
              <w:pStyle w:val="Normal"/>
              <w:autoSpaceDE w:val="false"/>
              <w:snapToGrid w:val="false"/>
              <w:spacing w:lineRule="auto" w:line="360"/>
              <w:jc w:val="center"/>
              <w:textAlignment w:val="bottom"/>
              <w:rPr>
                <w:kern w:val="0"/>
              </w:rPr>
            </w:pPr>
            <w:r>
              <w:rPr>
                <w:kern w:val="0"/>
              </w:rPr>
              <w:t>3320170019</w:t>
            </w:r>
          </w:p>
        </w:tc>
        <w:tc>
          <w:tcPr>
            <w:tcW w:w="3116" w:type="dxa"/>
            <w:tcBorders/>
            <w:vAlign w:val="center"/>
          </w:tcPr>
          <w:p>
            <w:pPr>
              <w:pStyle w:val="Normal"/>
              <w:autoSpaceDE w:val="false"/>
              <w:snapToGrid w:val="false"/>
              <w:spacing w:lineRule="auto" w:line="360"/>
              <w:jc w:val="center"/>
              <w:textAlignment w:val="bottom"/>
              <w:rPr/>
            </w:pPr>
            <w:r>
              <w:rPr/>
            </w:r>
          </w:p>
        </w:tc>
        <w:tc>
          <w:tcPr>
            <w:tcW w:w="2975" w:type="dxa"/>
            <w:tcBorders/>
            <w:vAlign w:val="center"/>
          </w:tcPr>
          <w:p>
            <w:pPr>
              <w:pStyle w:val="Normal"/>
              <w:autoSpaceDE w:val="false"/>
              <w:snapToGrid w:val="false"/>
              <w:spacing w:lineRule="auto" w:line="360"/>
              <w:jc w:val="center"/>
              <w:textAlignment w:val="bottom"/>
              <w:rPr/>
            </w:pPr>
            <w:r>
              <w:rPr/>
              <w:t>{{签名日期}}</w:t>
            </w:r>
          </w:p>
        </w:tc>
      </w:tr>
      <w:tr>
        <w:trPr>
          <w:trHeight w:val="1361" w:hRule="atLeast"/>
        </w:trPr>
        <w:tc>
          <w:tcPr>
            <w:tcW w:w="1240" w:type="dxa"/>
            <w:tcBorders/>
            <w:vAlign w:val="center"/>
          </w:tcPr>
          <w:p>
            <w:pPr>
              <w:pStyle w:val="Normal"/>
              <w:autoSpaceDE w:val="false"/>
              <w:snapToGrid w:val="false"/>
              <w:spacing w:lineRule="auto" w:line="360"/>
              <w:jc w:val="center"/>
              <w:textAlignment w:val="bottom"/>
              <w:rPr>
                <w:kern w:val="0"/>
              </w:rPr>
            </w:pPr>
            <w:r>
              <w:rPr>
                <w:kern w:val="0"/>
              </w:rPr>
              <w:t>荣竞平</w:t>
            </w:r>
          </w:p>
        </w:tc>
        <w:tc>
          <w:tcPr>
            <w:tcW w:w="1984" w:type="dxa"/>
            <w:tcBorders/>
            <w:vAlign w:val="center"/>
          </w:tcPr>
          <w:p>
            <w:pPr>
              <w:pStyle w:val="Normal"/>
              <w:autoSpaceDE w:val="false"/>
              <w:snapToGrid w:val="false"/>
              <w:spacing w:lineRule="auto" w:line="360"/>
              <w:jc w:val="center"/>
              <w:textAlignment w:val="bottom"/>
              <w:rPr>
                <w:kern w:val="0"/>
              </w:rPr>
            </w:pPr>
            <w:r>
              <w:rPr>
                <w:kern w:val="0"/>
              </w:rPr>
              <w:t>3320160045</w:t>
            </w:r>
          </w:p>
        </w:tc>
        <w:tc>
          <w:tcPr>
            <w:tcW w:w="3116" w:type="dxa"/>
            <w:tcBorders/>
            <w:vAlign w:val="center"/>
          </w:tcPr>
          <w:p>
            <w:pPr>
              <w:pStyle w:val="Normal"/>
              <w:autoSpaceDE w:val="false"/>
              <w:snapToGrid w:val="false"/>
              <w:spacing w:lineRule="auto" w:line="360"/>
              <w:jc w:val="center"/>
              <w:textAlignment w:val="bottom"/>
              <w:rPr/>
            </w:pPr>
            <w:r>
              <w:rPr/>
            </w:r>
          </w:p>
        </w:tc>
        <w:tc>
          <w:tcPr>
            <w:tcW w:w="2975" w:type="dxa"/>
            <w:tcBorders/>
            <w:vAlign w:val="center"/>
          </w:tcPr>
          <w:p>
            <w:pPr>
              <w:pStyle w:val="Normal"/>
              <w:autoSpaceDE w:val="false"/>
              <w:snapToGrid w:val="false"/>
              <w:spacing w:lineRule="auto" w:line="360"/>
              <w:jc w:val="center"/>
              <w:textAlignment w:val="bottom"/>
              <w:rPr/>
            </w:pPr>
            <w:r>
              <w:rPr/>
              <w:t>{{签名日期}}</w:t>
            </w:r>
          </w:p>
        </w:tc>
      </w:tr>
    </w:tbl>
    <w:p>
      <w:pPr>
        <w:sectPr>
          <w:headerReference w:type="default" r:id="rId14"/>
          <w:headerReference w:type="first" r:id="rId15"/>
          <w:footerReference w:type="default" r:id="rId16"/>
          <w:footerReference w:type="first" r:id="rId17"/>
          <w:type w:val="nextPage"/>
          <w:pgSz w:w="11906" w:h="16838"/>
          <w:pgMar w:left="1588" w:right="1134" w:gutter="340" w:header="851" w:top="1440" w:footer="992" w:bottom="1440"/>
          <w:pgNumType w:start="1" w:fmt="decimal"/>
          <w:formProt w:val="false"/>
          <w:titlePg/>
          <w:textDirection w:val="lrTb"/>
          <w:docGrid w:type="lines" w:linePitch="312" w:charSpace="0"/>
        </w:sectPr>
      </w:pPr>
    </w:p>
    <w:p>
      <w:pPr>
        <w:pStyle w:val="Heading1"/>
        <w:spacing w:lineRule="auto" w:line="360" w:before="156" w:after="156"/>
        <w:ind w:hanging="0" w:start="0"/>
        <w:jc w:val="center"/>
        <w:rPr>
          <w:rFonts w:eastAsia="仿宋_GB2312"/>
          <w:sz w:val="32"/>
          <w:szCs w:val="32"/>
        </w:rPr>
      </w:pPr>
      <w:bookmarkStart w:id="1" w:name="__RefHeading___Toc208393248"/>
      <w:bookmarkEnd w:id="1"/>
      <w:r>
        <w:rPr>
          <w:rFonts w:eastAsia="仿宋_GB2312"/>
          <w:sz w:val="32"/>
          <w:szCs w:val="32"/>
        </w:rPr>
        <w:t>第二部分</w:t>
      </w:r>
      <w:r>
        <w:rPr>
          <w:rFonts w:eastAsia="Times New Roman"/>
          <w:sz w:val="32"/>
          <w:szCs w:val="32"/>
        </w:rPr>
        <w:t xml:space="preserve">  </w:t>
      </w:r>
      <w:r>
        <w:rPr>
          <w:rFonts w:eastAsia="仿宋_GB2312"/>
          <w:sz w:val="32"/>
          <w:szCs w:val="32"/>
        </w:rPr>
        <w:t>估价假设和限制条件</w:t>
      </w:r>
    </w:p>
    <w:p>
      <w:pPr>
        <w:pStyle w:val="Heading2"/>
        <w:keepNext w:val="true"/>
        <w:spacing w:before="156" w:after="156"/>
        <w:ind w:hanging="0" w:start="0"/>
        <w:rPr>
          <w:rFonts w:ascii="仿宋_GB2312" w:hAnsi="仿宋_GB2312" w:eastAsia="仿宋_GB2312" w:cs="宋体;SimSun"/>
          <w:kern w:val="2"/>
          <w:sz w:val="28"/>
        </w:rPr>
      </w:pPr>
      <w:bookmarkStart w:id="2" w:name="__RefHeading___Toc208393249"/>
      <w:bookmarkEnd w:id="2"/>
      <w:r>
        <w:rPr>
          <w:rFonts w:ascii="仿宋_GB2312" w:hAnsi="仿宋_GB2312" w:cs="宋体;SimSun" w:eastAsia="仿宋_GB2312"/>
          <w:bCs/>
          <w:kern w:val="2"/>
          <w:sz w:val="28"/>
        </w:rPr>
        <w:t>一、估价假设</w:t>
      </w:r>
    </w:p>
    <w:p>
      <w:pPr>
        <w:pStyle w:val="Normal"/>
        <w:autoSpaceDE w:val="false"/>
        <w:snapToGrid w:val="false"/>
        <w:spacing w:lineRule="auto" w:line="360"/>
        <w:ind w:firstLine="562" w:end="0"/>
        <w:jc w:val="start"/>
        <w:textAlignment w:val="bottom"/>
        <w:rPr>
          <w:b/>
        </w:rPr>
      </w:pPr>
      <w:r>
        <w:rPr>
          <w:b/>
        </w:rPr>
        <w:t>（一）一般假设</w:t>
      </w:r>
    </w:p>
    <w:p>
      <w:pPr>
        <w:pStyle w:val="Normal"/>
        <w:autoSpaceDE w:val="false"/>
        <w:snapToGrid w:val="false"/>
        <w:spacing w:lineRule="auto" w:line="360"/>
        <w:ind w:firstLine="560" w:end="0"/>
        <w:jc w:val="start"/>
        <w:textAlignment w:val="bottom"/>
        <w:rPr/>
      </w:pPr>
      <w:r>
        <w:rPr/>
        <w:t>1、估价对象在价值时点的房地产市场为公开、平等、自愿的交易市场，即能满足以下条件：</w:t>
      </w:r>
    </w:p>
    <w:p>
      <w:pPr>
        <w:pStyle w:val="Normal"/>
        <w:autoSpaceDE w:val="false"/>
        <w:snapToGrid w:val="false"/>
        <w:spacing w:lineRule="auto" w:line="360"/>
        <w:ind w:firstLine="560" w:end="0"/>
        <w:jc w:val="start"/>
        <w:textAlignment w:val="bottom"/>
        <w:rPr/>
      </w:pPr>
      <w:r>
        <w:rPr/>
        <w:t>（1）交易双方自愿地进行交易；</w:t>
      </w:r>
    </w:p>
    <w:p>
      <w:pPr>
        <w:pStyle w:val="Normal"/>
        <w:autoSpaceDE w:val="false"/>
        <w:snapToGrid w:val="false"/>
        <w:spacing w:lineRule="auto" w:line="360"/>
        <w:ind w:firstLine="560" w:end="0"/>
        <w:jc w:val="start"/>
        <w:textAlignment w:val="bottom"/>
        <w:rPr/>
      </w:pPr>
      <w:r>
        <w:rPr/>
        <w:t>（2）交易双方无任何利害关系，交易目的是追求各自利益的最大化；</w:t>
      </w:r>
    </w:p>
    <w:p>
      <w:pPr>
        <w:pStyle w:val="Normal"/>
        <w:autoSpaceDE w:val="false"/>
        <w:snapToGrid w:val="false"/>
        <w:spacing w:lineRule="auto" w:line="360"/>
        <w:ind w:firstLine="560" w:end="0"/>
        <w:jc w:val="start"/>
        <w:textAlignment w:val="bottom"/>
        <w:rPr/>
      </w:pPr>
      <w:r>
        <w:rPr/>
        <w:t>（3）交易双方了解交易对象、知晓市场行情；</w:t>
      </w:r>
    </w:p>
    <w:p>
      <w:pPr>
        <w:pStyle w:val="Normal"/>
        <w:autoSpaceDE w:val="false"/>
        <w:snapToGrid w:val="false"/>
        <w:spacing w:lineRule="auto" w:line="360"/>
        <w:ind w:firstLine="560" w:end="0"/>
        <w:jc w:val="start"/>
        <w:textAlignment w:val="bottom"/>
        <w:rPr/>
      </w:pPr>
      <w:r>
        <w:rPr/>
        <w:t>（4）交易双方有较充裕的时间进行交易；</w:t>
      </w:r>
    </w:p>
    <w:p>
      <w:pPr>
        <w:pStyle w:val="Normal"/>
        <w:autoSpaceDE w:val="false"/>
        <w:snapToGrid w:val="false"/>
        <w:spacing w:lineRule="auto" w:line="360"/>
        <w:ind w:firstLine="560" w:end="0"/>
        <w:jc w:val="start"/>
        <w:textAlignment w:val="bottom"/>
        <w:rPr/>
      </w:pPr>
      <w:r>
        <w:rPr/>
        <w:t>（5）不存在特殊买者的附加出价。</w:t>
      </w:r>
    </w:p>
    <w:p>
      <w:pPr>
        <w:pStyle w:val="Normal"/>
        <w:autoSpaceDE w:val="false"/>
        <w:snapToGrid w:val="false"/>
        <w:spacing w:lineRule="auto" w:line="360"/>
        <w:ind w:firstLine="560" w:end="0"/>
        <w:jc w:val="start"/>
        <w:textAlignment w:val="bottom"/>
        <w:rPr/>
      </w:pPr>
      <w:r>
        <w:rPr/>
        <w:t>2、注册房地产估价师对估价所依据的估价对象的权属、面积、用途等资料进行了审慎检查，本估价报告以估价委托人提供的估价对象资料的合法性、真实性、准确性和完整性为前提。</w:t>
      </w:r>
    </w:p>
    <w:p>
      <w:pPr>
        <w:pStyle w:val="Normal"/>
        <w:autoSpaceDE w:val="false"/>
        <w:snapToGrid w:val="false"/>
        <w:spacing w:lineRule="auto" w:line="360"/>
        <w:ind w:firstLine="560" w:end="0"/>
        <w:jc w:val="start"/>
        <w:textAlignment w:val="bottom"/>
        <w:rPr/>
      </w:pPr>
      <w:r>
        <w:rPr/>
        <w:t>3、本次估价以估价对象在合法前提下，按其规划用途即住宅用途使用并在未来以此用途持续使用为前提。</w:t>
      </w:r>
    </w:p>
    <w:p>
      <w:pPr>
        <w:pStyle w:val="Normal"/>
        <w:autoSpaceDE w:val="false"/>
        <w:snapToGrid w:val="false"/>
        <w:spacing w:lineRule="auto" w:line="360"/>
        <w:ind w:firstLine="560" w:end="0"/>
        <w:jc w:val="start"/>
        <w:textAlignment w:val="bottom"/>
        <w:rPr/>
      </w:pPr>
      <w:r>
        <w:rPr/>
        <w:t>4、我们仅对估价对象作一般性实地查勘，仅对估价对象外观、使用状况、周边区位状况进行了查勘，并未对其结构及装修等内在质量进行测试，故不能确认其有无内部缺陷。本估价报告以其质量足以维持正常的使用寿命为前提。</w:t>
      </w:r>
    </w:p>
    <w:p>
      <w:pPr>
        <w:pStyle w:val="Normal"/>
        <w:autoSpaceDE w:val="false"/>
        <w:snapToGrid w:val="false"/>
        <w:spacing w:lineRule="auto" w:line="360"/>
        <w:ind w:firstLine="560" w:end="0"/>
        <w:jc w:val="start"/>
        <w:textAlignment w:val="bottom"/>
        <w:rPr/>
      </w:pPr>
      <w:r>
        <w:rPr/>
        <w:t>5、本次估价未考虑估价对象被迫转让及处置后被执行人不自愿配合交付因素对估价结果的不利影响，提请报告使用人注意。</w:t>
      </w:r>
    </w:p>
    <w:p>
      <w:pPr>
        <w:pStyle w:val="Normal"/>
        <w:autoSpaceDE w:val="false"/>
        <w:snapToGrid w:val="false"/>
        <w:spacing w:lineRule="auto" w:line="360"/>
        <w:ind w:firstLine="560" w:end="0"/>
        <w:jc w:val="start"/>
        <w:textAlignment w:val="bottom"/>
        <w:rPr/>
      </w:pPr>
      <w:r>
        <w:rPr/>
        <w:t>6、根据估价对象所在物业公司提供的信息，估价对象未缴纳特约物业费为人民币{{欠缴特约物业费}}元（自2023年1月1日至2024年12月31日）, 未缴纳物业费为人民币{{欠缴物业费}}元（自2025年1月1日至2025年9月30日），具体金额以相关单位确定的为准；估价对象是否存在未缴纳的水电费、燃气费，请至相关单位自行查询；本次估价结果未扣除上述费用，提请报告使用人注意。</w:t>
      </w:r>
    </w:p>
    <w:p>
      <w:pPr>
        <w:pStyle w:val="Normal"/>
        <w:autoSpaceDE w:val="false"/>
        <w:snapToGrid w:val="false"/>
        <w:spacing w:lineRule="auto" w:line="360"/>
        <w:ind w:firstLine="562" w:end="0"/>
        <w:jc w:val="start"/>
        <w:textAlignment w:val="bottom"/>
        <w:rPr>
          <w:b/>
        </w:rPr>
      </w:pPr>
      <w:r>
        <w:rPr>
          <w:b/>
        </w:rPr>
        <w:t>（二）未定事项假设</w:t>
      </w:r>
    </w:p>
    <w:p>
      <w:pPr>
        <w:pStyle w:val="Normal"/>
        <w:autoSpaceDE w:val="false"/>
        <w:snapToGrid w:val="false"/>
        <w:spacing w:lineRule="auto" w:line="360"/>
        <w:ind w:firstLine="560" w:end="0"/>
        <w:jc w:val="start"/>
        <w:textAlignment w:val="bottom"/>
        <w:rPr/>
      </w:pPr>
      <w:r>
        <w:rPr/>
        <w:t>未定事项假设是对估价所必需的尚未明确或不够明确的土地用途、容积率等事项所做的合理的、最可能的假定。</w:t>
      </w:r>
    </w:p>
    <w:p>
      <w:pPr>
        <w:pStyle w:val="Normal"/>
        <w:autoSpaceDE w:val="false"/>
        <w:snapToGrid w:val="false"/>
        <w:spacing w:lineRule="auto" w:line="360"/>
        <w:ind w:firstLine="560" w:end="0"/>
        <w:jc w:val="start"/>
        <w:textAlignment w:val="bottom"/>
        <w:rPr/>
      </w:pPr>
      <w:r>
        <w:rPr/>
        <w:t>本次估价无未定事项假设。</w:t>
      </w:r>
    </w:p>
    <w:p>
      <w:pPr>
        <w:pStyle w:val="Normal"/>
        <w:autoSpaceDE w:val="false"/>
        <w:snapToGrid w:val="false"/>
        <w:spacing w:lineRule="auto" w:line="360"/>
        <w:ind w:firstLine="562" w:end="0"/>
        <w:jc w:val="start"/>
        <w:textAlignment w:val="bottom"/>
        <w:rPr>
          <w:b/>
        </w:rPr>
      </w:pPr>
      <w:r>
        <w:rPr>
          <w:b/>
        </w:rPr>
        <w:t>（三）背离事实假设</w:t>
      </w:r>
    </w:p>
    <w:p>
      <w:pPr>
        <w:pStyle w:val="Normal"/>
        <w:autoSpaceDE w:val="false"/>
        <w:snapToGrid w:val="false"/>
        <w:spacing w:lineRule="auto" w:line="360"/>
        <w:ind w:firstLine="560" w:end="0"/>
        <w:jc w:val="start"/>
        <w:textAlignment w:val="bottom"/>
        <w:rPr/>
      </w:pPr>
      <w:r>
        <w:rPr/>
        <w:t>背离事实假设是因估价目的的特殊需要、交易条件设定或约定，对估价对象状况所做的与估价对象的实际状况不一致的合理假定。</w:t>
      </w:r>
    </w:p>
    <w:p>
      <w:pPr>
        <w:pStyle w:val="Normal"/>
        <w:autoSpaceDE w:val="false"/>
        <w:snapToGrid w:val="false"/>
        <w:spacing w:lineRule="auto" w:line="360"/>
        <w:ind w:firstLine="560" w:end="0"/>
        <w:jc w:val="start"/>
        <w:textAlignment w:val="bottom"/>
        <w:rPr/>
      </w:pPr>
      <w:r>
        <w:rPr/>
        <w:t>根据估价目的，本次估价未考虑估价对象查封、抵押等因素对估价结果的影响。</w:t>
      </w:r>
    </w:p>
    <w:p>
      <w:pPr>
        <w:pStyle w:val="Normal"/>
        <w:autoSpaceDE w:val="false"/>
        <w:snapToGrid w:val="false"/>
        <w:spacing w:lineRule="auto" w:line="360"/>
        <w:ind w:firstLine="562" w:end="0"/>
        <w:jc w:val="start"/>
        <w:textAlignment w:val="bottom"/>
        <w:rPr>
          <w:b/>
        </w:rPr>
      </w:pPr>
      <w:r>
        <w:rPr>
          <w:b/>
        </w:rPr>
        <w:t>（四）不相一致假设</w:t>
      </w:r>
    </w:p>
    <w:p>
      <w:pPr>
        <w:pStyle w:val="Normal"/>
        <w:autoSpaceDE w:val="false"/>
        <w:snapToGrid w:val="false"/>
        <w:spacing w:lineRule="auto" w:line="360"/>
        <w:ind w:firstLine="560" w:end="0"/>
        <w:jc w:val="start"/>
        <w:textAlignment w:val="bottom"/>
        <w:rPr/>
      </w:pPr>
      <w:r>
        <w:rPr/>
        <w:t>不相一致假设是在估价对象的实际用途、登记用途、规划用途等用途之间不一致，或不同权属证明上的权利人之间不一致，估价对象的名称或地址不一致等情况下，对估价所依据的用途或权利人、名称、地址的合理假定。</w:t>
      </w:r>
    </w:p>
    <w:p>
      <w:pPr>
        <w:pStyle w:val="Normal"/>
        <w:autoSpaceDE w:val="false"/>
        <w:snapToGrid w:val="false"/>
        <w:spacing w:lineRule="auto" w:line="360"/>
        <w:ind w:firstLine="560" w:end="0"/>
        <w:jc w:val="start"/>
        <w:textAlignment w:val="bottom"/>
        <w:rPr/>
      </w:pPr>
      <w:r>
        <w:rPr/>
        <w:t>本次估价无不相一致假设。</w:t>
      </w:r>
    </w:p>
    <w:p>
      <w:pPr>
        <w:pStyle w:val="Normal"/>
        <w:autoSpaceDE w:val="false"/>
        <w:snapToGrid w:val="false"/>
        <w:spacing w:lineRule="auto" w:line="360"/>
        <w:ind w:firstLine="562" w:end="0"/>
        <w:jc w:val="start"/>
        <w:textAlignment w:val="bottom"/>
        <w:rPr>
          <w:b/>
        </w:rPr>
      </w:pPr>
      <w:r>
        <w:rPr>
          <w:b/>
        </w:rPr>
        <w:t>（五）依据不足假设</w:t>
      </w:r>
    </w:p>
    <w:p>
      <w:pPr>
        <w:pStyle w:val="Normal"/>
        <w:autoSpaceDE w:val="false"/>
        <w:snapToGrid w:val="false"/>
        <w:spacing w:lineRule="auto" w:line="360"/>
        <w:ind w:firstLine="560" w:end="0"/>
        <w:jc w:val="start"/>
        <w:textAlignment w:val="bottom"/>
        <w:rPr/>
      </w:pPr>
      <w:r>
        <w:rPr/>
        <w:t>依据不足假设是在估价委托人无法提供估价所必需的反映估价对象状况的资料以及注册房地产估价师进行了尽职调查仍然难以取得该资料的情况下，对缺少该资料及对相应的估价对象状况的合理假定。</w:t>
      </w:r>
    </w:p>
    <w:p>
      <w:pPr>
        <w:pStyle w:val="Normal"/>
        <w:autoSpaceDE w:val="false"/>
        <w:snapToGrid w:val="false"/>
        <w:spacing w:lineRule="auto" w:line="360"/>
        <w:ind w:firstLine="560" w:end="0"/>
        <w:jc w:val="start"/>
        <w:textAlignment w:val="bottom"/>
        <w:rPr/>
      </w:pPr>
      <w:r>
        <w:rPr/>
        <w:t>本次估价无依据不足假设。</w:t>
      </w:r>
    </w:p>
    <w:p>
      <w:pPr>
        <w:pStyle w:val="Heading2"/>
        <w:keepNext w:val="true"/>
        <w:spacing w:before="156" w:after="156"/>
        <w:ind w:hanging="0" w:start="0"/>
        <w:rPr>
          <w:rFonts w:ascii="仿宋_GB2312" w:hAnsi="仿宋_GB2312" w:eastAsia="仿宋_GB2312" w:cs="宋体;SimSun"/>
          <w:b w:val="false"/>
          <w:bCs/>
          <w:kern w:val="2"/>
          <w:sz w:val="28"/>
        </w:rPr>
      </w:pPr>
      <w:bookmarkStart w:id="3" w:name="__RefHeading___Toc208393250"/>
      <w:bookmarkEnd w:id="3"/>
      <w:r>
        <w:rPr>
          <w:rFonts w:ascii="仿宋_GB2312" w:hAnsi="仿宋_GB2312" w:cs="宋体;SimSun" w:eastAsia="仿宋_GB2312"/>
          <w:kern w:val="2"/>
          <w:sz w:val="28"/>
        </w:rPr>
        <w:t>二、限制条件</w:t>
      </w:r>
    </w:p>
    <w:p>
      <w:pPr>
        <w:pStyle w:val="Normal"/>
        <w:autoSpaceDE w:val="false"/>
        <w:snapToGrid w:val="false"/>
        <w:spacing w:lineRule="auto" w:line="360"/>
        <w:ind w:firstLine="560" w:end="0"/>
        <w:jc w:val="start"/>
        <w:textAlignment w:val="bottom"/>
        <w:rPr/>
      </w:pPr>
      <w:r>
        <w:rPr/>
        <w:t>1、本报告仅作为人民法院确定财产处置参考价提供参考依据，如果改变估价目的，则估价结果应进行相应调整直至重新估价；本报告的估价结果不应被视为估价对象处置可实现的成交价格，也不应被视为对估价对象处置成交价格的保证。</w:t>
      </w:r>
    </w:p>
    <w:p>
      <w:pPr>
        <w:pStyle w:val="Normal"/>
        <w:autoSpaceDE w:val="false"/>
        <w:snapToGrid w:val="false"/>
        <w:spacing w:lineRule="auto" w:line="360"/>
        <w:ind w:firstLine="560" w:end="0"/>
        <w:jc w:val="start"/>
        <w:textAlignment w:val="bottom"/>
        <w:rPr/>
      </w:pPr>
      <w:r>
        <w:rPr/>
        <w:t>2、本报告使用期限自估价报告出具之日起壹年。在本报告使用期限内，估价报告或者估价结果未使用之前，如果估价对象状况或者房地产市场状况发生明显变化的，估价结果应当进行相应调整后方可使用；如果使用本报告估价结果的时间与估价报告出具之日相差壹年或以上，我们对应用此估价结果造成的损失不负任何责任。</w:t>
      </w:r>
    </w:p>
    <w:p>
      <w:pPr>
        <w:pStyle w:val="Normal"/>
        <w:autoSpaceDE w:val="false"/>
        <w:snapToGrid w:val="false"/>
        <w:spacing w:lineRule="auto" w:line="360"/>
        <w:ind w:firstLine="560" w:end="0"/>
        <w:jc w:val="start"/>
        <w:textAlignment w:val="bottom"/>
        <w:rPr/>
      </w:pPr>
      <w:r>
        <w:rPr/>
        <w:t>3、报告使用人应当按照法律规定和估价报告载明的用途、使用期限等使用范围使用估价报告；否则，房地产估价机构和注册房地产估价师依法不承担责任。</w:t>
      </w:r>
    </w:p>
    <w:p>
      <w:pPr>
        <w:pStyle w:val="Normal"/>
        <w:autoSpaceDE w:val="false"/>
        <w:snapToGrid w:val="false"/>
        <w:spacing w:lineRule="auto" w:line="360"/>
        <w:ind w:firstLine="560" w:end="0"/>
        <w:jc w:val="start"/>
        <w:textAlignment w:val="bottom"/>
        <w:rPr/>
      </w:pPr>
      <w:r>
        <w:rPr/>
        <w:t>4、估价对象的拍卖或者变卖之日与价值时点不一致，可能导致估价结果对应的估价对象状况、房地产市场状况、欠缴税费状况等与拍卖或者变卖时的相应状况不一致，发生明显变化的，估价结果应当进行相应调整后方可使用。</w:t>
      </w:r>
    </w:p>
    <w:p>
      <w:pPr>
        <w:pStyle w:val="Normal"/>
        <w:autoSpaceDE w:val="false"/>
        <w:snapToGrid w:val="false"/>
        <w:spacing w:lineRule="auto" w:line="360"/>
        <w:ind w:firstLine="560" w:end="0"/>
        <w:jc w:val="start"/>
        <w:textAlignment w:val="bottom"/>
        <w:rPr/>
      </w:pPr>
      <w:r>
        <w:rPr/>
        <w:t>5、估价报告必须完整使用方为有效，对仅使用本报告中部分内容导致的损失不负任何责任；未经本估价机构书面同意，不得向估价委托人和报告使用人之外的任何单位或个人提供本报告的全部或部分内容，本报告亦不得用于本次估价目的之外的其他用途，未经许可不得发表于任何公开媒体上。</w:t>
      </w:r>
    </w:p>
    <w:p>
      <w:pPr>
        <w:pStyle w:val="Normal"/>
        <w:autoSpaceDE w:val="false"/>
        <w:snapToGrid w:val="false"/>
        <w:spacing w:lineRule="auto" w:line="360"/>
        <w:ind w:firstLine="560" w:end="0"/>
        <w:jc w:val="start"/>
        <w:textAlignment w:val="bottom"/>
        <w:rPr/>
      </w:pPr>
      <w:r>
        <w:rPr/>
        <w:t>6、当事人、利害关系人收到本估价报告后五日内可对估价报告的依据、估价方法或者估价结果等向人民法院提出书面异议，本公司将根据异议进行复核并作出书面说明。</w:t>
      </w:r>
    </w:p>
    <w:p>
      <w:pPr>
        <w:pStyle w:val="Normal"/>
        <w:autoSpaceDE w:val="false"/>
        <w:snapToGrid w:val="false"/>
        <w:spacing w:lineRule="auto" w:line="360"/>
        <w:ind w:firstLine="560" w:end="0"/>
        <w:jc w:val="start"/>
        <w:textAlignment w:val="bottom"/>
        <w:rPr/>
      </w:pPr>
      <w:r>
        <w:rPr/>
        <w:t>7、本报告估价结果是估价对象在产权交易过程中按照法律法规规定转让人和买受人交易税费各自负担下的市场价格；估价对象产权交易过程中发生的相关交易税费详见附件清单，具体税费金额以相关部门核定为准，提请报告使用人注意。</w:t>
      </w:r>
    </w:p>
    <w:p>
      <w:pPr>
        <w:pStyle w:val="Normal"/>
        <w:autoSpaceDE w:val="false"/>
        <w:snapToGrid w:val="false"/>
        <w:spacing w:lineRule="auto" w:line="360"/>
        <w:ind w:firstLine="560" w:end="0"/>
        <w:jc w:val="start"/>
        <w:textAlignment w:val="bottom"/>
        <w:rPr/>
      </w:pPr>
      <w:r>
        <w:rPr/>
        <w:t>8、根据估价人员现场查勘情况，估价对象室内安装有燃气灶、油烟机等设备，因查勘时条件限制并未对上述设备进行测试，故不能确认其有无缺陷，提请报告使用人注意。</w:t>
      </w:r>
    </w:p>
    <w:p>
      <w:pPr>
        <w:sectPr>
          <w:headerReference w:type="default" r:id="rId18"/>
          <w:headerReference w:type="first" r:id="rId19"/>
          <w:footerReference w:type="default" r:id="rId20"/>
          <w:footerReference w:type="first" r:id="rId21"/>
          <w:type w:val="nextPage"/>
          <w:pgSz w:w="11906" w:h="16838"/>
          <w:pgMar w:left="1588" w:right="1134" w:gutter="340" w:header="851" w:top="1440" w:footer="992" w:bottom="1440"/>
          <w:pgNumType w:fmt="decimal"/>
          <w:formProt w:val="false"/>
          <w:titlePg/>
          <w:textDirection w:val="lrTb"/>
          <w:docGrid w:type="lines" w:linePitch="312" w:charSpace="0"/>
        </w:sectPr>
        <w:pStyle w:val="Normal"/>
        <w:autoSpaceDE w:val="false"/>
        <w:snapToGrid w:val="false"/>
        <w:spacing w:lineRule="auto" w:line="360"/>
        <w:ind w:firstLine="560" w:end="0"/>
        <w:jc w:val="start"/>
        <w:textAlignment w:val="bottom"/>
        <w:rPr/>
      </w:pPr>
      <w:r>
        <w:rPr/>
        <w:t>本报告由浙江国信房地产土地估价咨询有限公司负责解释。</w:t>
      </w:r>
    </w:p>
    <w:p>
      <w:pPr>
        <w:pStyle w:val="Heading1"/>
        <w:spacing w:lineRule="auto" w:line="360" w:before="156" w:after="156"/>
        <w:ind w:hanging="0" w:start="0"/>
        <w:jc w:val="center"/>
        <w:rPr>
          <w:rFonts w:eastAsia="仿宋_GB2312"/>
          <w:sz w:val="32"/>
          <w:szCs w:val="32"/>
        </w:rPr>
      </w:pPr>
      <w:bookmarkStart w:id="4" w:name="__RefHeading___Toc208393251"/>
      <w:r>
        <w:rPr>
          <w:rFonts w:eastAsia="仿宋_GB2312"/>
          <w:sz w:val="32"/>
          <w:szCs w:val="32"/>
        </w:rPr>
        <w:t>第三部分</w:t>
      </w:r>
      <w:r>
        <w:rPr>
          <w:rFonts w:eastAsia="Times New Roman"/>
          <w:sz w:val="32"/>
          <w:szCs w:val="32"/>
        </w:rPr>
        <w:t xml:space="preserve">  </w:t>
      </w:r>
      <w:r>
        <w:rPr>
          <w:rFonts w:eastAsia="仿宋_GB2312"/>
          <w:sz w:val="32"/>
          <w:szCs w:val="32"/>
        </w:rPr>
        <w:t>房地产估价结果报告</w:t>
      </w:r>
      <w:bookmarkEnd w:id="4"/>
      <w:r>
        <w:rPr>
          <w:rFonts w:eastAsia="Times New Roman"/>
          <w:sz w:val="32"/>
          <w:szCs w:val="32"/>
        </w:rPr>
        <w:t xml:space="preserve"> </w:t>
      </w:r>
    </w:p>
    <w:p>
      <w:pPr>
        <w:pStyle w:val="Heading2"/>
        <w:keepNext w:val="true"/>
        <w:keepLines/>
        <w:spacing w:before="156" w:after="156"/>
        <w:ind w:hanging="0" w:start="0"/>
        <w:jc w:val="both"/>
        <w:rPr>
          <w:rFonts w:ascii="仿宋_GB2312" w:hAnsi="仿宋_GB2312" w:eastAsia="仿宋_GB2312" w:cs="宋体;SimSun"/>
          <w:kern w:val="2"/>
          <w:sz w:val="28"/>
        </w:rPr>
      </w:pPr>
      <w:bookmarkStart w:id="5" w:name="__RefHeading___Toc208393252"/>
      <w:bookmarkEnd w:id="5"/>
      <w:r>
        <w:rPr>
          <w:rFonts w:ascii="仿宋_GB2312" w:hAnsi="仿宋_GB2312" w:cs="宋体;SimSun" w:eastAsia="仿宋_GB2312"/>
          <w:kern w:val="2"/>
          <w:sz w:val="28"/>
        </w:rPr>
        <w:t>一、估价委托人</w:t>
      </w:r>
    </w:p>
    <w:p>
      <w:pPr>
        <w:pStyle w:val="Normal"/>
        <w:snapToGrid w:val="false"/>
        <w:spacing w:lineRule="auto" w:line="360"/>
        <w:ind w:firstLine="560" w:end="0"/>
        <w:rPr/>
      </w:pPr>
      <w:r>
        <w:rPr/>
        <w:t>估价委托人</w:t>
      </w:r>
      <w:r>
        <w:rPr>
          <w:szCs w:val="28"/>
        </w:rPr>
        <w:t>：</w:t>
      </w:r>
      <w:r>
        <w:rPr/>
        <w:t>{{委托人}}</w:t>
      </w:r>
    </w:p>
    <w:p>
      <w:pPr>
        <w:pStyle w:val="Heading2"/>
        <w:keepNext w:val="true"/>
        <w:keepLines/>
        <w:spacing w:before="156" w:after="156"/>
        <w:ind w:hanging="0" w:start="0"/>
        <w:jc w:val="both"/>
        <w:rPr>
          <w:rFonts w:ascii="仿宋_GB2312" w:hAnsi="仿宋_GB2312" w:eastAsia="仿宋_GB2312" w:cs="宋体;SimSun"/>
          <w:kern w:val="2"/>
          <w:sz w:val="28"/>
        </w:rPr>
      </w:pPr>
      <w:bookmarkStart w:id="6" w:name="__RefHeading___Toc208393253"/>
      <w:bookmarkEnd w:id="6"/>
      <w:r>
        <w:rPr>
          <w:rFonts w:ascii="仿宋_GB2312" w:hAnsi="仿宋_GB2312" w:cs="宋体;SimSun" w:eastAsia="仿宋_GB2312"/>
          <w:kern w:val="2"/>
          <w:sz w:val="28"/>
        </w:rPr>
        <w:t>二、房地产估价机构</w:t>
      </w:r>
    </w:p>
    <w:p>
      <w:pPr>
        <w:pStyle w:val="Normal"/>
        <w:autoSpaceDE w:val="false"/>
        <w:snapToGrid w:val="false"/>
        <w:spacing w:lineRule="auto" w:line="360"/>
        <w:ind w:firstLine="560" w:end="0"/>
        <w:textAlignment w:val="bottom"/>
        <w:rPr/>
      </w:pPr>
      <w:r>
        <w:rPr/>
        <w:t>估价机构名称：浙江国信房地产土地估价咨询有限公司</w:t>
      </w:r>
    </w:p>
    <w:p>
      <w:pPr>
        <w:pStyle w:val="Normal"/>
        <w:autoSpaceDE w:val="false"/>
        <w:snapToGrid w:val="false"/>
        <w:spacing w:lineRule="auto" w:line="360"/>
        <w:ind w:firstLine="560" w:end="0"/>
        <w:textAlignment w:val="bottom"/>
        <w:rPr/>
      </w:pPr>
      <w:r>
        <w:rPr/>
        <w:t>地址：杭州市拱墅区嘉联华铭座1003室</w:t>
      </w:r>
    </w:p>
    <w:p>
      <w:pPr>
        <w:pStyle w:val="Normal"/>
        <w:autoSpaceDE w:val="false"/>
        <w:snapToGrid w:val="false"/>
        <w:spacing w:lineRule="auto" w:line="360"/>
        <w:ind w:firstLine="560" w:end="0"/>
        <w:textAlignment w:val="bottom"/>
        <w:rPr/>
      </w:pPr>
      <w:r>
        <w:rPr/>
        <w:t>法定代表人：何伟勇</w:t>
      </w:r>
    </w:p>
    <w:p>
      <w:pPr>
        <w:pStyle w:val="Normal"/>
        <w:autoSpaceDE w:val="false"/>
        <w:snapToGrid w:val="false"/>
        <w:spacing w:lineRule="auto" w:line="360"/>
        <w:ind w:firstLine="560" w:end="0"/>
        <w:textAlignment w:val="bottom"/>
        <w:rPr/>
      </w:pPr>
      <w:r>
        <w:rPr/>
        <w:t>估价资质等级：国家壹级</w:t>
      </w:r>
    </w:p>
    <w:p>
      <w:pPr>
        <w:pStyle w:val="Normal"/>
        <w:autoSpaceDE w:val="false"/>
        <w:snapToGrid w:val="false"/>
        <w:spacing w:lineRule="auto" w:line="360"/>
        <w:ind w:firstLine="560" w:end="0"/>
        <w:textAlignment w:val="bottom"/>
        <w:rPr/>
      </w:pPr>
      <w:r>
        <w:rPr/>
        <w:t>估价资质证书编号：浙建房估证字[2016]004号</w:t>
      </w:r>
    </w:p>
    <w:p>
      <w:pPr>
        <w:pStyle w:val="Normal"/>
        <w:autoSpaceDE w:val="false"/>
        <w:snapToGrid w:val="false"/>
        <w:spacing w:lineRule="auto" w:line="360"/>
        <w:ind w:firstLine="560" w:end="0"/>
        <w:textAlignment w:val="bottom"/>
        <w:rPr/>
      </w:pPr>
      <w:r>
        <w:rPr/>
        <w:t>联系人：冯奕航</w:t>
      </w:r>
    </w:p>
    <w:p>
      <w:pPr>
        <w:pStyle w:val="Normal"/>
        <w:autoSpaceDE w:val="false"/>
        <w:snapToGrid w:val="false"/>
        <w:spacing w:lineRule="auto" w:line="360"/>
        <w:ind w:firstLine="560" w:end="0"/>
        <w:textAlignment w:val="bottom"/>
        <w:rPr/>
      </w:pPr>
      <w:r>
        <w:rPr/>
        <w:t>联系电话：15267156276</w:t>
      </w:r>
    </w:p>
    <w:p>
      <w:pPr>
        <w:pStyle w:val="Heading2"/>
        <w:keepNext w:val="true"/>
        <w:keepLines/>
        <w:spacing w:before="156" w:after="156"/>
        <w:ind w:hanging="0" w:start="0"/>
        <w:jc w:val="both"/>
        <w:rPr>
          <w:rFonts w:ascii="仿宋_GB2312" w:hAnsi="仿宋_GB2312" w:eastAsia="仿宋_GB2312" w:cs="宋体;SimSun"/>
          <w:kern w:val="2"/>
          <w:sz w:val="28"/>
        </w:rPr>
      </w:pPr>
      <w:bookmarkStart w:id="7" w:name="__RefHeading___Toc208393254"/>
      <w:r>
        <w:rPr>
          <w:rFonts w:ascii="仿宋_GB2312" w:hAnsi="仿宋_GB2312" w:cs="宋体;SimSun" w:eastAsia="仿宋_GB2312"/>
          <w:kern w:val="2"/>
          <w:sz w:val="28"/>
        </w:rPr>
        <w:t>三、估价目的</w:t>
      </w:r>
      <w:bookmarkEnd w:id="7"/>
      <w:r>
        <w:rPr>
          <w:rFonts w:ascii="仿宋_GB2312" w:hAnsi="仿宋_GB2312" w:cs="宋体;SimSun" w:eastAsia="仿宋_GB2312"/>
          <w:kern w:val="2"/>
          <w:sz w:val="28"/>
        </w:rPr>
        <w:t xml:space="preserve"> </w:t>
      </w:r>
    </w:p>
    <w:p>
      <w:pPr>
        <w:pStyle w:val="Normal"/>
        <w:spacing w:lineRule="auto" w:line="360"/>
        <w:ind w:firstLine="560" w:end="0"/>
        <w:textAlignment w:val="bottom"/>
        <w:rPr/>
      </w:pPr>
      <w:r>
        <w:rPr/>
        <w:t>为人民法院确定财产处置参考价提供参考依据。</w:t>
      </w:r>
    </w:p>
    <w:p>
      <w:pPr>
        <w:pStyle w:val="Heading2"/>
        <w:keepNext w:val="true"/>
        <w:keepLines/>
        <w:spacing w:before="156" w:after="156"/>
        <w:ind w:hanging="0" w:start="0"/>
        <w:jc w:val="both"/>
        <w:rPr>
          <w:rFonts w:ascii="仿宋_GB2312" w:hAnsi="仿宋_GB2312" w:eastAsia="仿宋_GB2312" w:cs="宋体;SimSun"/>
          <w:kern w:val="2"/>
          <w:sz w:val="28"/>
        </w:rPr>
      </w:pPr>
      <w:bookmarkStart w:id="8" w:name="__RefHeading___Toc208393255"/>
      <w:bookmarkEnd w:id="8"/>
      <w:r>
        <w:rPr>
          <w:rFonts w:ascii="仿宋_GB2312" w:hAnsi="仿宋_GB2312" w:cs="宋体;SimSun" w:eastAsia="仿宋_GB2312"/>
          <w:kern w:val="2"/>
          <w:sz w:val="28"/>
        </w:rPr>
        <w:t>四、估价对象</w:t>
      </w:r>
    </w:p>
    <w:p>
      <w:pPr>
        <w:pStyle w:val="Normal"/>
        <w:autoSpaceDE w:val="false"/>
        <w:snapToGrid w:val="false"/>
        <w:spacing w:lineRule="auto" w:line="360"/>
        <w:ind w:firstLine="560" w:end="0"/>
        <w:jc w:val="start"/>
        <w:textAlignment w:val="bottom"/>
        <w:rPr/>
      </w:pPr>
      <w:r>
        <w:rPr/>
        <w:t>1、估价对象界定</w:t>
      </w:r>
    </w:p>
    <w:p>
      <w:pPr>
        <w:pStyle w:val="Normal"/>
        <w:autoSpaceDE w:val="false"/>
        <w:snapToGrid w:val="false"/>
        <w:spacing w:lineRule="auto" w:line="360"/>
        <w:ind w:firstLine="560" w:end="0"/>
        <w:jc w:val="start"/>
        <w:textAlignment w:val="bottom"/>
        <w:rPr/>
      </w:pPr>
      <w:r>
        <w:rPr/>
        <w:t>本次估价对象为{{权属人}}所有的位于{{房产地址}}的</w:t>
      </w:r>
      <w:r>
        <w:rPr>
          <w:rStyle w:val="r"/>
          <w:szCs w:val="32"/>
        </w:rPr>
        <w:t>住宅</w:t>
      </w:r>
      <w:r>
        <w:rPr/>
        <w:t>房地产，房屋证载建筑面积为{{建筑面积}}平方米、土地使用权面积为{{土地面积}}平方米，包含房地产内部固定装修以及相关房屋配套设施设备，不包含动产、债权债务、特许经营权等其他财产或权益。</w:t>
      </w:r>
    </w:p>
    <w:p>
      <w:pPr>
        <w:pStyle w:val="Normal"/>
        <w:autoSpaceDE w:val="false"/>
        <w:snapToGrid w:val="false"/>
        <w:spacing w:lineRule="auto" w:line="360"/>
        <w:ind w:firstLine="560" w:end="0"/>
        <w:jc w:val="start"/>
        <w:textAlignment w:val="bottom"/>
        <w:rPr/>
      </w:pPr>
      <w:r>
        <w:rPr/>
        <w:t>2、区位状况</w:t>
      </w:r>
    </w:p>
    <w:p>
      <w:pPr>
        <w:pStyle w:val="Normal"/>
        <w:autoSpaceDE w:val="false"/>
        <w:snapToGrid w:val="false"/>
        <w:spacing w:lineRule="auto" w:line="360"/>
        <w:ind w:firstLine="560" w:end="0"/>
        <w:jc w:val="start"/>
        <w:textAlignment w:val="bottom"/>
        <w:rPr/>
      </w:pPr>
      <w:r>
        <w:rPr/>
        <w:t>估价对象位于{{房产地址}}，所处小区东邻庙山南路，南邻闲林东路，西临联荣路，北邻空地，周围基础设施完善，公共服务设施齐全，附近有星洲竹影翠庭、华盛星洲翠谷、绿城·樾鸣春晓园等住宅小区，周边住宅小区较多，居住氛围及人文环境较好，自然环境及景观一般，有闲林和睦小学(贤和校区)、七彩汇商业中心、余杭农商银行(闲林支行营业部)、杭州银行(杭州闲林小微支行)等设施，有381路、383M路、506路等多条公交线路通过，公共交通便捷度较好。</w:t>
      </w:r>
    </w:p>
    <w:p>
      <w:pPr>
        <w:pStyle w:val="Normal"/>
        <w:autoSpaceDE w:val="false"/>
        <w:snapToGrid w:val="false"/>
        <w:spacing w:lineRule="auto" w:line="360"/>
        <w:ind w:firstLine="560" w:end="0"/>
        <w:jc w:val="start"/>
        <w:textAlignment w:val="bottom"/>
        <w:rPr/>
      </w:pPr>
      <w:r>
        <w:rPr/>
        <w:t xml:space="preserve">3、权益状况 </w:t>
      </w:r>
    </w:p>
    <w:p>
      <w:pPr>
        <w:pStyle w:val="Normal"/>
        <w:autoSpaceDE w:val="false"/>
        <w:snapToGrid w:val="false"/>
        <w:spacing w:lineRule="auto" w:line="360"/>
        <w:ind w:firstLine="560" w:end="0"/>
        <w:jc w:val="start"/>
        <w:textAlignment w:val="bottom"/>
        <w:rPr/>
      </w:pPr>
      <w:r>
        <w:rPr/>
        <w:t>估价对象权益状况详见下表：</w:t>
      </w:r>
    </w:p>
    <w:tbl>
      <w:tblPr>
        <w:tblW w:w="4950" w:type="pct"/>
        <w:jc w:val="start"/>
        <w:tblInd w:w="0" w:type="dxa"/>
        <w:tblLayout w:type="fixed"/>
        <w:tblCellMar>
          <w:top w:w="0" w:type="dxa"/>
          <w:start w:w="108" w:type="dxa"/>
          <w:bottom w:w="0" w:type="dxa"/>
          <w:end w:w="108" w:type="dxa"/>
        </w:tblCellMar>
      </w:tblPr>
      <w:tblGrid>
        <w:gridCol w:w="1211"/>
        <w:gridCol w:w="1119"/>
        <w:gridCol w:w="1136"/>
        <w:gridCol w:w="1023"/>
        <w:gridCol w:w="1152"/>
        <w:gridCol w:w="690"/>
        <w:gridCol w:w="904"/>
        <w:gridCol w:w="1520"/>
      </w:tblGrid>
      <w:tr>
        <w:trPr>
          <w:trHeight w:val="216" w:hRule="atLeast"/>
        </w:trPr>
        <w:tc>
          <w:tcPr>
            <w:tcW w:w="1211" w:type="dxa"/>
            <w:tcBorders>
              <w:top w:val="single" w:sz="4" w:space="0" w:color="000000"/>
              <w:start w:val="single" w:sz="4" w:space="0" w:color="000000"/>
              <w:bottom w:val="single" w:sz="4" w:space="0" w:color="000000"/>
              <w:end w:val="single" w:sz="4"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不动产坐落</w:t>
            </w:r>
          </w:p>
        </w:tc>
        <w:tc>
          <w:tcPr>
            <w:tcW w:w="7544"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杭州市余杭区闲林街道闲湖城山景湾</w:t>
            </w:r>
            <w:r>
              <w:rPr>
                <w:rFonts w:eastAsia="宋体;SimSun" w:ascii="宋体;SimSun" w:hAnsi="宋体;SimSun"/>
                <w:color w:val="000000"/>
                <w:kern w:val="0"/>
                <w:sz w:val="18"/>
                <w:szCs w:val="18"/>
              </w:rPr>
              <w:t>3</w:t>
            </w:r>
            <w:r>
              <w:rPr>
                <w:rFonts w:ascii="宋体;SimSun" w:hAnsi="宋体;SimSun" w:eastAsia="宋体;SimSun"/>
                <w:color w:val="000000"/>
                <w:kern w:val="0"/>
                <w:sz w:val="18"/>
                <w:szCs w:val="18"/>
              </w:rPr>
              <w:t>幢</w:t>
            </w:r>
            <w:r>
              <w:rPr>
                <w:rFonts w:eastAsia="宋体;SimSun" w:ascii="宋体;SimSun" w:hAnsi="宋体;SimSun"/>
                <w:color w:val="000000"/>
                <w:kern w:val="0"/>
                <w:sz w:val="18"/>
                <w:szCs w:val="18"/>
              </w:rPr>
              <w:t>2</w:t>
            </w:r>
            <w:r>
              <w:rPr>
                <w:rFonts w:ascii="宋体;SimSun" w:hAnsi="宋体;SimSun" w:eastAsia="宋体;SimSun"/>
                <w:color w:val="000000"/>
                <w:kern w:val="0"/>
                <w:sz w:val="18"/>
                <w:szCs w:val="18"/>
              </w:rPr>
              <w:t>单元</w:t>
            </w:r>
            <w:r>
              <w:rPr>
                <w:rFonts w:eastAsia="宋体;SimSun" w:ascii="宋体;SimSun" w:hAnsi="宋体;SimSun"/>
                <w:color w:val="000000"/>
                <w:kern w:val="0"/>
                <w:sz w:val="18"/>
                <w:szCs w:val="18"/>
              </w:rPr>
              <w:t>601</w:t>
            </w:r>
            <w:r>
              <w:rPr>
                <w:rFonts w:ascii="宋体;SimSun" w:hAnsi="宋体;SimSun" w:eastAsia="宋体;SimSun"/>
                <w:color w:val="000000"/>
                <w:kern w:val="0"/>
                <w:sz w:val="18"/>
                <w:szCs w:val="18"/>
              </w:rPr>
              <w:t>室</w:t>
            </w:r>
          </w:p>
        </w:tc>
      </w:tr>
      <w:tr>
        <w:trPr>
          <w:trHeight w:val="432" w:hRule="atLeast"/>
        </w:trPr>
        <w:tc>
          <w:tcPr>
            <w:tcW w:w="1211" w:type="dxa"/>
            <w:tcBorders>
              <w:top w:val="single" w:sz="4" w:space="0" w:color="000000"/>
              <w:start w:val="single" w:sz="4" w:space="0" w:color="000000"/>
              <w:bottom w:val="single" w:sz="4" w:space="0" w:color="000000"/>
              <w:end w:val="single" w:sz="4"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用途</w:t>
            </w:r>
          </w:p>
        </w:tc>
        <w:tc>
          <w:tcPr>
            <w:tcW w:w="1119"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城镇住宅用地</w:t>
            </w:r>
            <w:r>
              <w:rPr>
                <w:rFonts w:eastAsia="宋体;SimSun" w:ascii="宋体;SimSun" w:hAnsi="宋体;SimSun"/>
                <w:color w:val="000000"/>
                <w:kern w:val="0"/>
                <w:sz w:val="18"/>
                <w:szCs w:val="18"/>
              </w:rPr>
              <w:t>/</w:t>
            </w:r>
            <w:r>
              <w:rPr>
                <w:rFonts w:ascii="宋体;SimSun" w:hAnsi="宋体;SimSun" w:eastAsia="宋体;SimSun"/>
                <w:color w:val="000000"/>
                <w:kern w:val="0"/>
                <w:sz w:val="18"/>
                <w:szCs w:val="18"/>
              </w:rPr>
              <w:t>住宅</w:t>
            </w:r>
          </w:p>
        </w:tc>
        <w:tc>
          <w:tcPr>
            <w:tcW w:w="1136"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建筑面积（㎡）</w:t>
            </w:r>
          </w:p>
        </w:tc>
        <w:tc>
          <w:tcPr>
            <w:tcW w:w="102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{{建筑面积}}</w:t>
            </w:r>
          </w:p>
        </w:tc>
        <w:tc>
          <w:tcPr>
            <w:tcW w:w="1152"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土地使用权面积（㎡）</w:t>
            </w:r>
          </w:p>
        </w:tc>
        <w:tc>
          <w:tcPr>
            <w:tcW w:w="69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{{土地面积}}</w:t>
            </w:r>
          </w:p>
        </w:tc>
        <w:tc>
          <w:tcPr>
            <w:tcW w:w="904"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使用期限</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2002</w:t>
            </w:r>
            <w:r>
              <w:rPr>
                <w:rFonts w:ascii="宋体;SimSun" w:hAnsi="宋体;SimSun" w:eastAsia="宋体;SimSun"/>
                <w:color w:val="000000"/>
                <w:kern w:val="0"/>
                <w:sz w:val="18"/>
                <w:szCs w:val="18"/>
              </w:rPr>
              <w:t>年</w:t>
            </w:r>
            <w:r>
              <w:rPr>
                <w:rFonts w:eastAsia="宋体;SimSun" w:ascii="宋体;SimSun" w:hAnsi="宋体;SimSun"/>
                <w:color w:val="000000"/>
                <w:kern w:val="0"/>
                <w:sz w:val="18"/>
                <w:szCs w:val="18"/>
              </w:rPr>
              <w:t>09</w:t>
            </w:r>
            <w:r>
              <w:rPr>
                <w:rFonts w:ascii="宋体;SimSun" w:hAnsi="宋体;SimSun" w:eastAsia="宋体;SimSun"/>
                <w:color w:val="000000"/>
                <w:kern w:val="0"/>
                <w:sz w:val="18"/>
                <w:szCs w:val="18"/>
              </w:rPr>
              <w:t>月</w:t>
            </w:r>
            <w:r>
              <w:rPr>
                <w:rFonts w:eastAsia="宋体;SimSun" w:ascii="宋体;SimSun" w:hAnsi="宋体;SimSun"/>
                <w:color w:val="000000"/>
                <w:kern w:val="0"/>
                <w:sz w:val="18"/>
                <w:szCs w:val="18"/>
              </w:rPr>
              <w:t>17</w:t>
            </w:r>
            <w:r>
              <w:rPr>
                <w:rFonts w:ascii="宋体;SimSun" w:hAnsi="宋体;SimSun" w:eastAsia="宋体;SimSun"/>
                <w:color w:val="000000"/>
                <w:kern w:val="0"/>
                <w:sz w:val="18"/>
                <w:szCs w:val="18"/>
              </w:rPr>
              <w:t>日至</w:t>
            </w:r>
            <w:r>
              <w:rPr>
                <w:rFonts w:eastAsia="宋体;SimSun" w:ascii="宋体;SimSun" w:hAnsi="宋体;SimSun"/>
                <w:color w:val="000000"/>
                <w:kern w:val="0"/>
                <w:sz w:val="18"/>
                <w:szCs w:val="18"/>
              </w:rPr>
              <w:t>2072</w:t>
            </w:r>
            <w:r>
              <w:rPr>
                <w:rFonts w:ascii="宋体;SimSun" w:hAnsi="宋体;SimSun" w:eastAsia="宋体;SimSun"/>
                <w:color w:val="000000"/>
                <w:kern w:val="0"/>
                <w:sz w:val="18"/>
                <w:szCs w:val="18"/>
              </w:rPr>
              <w:t>年</w:t>
            </w:r>
            <w:r>
              <w:rPr>
                <w:rFonts w:eastAsia="宋体;SimSun" w:ascii="宋体;SimSun" w:hAnsi="宋体;SimSun"/>
                <w:color w:val="000000"/>
                <w:kern w:val="0"/>
                <w:sz w:val="18"/>
                <w:szCs w:val="18"/>
              </w:rPr>
              <w:t>09</w:t>
            </w:r>
            <w:r>
              <w:rPr>
                <w:rFonts w:ascii="宋体;SimSun" w:hAnsi="宋体;SimSun" w:eastAsia="宋体;SimSun"/>
                <w:color w:val="000000"/>
                <w:kern w:val="0"/>
                <w:sz w:val="18"/>
                <w:szCs w:val="18"/>
              </w:rPr>
              <w:t>月</w:t>
            </w:r>
            <w:r>
              <w:rPr>
                <w:rFonts w:eastAsia="宋体;SimSun" w:ascii="宋体;SimSun" w:hAnsi="宋体;SimSun"/>
                <w:color w:val="000000"/>
                <w:kern w:val="0"/>
                <w:sz w:val="18"/>
                <w:szCs w:val="18"/>
              </w:rPr>
              <w:t>16</w:t>
            </w:r>
            <w:r>
              <w:rPr>
                <w:rFonts w:ascii="宋体;SimSun" w:hAnsi="宋体;SimSun" w:eastAsia="宋体;SimSun"/>
                <w:color w:val="000000"/>
                <w:kern w:val="0"/>
                <w:sz w:val="18"/>
                <w:szCs w:val="18"/>
              </w:rPr>
              <w:t>日</w:t>
            </w:r>
          </w:p>
        </w:tc>
      </w:tr>
      <w:tr>
        <w:trPr>
          <w:trHeight w:val="216" w:hRule="atLeast"/>
        </w:trPr>
        <w:tc>
          <w:tcPr>
            <w:tcW w:w="1211" w:type="dxa"/>
            <w:tcBorders>
              <w:top w:val="single" w:sz="4" w:space="0" w:color="000000"/>
              <w:start w:val="single" w:sz="4" w:space="0" w:color="000000"/>
              <w:bottom w:val="single" w:sz="4" w:space="0" w:color="000000"/>
              <w:end w:val="single" w:sz="4"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限制信息</w:t>
            </w:r>
          </w:p>
        </w:tc>
        <w:tc>
          <w:tcPr>
            <w:tcW w:w="5120"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不动产：有查封，有抵押</w:t>
            </w:r>
          </w:p>
        </w:tc>
        <w:tc>
          <w:tcPr>
            <w:tcW w:w="904"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宗地号</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{{宗地号}}</w:t>
            </w:r>
          </w:p>
        </w:tc>
      </w:tr>
      <w:tr>
        <w:trPr>
          <w:trHeight w:val="216" w:hRule="atLeast"/>
        </w:trPr>
        <w:tc>
          <w:tcPr>
            <w:tcW w:w="1211" w:type="dxa"/>
            <w:vMerge w:val="restart"/>
            <w:tcBorders>
              <w:top w:val="single" w:sz="4" w:space="0" w:color="000000"/>
              <w:start w:val="single" w:sz="4" w:space="0" w:color="000000"/>
              <w:bottom w:val="single" w:sz="4" w:space="0" w:color="000000"/>
              <w:end w:val="single" w:sz="4"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不动产状况</w:t>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权利人</w:t>
            </w:r>
          </w:p>
        </w:tc>
        <w:tc>
          <w:tcPr>
            <w:tcW w:w="6425"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{{权属人}}</w:t>
            </w:r>
          </w:p>
        </w:tc>
      </w:tr>
      <w:tr>
        <w:trPr>
          <w:trHeight w:val="432" w:hRule="atLeast"/>
        </w:trPr>
        <w:tc>
          <w:tcPr>
            <w:tcW w:w="1211" w:type="dxa"/>
            <w:vMerge w:val="continue"/>
            <w:tcBorders>
              <w:top w:val="single" w:sz="4" w:space="0" w:color="000000"/>
              <w:start w:val="single" w:sz="4" w:space="0" w:color="000000"/>
              <w:bottom w:val="single" w:sz="4" w:space="0" w:color="000000"/>
              <w:end w:val="single" w:sz="4"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权证号</w:t>
            </w:r>
            <w:r>
              <w:rPr>
                <w:rFonts w:eastAsia="宋体;SimSun" w:ascii="宋体;SimSun" w:hAnsi="宋体;SimSun"/>
                <w:b/>
                <w:bCs/>
                <w:color w:val="000000"/>
                <w:kern w:val="0"/>
                <w:sz w:val="18"/>
                <w:szCs w:val="18"/>
              </w:rPr>
              <w:br/>
            </w:r>
            <w:r>
              <w:rPr>
                <w:rFonts w:ascii="宋体;SimSun" w:hAnsi="宋体;SimSun" w:eastAsia="宋体;SimSun"/>
                <w:b/>
                <w:bCs/>
                <w:color w:val="000000"/>
                <w:kern w:val="0"/>
                <w:sz w:val="18"/>
                <w:szCs w:val="18"/>
              </w:rPr>
              <w:t>（证明号）</w:t>
            </w:r>
          </w:p>
        </w:tc>
        <w:tc>
          <w:tcPr>
            <w:tcW w:w="6425"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浙（</w:t>
            </w:r>
            <w:r>
              <w:rPr>
                <w:rFonts w:eastAsia="宋体;SimSun" w:ascii="宋体;SimSun" w:hAnsi="宋体;SimSun"/>
                <w:color w:val="000000"/>
                <w:kern w:val="0"/>
                <w:sz w:val="18"/>
                <w:szCs w:val="18"/>
              </w:rPr>
              <w:t>2021</w:t>
            </w:r>
            <w:r>
              <w:rPr>
                <w:rFonts w:ascii="宋体;SimSun" w:hAnsi="宋体;SimSun" w:eastAsia="宋体;SimSun"/>
                <w:color w:val="000000"/>
                <w:kern w:val="0"/>
                <w:sz w:val="18"/>
                <w:szCs w:val="18"/>
              </w:rPr>
              <w:t>）杭州市不动产权第</w:t>
            </w:r>
            <w:r>
              <w:rPr>
                <w:rFonts w:eastAsia="宋体;SimSun" w:ascii="宋体;SimSun" w:hAnsi="宋体;SimSun"/>
                <w:color w:val="000000"/>
                <w:kern w:val="0"/>
                <w:sz w:val="18"/>
                <w:szCs w:val="18"/>
              </w:rPr>
              <w:t>2043883</w:t>
            </w:r>
            <w:r>
              <w:rPr>
                <w:rFonts w:ascii="宋体;SimSun" w:hAnsi="宋体;SimSun" w:eastAsia="宋体;SimSun"/>
                <w:color w:val="000000"/>
                <w:kern w:val="0"/>
                <w:sz w:val="18"/>
                <w:szCs w:val="18"/>
              </w:rPr>
              <w:t>号</w:t>
            </w:r>
          </w:p>
        </w:tc>
      </w:tr>
      <w:tr>
        <w:trPr>
          <w:trHeight w:val="216" w:hRule="atLeast"/>
        </w:trPr>
        <w:tc>
          <w:tcPr>
            <w:tcW w:w="1211" w:type="dxa"/>
            <w:vMerge w:val="continue"/>
            <w:tcBorders>
              <w:top w:val="single" w:sz="4" w:space="0" w:color="000000"/>
              <w:start w:val="single" w:sz="4" w:space="0" w:color="000000"/>
              <w:bottom w:val="single" w:sz="4" w:space="0" w:color="000000"/>
              <w:end w:val="single" w:sz="4"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权利类型</w:t>
            </w:r>
          </w:p>
        </w:tc>
        <w:tc>
          <w:tcPr>
            <w:tcW w:w="2159"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国有建设用地使用权</w:t>
            </w:r>
            <w:r>
              <w:rPr>
                <w:rFonts w:eastAsia="宋体;SimSun" w:ascii="宋体;SimSun" w:hAnsi="宋体;SimSun"/>
                <w:color w:val="000000"/>
                <w:kern w:val="0"/>
                <w:sz w:val="18"/>
                <w:szCs w:val="18"/>
              </w:rPr>
              <w:t>/</w:t>
            </w:r>
            <w:r>
              <w:rPr>
                <w:rFonts w:ascii="宋体;SimSun" w:hAnsi="宋体;SimSun" w:eastAsia="宋体;SimSun"/>
                <w:color w:val="000000"/>
                <w:kern w:val="0"/>
                <w:sz w:val="18"/>
                <w:szCs w:val="18"/>
              </w:rPr>
              <w:t>房屋（构筑物）所有权</w:t>
            </w:r>
          </w:p>
        </w:tc>
        <w:tc>
          <w:tcPr>
            <w:tcW w:w="1842" w:type="dxa"/>
            <w:gridSpan w:val="2"/>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权利性质</w:t>
            </w:r>
          </w:p>
        </w:tc>
        <w:tc>
          <w:tcPr>
            <w:tcW w:w="242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出让</w:t>
            </w:r>
            <w:r>
              <w:rPr>
                <w:rFonts w:eastAsia="宋体;SimSun" w:ascii="宋体;SimSun" w:hAnsi="宋体;SimSun"/>
                <w:color w:val="000000"/>
                <w:kern w:val="0"/>
                <w:sz w:val="18"/>
                <w:szCs w:val="18"/>
              </w:rPr>
              <w:t>/</w:t>
            </w:r>
            <w:r>
              <w:rPr>
                <w:rFonts w:ascii="宋体;SimSun" w:hAnsi="宋体;SimSun" w:eastAsia="宋体;SimSun"/>
                <w:color w:val="000000"/>
                <w:kern w:val="0"/>
                <w:sz w:val="18"/>
                <w:szCs w:val="18"/>
              </w:rPr>
              <w:t>存量房产</w:t>
            </w:r>
          </w:p>
        </w:tc>
      </w:tr>
      <w:tr>
        <w:trPr>
          <w:trHeight w:val="216" w:hRule="atLeast"/>
        </w:trPr>
        <w:tc>
          <w:tcPr>
            <w:tcW w:w="1211" w:type="dxa"/>
            <w:vMerge w:val="continue"/>
            <w:tcBorders>
              <w:top w:val="single" w:sz="4" w:space="0" w:color="000000"/>
              <w:start w:val="single" w:sz="4" w:space="0" w:color="000000"/>
              <w:bottom w:val="single" w:sz="4" w:space="0" w:color="000000"/>
              <w:end w:val="single" w:sz="4"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共有情况</w:t>
            </w:r>
          </w:p>
        </w:tc>
        <w:tc>
          <w:tcPr>
            <w:tcW w:w="2159"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单独所有</w:t>
            </w:r>
          </w:p>
        </w:tc>
        <w:tc>
          <w:tcPr>
            <w:tcW w:w="1842" w:type="dxa"/>
            <w:gridSpan w:val="2"/>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登记日期</w:t>
            </w:r>
          </w:p>
        </w:tc>
        <w:tc>
          <w:tcPr>
            <w:tcW w:w="242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2021</w:t>
            </w:r>
            <w:r>
              <w:rPr>
                <w:rFonts w:ascii="宋体;SimSun" w:hAnsi="宋体;SimSun" w:eastAsia="宋体;SimSun"/>
                <w:color w:val="000000"/>
                <w:kern w:val="0"/>
                <w:sz w:val="18"/>
                <w:szCs w:val="18"/>
              </w:rPr>
              <w:t>年</w:t>
            </w:r>
            <w:r>
              <w:rPr>
                <w:rFonts w:eastAsia="宋体;SimSun" w:ascii="宋体;SimSun" w:hAnsi="宋体;SimSun"/>
                <w:color w:val="000000"/>
                <w:kern w:val="0"/>
                <w:sz w:val="18"/>
                <w:szCs w:val="18"/>
              </w:rPr>
              <w:t>08</w:t>
            </w:r>
            <w:r>
              <w:rPr>
                <w:rFonts w:ascii="宋体;SimSun" w:hAnsi="宋体;SimSun" w:eastAsia="宋体;SimSun"/>
                <w:color w:val="000000"/>
                <w:kern w:val="0"/>
                <w:sz w:val="18"/>
                <w:szCs w:val="18"/>
              </w:rPr>
              <w:t>月</w:t>
            </w:r>
            <w:r>
              <w:rPr>
                <w:rFonts w:eastAsia="宋体;SimSun" w:ascii="宋体;SimSun" w:hAnsi="宋体;SimSun"/>
                <w:color w:val="000000"/>
                <w:kern w:val="0"/>
                <w:sz w:val="18"/>
                <w:szCs w:val="18"/>
              </w:rPr>
              <w:t>16</w:t>
            </w:r>
            <w:r>
              <w:rPr>
                <w:rFonts w:ascii="宋体;SimSun" w:hAnsi="宋体;SimSun" w:eastAsia="宋体;SimSun"/>
                <w:color w:val="000000"/>
                <w:kern w:val="0"/>
                <w:sz w:val="18"/>
                <w:szCs w:val="18"/>
              </w:rPr>
              <w:t>日</w:t>
            </w:r>
          </w:p>
        </w:tc>
      </w:tr>
      <w:tr>
        <w:trPr>
          <w:trHeight w:val="216" w:hRule="atLeast"/>
        </w:trPr>
        <w:tc>
          <w:tcPr>
            <w:tcW w:w="1211" w:type="dxa"/>
            <w:vMerge w:val="continue"/>
            <w:tcBorders>
              <w:top w:val="single" w:sz="4" w:space="0" w:color="000000"/>
              <w:start w:val="single" w:sz="4" w:space="0" w:color="000000"/>
              <w:bottom w:val="single" w:sz="4" w:space="0" w:color="000000"/>
              <w:end w:val="single" w:sz="4"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权利状态</w:t>
            </w:r>
          </w:p>
        </w:tc>
        <w:tc>
          <w:tcPr>
            <w:tcW w:w="6425"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现状</w:t>
            </w:r>
          </w:p>
        </w:tc>
      </w:tr>
      <w:tr>
        <w:trPr>
          <w:trHeight w:val="216" w:hRule="atLeast"/>
        </w:trPr>
        <w:tc>
          <w:tcPr>
            <w:tcW w:w="1211" w:type="dxa"/>
            <w:vMerge w:val="continue"/>
            <w:tcBorders>
              <w:top w:val="single" w:sz="4" w:space="0" w:color="000000"/>
              <w:start w:val="single" w:sz="4" w:space="0" w:color="000000"/>
              <w:bottom w:val="single" w:sz="4" w:space="0" w:color="000000"/>
              <w:end w:val="single" w:sz="4"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附记</w:t>
            </w:r>
          </w:p>
        </w:tc>
        <w:tc>
          <w:tcPr>
            <w:tcW w:w="6425"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本宗地内未作分摊的土地使用权属全体业主共用。税源编号：</w:t>
            </w:r>
            <w:r>
              <w:rPr>
                <w:rFonts w:eastAsia="宋体;SimSun" w:ascii="宋体;SimSun" w:hAnsi="宋体;SimSun"/>
                <w:color w:val="000000"/>
                <w:kern w:val="0"/>
                <w:sz w:val="18"/>
                <w:szCs w:val="18"/>
              </w:rPr>
              <w:t xml:space="preserve">3301252021061039 </w:t>
            </w:r>
            <w:r>
              <w:rPr>
                <w:rFonts w:ascii="宋体;SimSun" w:hAnsi="宋体;SimSun" w:eastAsia="宋体;SimSun"/>
                <w:color w:val="000000"/>
                <w:kern w:val="0"/>
                <w:sz w:val="18"/>
                <w:szCs w:val="18"/>
              </w:rPr>
              <w:t>完税时间：</w:t>
            </w:r>
            <w:r>
              <w:rPr>
                <w:rFonts w:eastAsia="宋体;SimSun" w:ascii="宋体;SimSun" w:hAnsi="宋体;SimSun"/>
                <w:color w:val="000000"/>
                <w:kern w:val="0"/>
                <w:sz w:val="18"/>
                <w:szCs w:val="18"/>
              </w:rPr>
              <w:t>2021-08-13</w:t>
            </w:r>
          </w:p>
        </w:tc>
      </w:tr>
      <w:tr>
        <w:trPr>
          <w:trHeight w:val="216" w:hRule="atLeast"/>
        </w:trPr>
        <w:tc>
          <w:tcPr>
            <w:tcW w:w="1211" w:type="dxa"/>
            <w:vMerge w:val="restart"/>
            <w:tcBorders>
              <w:top w:val="single" w:sz="4" w:space="0" w:color="000000"/>
              <w:start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抵押状况</w:t>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抵押权人</w:t>
            </w:r>
          </w:p>
        </w:tc>
        <w:tc>
          <w:tcPr>
            <w:tcW w:w="2159"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{{抵押权人}}</w:t>
            </w:r>
          </w:p>
        </w:tc>
        <w:tc>
          <w:tcPr>
            <w:tcW w:w="1842" w:type="dxa"/>
            <w:gridSpan w:val="2"/>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登记证明号</w:t>
            </w:r>
          </w:p>
        </w:tc>
        <w:tc>
          <w:tcPr>
            <w:tcW w:w="242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浙</w:t>
            </w:r>
            <w:r>
              <w:rPr>
                <w:rFonts w:eastAsia="宋体;SimSun" w:ascii="宋体;SimSun" w:hAnsi="宋体;SimSun"/>
                <w:color w:val="000000"/>
                <w:kern w:val="0"/>
                <w:sz w:val="18"/>
                <w:szCs w:val="18"/>
              </w:rPr>
              <w:t>(2022)</w:t>
            </w:r>
            <w:r>
              <w:rPr>
                <w:rFonts w:ascii="宋体;SimSun" w:hAnsi="宋体;SimSun" w:eastAsia="宋体;SimSun"/>
                <w:color w:val="000000"/>
                <w:kern w:val="0"/>
                <w:sz w:val="18"/>
                <w:szCs w:val="18"/>
              </w:rPr>
              <w:t>杭州市不动产证明第</w:t>
            </w:r>
            <w:r>
              <w:rPr>
                <w:rFonts w:eastAsia="宋体;SimSun" w:ascii="宋体;SimSun" w:hAnsi="宋体;SimSun"/>
                <w:color w:val="000000"/>
                <w:kern w:val="0"/>
                <w:sz w:val="18"/>
                <w:szCs w:val="18"/>
              </w:rPr>
              <w:t>0070253</w:t>
            </w:r>
            <w:r>
              <w:rPr>
                <w:rFonts w:ascii="宋体;SimSun" w:hAnsi="宋体;SimSun" w:eastAsia="宋体;SimSun"/>
                <w:color w:val="000000"/>
                <w:kern w:val="0"/>
                <w:sz w:val="18"/>
                <w:szCs w:val="18"/>
              </w:rPr>
              <w:t>号</w:t>
            </w:r>
          </w:p>
        </w:tc>
      </w:tr>
      <w:tr>
        <w:trPr>
          <w:trHeight w:val="216" w:hRule="atLeast"/>
        </w:trPr>
        <w:tc>
          <w:tcPr>
            <w:tcW w:w="1211" w:type="dxa"/>
            <w:vMerge w:val="continue"/>
            <w:tcBorders>
              <w:top w:val="single" w:sz="4" w:space="0" w:color="000000"/>
              <w:start w:val="single" w:sz="4" w:space="0" w:color="000000"/>
              <w:end w:val="single" w:sz="4" w:space="0" w:color="000000"/>
            </w:tcBorders>
            <w:shd w:fill="BFBFBF"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抵押方式</w:t>
            </w:r>
          </w:p>
        </w:tc>
        <w:tc>
          <w:tcPr>
            <w:tcW w:w="2159"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最高额抵押</w:t>
            </w:r>
          </w:p>
        </w:tc>
        <w:tc>
          <w:tcPr>
            <w:tcW w:w="1842" w:type="dxa"/>
            <w:gridSpan w:val="2"/>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债权数额</w:t>
            </w:r>
          </w:p>
        </w:tc>
        <w:tc>
          <w:tcPr>
            <w:tcW w:w="242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347</w:t>
            </w:r>
            <w:r>
              <w:rPr>
                <w:rFonts w:ascii="宋体;SimSun" w:hAnsi="宋体;SimSun" w:eastAsia="宋体;SimSun"/>
                <w:color w:val="000000"/>
                <w:kern w:val="0"/>
                <w:sz w:val="18"/>
                <w:szCs w:val="18"/>
              </w:rPr>
              <w:t>万元</w:t>
            </w:r>
          </w:p>
        </w:tc>
      </w:tr>
      <w:tr>
        <w:trPr>
          <w:trHeight w:val="432" w:hRule="atLeast"/>
        </w:trPr>
        <w:tc>
          <w:tcPr>
            <w:tcW w:w="1211" w:type="dxa"/>
            <w:vMerge w:val="continue"/>
            <w:tcBorders>
              <w:top w:val="single" w:sz="4" w:space="0" w:color="000000"/>
              <w:start w:val="single" w:sz="4" w:space="0" w:color="000000"/>
              <w:end w:val="single" w:sz="4" w:space="0" w:color="000000"/>
            </w:tcBorders>
            <w:shd w:fill="BFBFBF"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登记日期</w:t>
            </w:r>
          </w:p>
        </w:tc>
        <w:tc>
          <w:tcPr>
            <w:tcW w:w="2159"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2022</w:t>
            </w:r>
            <w:r>
              <w:rPr>
                <w:rFonts w:ascii="宋体;SimSun" w:hAnsi="宋体;SimSun" w:eastAsia="宋体;SimSun"/>
                <w:color w:val="000000"/>
                <w:kern w:val="0"/>
                <w:sz w:val="18"/>
                <w:szCs w:val="18"/>
              </w:rPr>
              <w:t>年</w:t>
            </w:r>
            <w:r>
              <w:rPr>
                <w:rFonts w:eastAsia="宋体;SimSun" w:ascii="宋体;SimSun" w:hAnsi="宋体;SimSun"/>
                <w:color w:val="000000"/>
                <w:kern w:val="0"/>
                <w:sz w:val="18"/>
                <w:szCs w:val="18"/>
              </w:rPr>
              <w:t>04</w:t>
            </w:r>
            <w:r>
              <w:rPr>
                <w:rFonts w:ascii="宋体;SimSun" w:hAnsi="宋体;SimSun" w:eastAsia="宋体;SimSun"/>
                <w:color w:val="000000"/>
                <w:kern w:val="0"/>
                <w:sz w:val="18"/>
                <w:szCs w:val="18"/>
              </w:rPr>
              <w:t>月</w:t>
            </w:r>
            <w:r>
              <w:rPr>
                <w:rFonts w:eastAsia="宋体;SimSun" w:ascii="宋体;SimSun" w:hAnsi="宋体;SimSun"/>
                <w:color w:val="000000"/>
                <w:kern w:val="0"/>
                <w:sz w:val="18"/>
                <w:szCs w:val="18"/>
              </w:rPr>
              <w:t>24</w:t>
            </w:r>
            <w:r>
              <w:rPr>
                <w:rFonts w:ascii="宋体;SimSun" w:hAnsi="宋体;SimSun" w:eastAsia="宋体;SimSun"/>
                <w:color w:val="000000"/>
                <w:kern w:val="0"/>
                <w:sz w:val="18"/>
                <w:szCs w:val="18"/>
              </w:rPr>
              <w:t>日</w:t>
            </w:r>
          </w:p>
        </w:tc>
        <w:tc>
          <w:tcPr>
            <w:tcW w:w="1842" w:type="dxa"/>
            <w:gridSpan w:val="2"/>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债务履行期限（债权确定期间）</w:t>
            </w:r>
          </w:p>
        </w:tc>
        <w:tc>
          <w:tcPr>
            <w:tcW w:w="242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2022</w:t>
            </w:r>
            <w:r>
              <w:rPr>
                <w:rFonts w:ascii="宋体;SimSun" w:hAnsi="宋体;SimSun" w:eastAsia="宋体;SimSun"/>
                <w:color w:val="000000"/>
                <w:kern w:val="0"/>
                <w:sz w:val="18"/>
                <w:szCs w:val="18"/>
              </w:rPr>
              <w:t>年</w:t>
            </w:r>
            <w:r>
              <w:rPr>
                <w:rFonts w:eastAsia="宋体;SimSun" w:ascii="宋体;SimSun" w:hAnsi="宋体;SimSun"/>
                <w:color w:val="000000"/>
                <w:kern w:val="0"/>
                <w:sz w:val="18"/>
                <w:szCs w:val="18"/>
              </w:rPr>
              <w:t>04</w:t>
            </w:r>
            <w:r>
              <w:rPr>
                <w:rFonts w:ascii="宋体;SimSun" w:hAnsi="宋体;SimSun" w:eastAsia="宋体;SimSun"/>
                <w:color w:val="000000"/>
                <w:kern w:val="0"/>
                <w:sz w:val="18"/>
                <w:szCs w:val="18"/>
              </w:rPr>
              <w:t>月</w:t>
            </w:r>
            <w:r>
              <w:rPr>
                <w:rFonts w:eastAsia="宋体;SimSun" w:ascii="宋体;SimSun" w:hAnsi="宋体;SimSun"/>
                <w:color w:val="000000"/>
                <w:kern w:val="0"/>
                <w:sz w:val="18"/>
                <w:szCs w:val="18"/>
              </w:rPr>
              <w:t>18</w:t>
            </w:r>
            <w:r>
              <w:rPr>
                <w:rFonts w:ascii="宋体;SimSun" w:hAnsi="宋体;SimSun" w:eastAsia="宋体;SimSun"/>
                <w:color w:val="000000"/>
                <w:kern w:val="0"/>
                <w:sz w:val="18"/>
                <w:szCs w:val="18"/>
              </w:rPr>
              <w:t>日起</w:t>
            </w:r>
            <w:r>
              <w:rPr>
                <w:rFonts w:eastAsia="宋体;SimSun" w:ascii="宋体;SimSun" w:hAnsi="宋体;SimSun"/>
                <w:color w:val="000000"/>
                <w:kern w:val="0"/>
                <w:sz w:val="18"/>
                <w:szCs w:val="18"/>
              </w:rPr>
              <w:t>2032</w:t>
            </w:r>
            <w:r>
              <w:rPr>
                <w:rFonts w:ascii="宋体;SimSun" w:hAnsi="宋体;SimSun" w:eastAsia="宋体;SimSun"/>
                <w:color w:val="000000"/>
                <w:kern w:val="0"/>
                <w:sz w:val="18"/>
                <w:szCs w:val="18"/>
              </w:rPr>
              <w:t>年</w:t>
            </w:r>
            <w:r>
              <w:rPr>
                <w:rFonts w:eastAsia="宋体;SimSun" w:ascii="宋体;SimSun" w:hAnsi="宋体;SimSun"/>
                <w:color w:val="000000"/>
                <w:kern w:val="0"/>
                <w:sz w:val="18"/>
                <w:szCs w:val="18"/>
              </w:rPr>
              <w:t>04</w:t>
            </w:r>
            <w:r>
              <w:rPr>
                <w:rFonts w:ascii="宋体;SimSun" w:hAnsi="宋体;SimSun" w:eastAsia="宋体;SimSun"/>
                <w:color w:val="000000"/>
                <w:kern w:val="0"/>
                <w:sz w:val="18"/>
                <w:szCs w:val="18"/>
              </w:rPr>
              <w:t>月</w:t>
            </w:r>
            <w:r>
              <w:rPr>
                <w:rFonts w:eastAsia="宋体;SimSun" w:ascii="宋体;SimSun" w:hAnsi="宋体;SimSun"/>
                <w:color w:val="000000"/>
                <w:kern w:val="0"/>
                <w:sz w:val="18"/>
                <w:szCs w:val="18"/>
              </w:rPr>
              <w:t>18</w:t>
            </w:r>
            <w:r>
              <w:rPr>
                <w:rFonts w:ascii="宋体;SimSun" w:hAnsi="宋体;SimSun" w:eastAsia="宋体;SimSun"/>
                <w:color w:val="000000"/>
                <w:kern w:val="0"/>
                <w:sz w:val="18"/>
                <w:szCs w:val="18"/>
              </w:rPr>
              <w:t>日止</w:t>
            </w:r>
          </w:p>
        </w:tc>
      </w:tr>
      <w:tr>
        <w:trPr>
          <w:trHeight w:val="216" w:hRule="atLeast"/>
        </w:trPr>
        <w:tc>
          <w:tcPr>
            <w:tcW w:w="1211" w:type="dxa"/>
            <w:vMerge w:val="continue"/>
            <w:tcBorders>
              <w:top w:val="single" w:sz="4" w:space="0" w:color="000000"/>
              <w:start w:val="single" w:sz="4" w:space="0" w:color="000000"/>
              <w:end w:val="single" w:sz="4" w:space="0" w:color="000000"/>
            </w:tcBorders>
            <w:shd w:fill="BFBFBF"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附记</w:t>
            </w:r>
          </w:p>
        </w:tc>
        <w:tc>
          <w:tcPr>
            <w:tcW w:w="6425"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存在禁止或限制转让抵押不动产的约定 担保范围依据抵押合同约定</w:t>
            </w:r>
          </w:p>
        </w:tc>
      </w:tr>
      <w:tr>
        <w:trPr>
          <w:trHeight w:val="216" w:hRule="atLeast"/>
        </w:trPr>
        <w:tc>
          <w:tcPr>
            <w:tcW w:w="1211" w:type="dxa"/>
            <w:vMerge w:val="restart"/>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查封状况</w:t>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查封文号</w:t>
            </w:r>
          </w:p>
        </w:tc>
        <w:tc>
          <w:tcPr>
            <w:tcW w:w="6425"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(2025)</w:t>
            </w:r>
            <w:r>
              <w:rPr>
                <w:rFonts w:ascii="宋体;SimSun" w:hAnsi="宋体;SimSun" w:eastAsia="宋体;SimSun"/>
                <w:color w:val="000000"/>
                <w:kern w:val="0"/>
                <w:sz w:val="18"/>
                <w:szCs w:val="18"/>
              </w:rPr>
              <w:t>浙</w:t>
            </w:r>
            <w:r>
              <w:rPr>
                <w:rFonts w:eastAsia="宋体;SimSun" w:ascii="宋体;SimSun" w:hAnsi="宋体;SimSun"/>
                <w:color w:val="000000"/>
                <w:kern w:val="0"/>
                <w:sz w:val="18"/>
                <w:szCs w:val="18"/>
              </w:rPr>
              <w:t>0102</w:t>
            </w:r>
            <w:r>
              <w:rPr>
                <w:rFonts w:ascii="宋体;SimSun" w:hAnsi="宋体;SimSun" w:eastAsia="宋体;SimSun"/>
                <w:color w:val="000000"/>
                <w:kern w:val="0"/>
                <w:sz w:val="18"/>
                <w:szCs w:val="18"/>
              </w:rPr>
              <w:t>执</w:t>
            </w:r>
            <w:r>
              <w:rPr>
                <w:rFonts w:eastAsia="宋体;SimSun" w:ascii="宋体;SimSun" w:hAnsi="宋体;SimSun"/>
                <w:color w:val="000000"/>
                <w:kern w:val="0"/>
                <w:sz w:val="18"/>
                <w:szCs w:val="18"/>
              </w:rPr>
              <w:t>9392</w:t>
            </w:r>
            <w:r>
              <w:rPr>
                <w:rFonts w:ascii="宋体;SimSun" w:hAnsi="宋体;SimSun" w:eastAsia="宋体;SimSun"/>
                <w:color w:val="000000"/>
                <w:kern w:val="0"/>
                <w:sz w:val="18"/>
                <w:szCs w:val="18"/>
              </w:rPr>
              <w:t>号</w:t>
            </w:r>
          </w:p>
        </w:tc>
      </w:tr>
      <w:tr>
        <w:trPr>
          <w:trHeight w:val="216" w:hRule="atLeast"/>
        </w:trPr>
        <w:tc>
          <w:tcPr>
            <w:tcW w:w="1211" w:type="dxa"/>
            <w:vMerge w:val="continue"/>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查封期限</w:t>
            </w:r>
          </w:p>
        </w:tc>
        <w:tc>
          <w:tcPr>
            <w:tcW w:w="6425"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2025</w:t>
            </w:r>
            <w:r>
              <w:rPr>
                <w:rFonts w:ascii="宋体;SimSun" w:hAnsi="宋体;SimSun" w:eastAsia="宋体;SimSun"/>
                <w:color w:val="000000"/>
                <w:kern w:val="0"/>
                <w:sz w:val="18"/>
                <w:szCs w:val="18"/>
              </w:rPr>
              <w:t>年</w:t>
            </w:r>
            <w:r>
              <w:rPr>
                <w:rFonts w:eastAsia="宋体;SimSun" w:ascii="宋体;SimSun" w:hAnsi="宋体;SimSun"/>
                <w:color w:val="000000"/>
                <w:kern w:val="0"/>
                <w:sz w:val="18"/>
                <w:szCs w:val="18"/>
              </w:rPr>
              <w:t>08</w:t>
            </w:r>
            <w:r>
              <w:rPr>
                <w:rFonts w:ascii="宋体;SimSun" w:hAnsi="宋体;SimSun" w:eastAsia="宋体;SimSun"/>
                <w:color w:val="000000"/>
                <w:kern w:val="0"/>
                <w:sz w:val="18"/>
                <w:szCs w:val="18"/>
              </w:rPr>
              <w:t>月</w:t>
            </w:r>
            <w:r>
              <w:rPr>
                <w:rFonts w:eastAsia="宋体;SimSun" w:ascii="宋体;SimSun" w:hAnsi="宋体;SimSun"/>
                <w:color w:val="000000"/>
                <w:kern w:val="0"/>
                <w:sz w:val="18"/>
                <w:szCs w:val="18"/>
              </w:rPr>
              <w:t>18</w:t>
            </w:r>
            <w:r>
              <w:rPr>
                <w:rFonts w:ascii="宋体;SimSun" w:hAnsi="宋体;SimSun" w:eastAsia="宋体;SimSun"/>
                <w:color w:val="000000"/>
                <w:kern w:val="0"/>
                <w:sz w:val="18"/>
                <w:szCs w:val="18"/>
              </w:rPr>
              <w:t>日起</w:t>
            </w:r>
            <w:r>
              <w:rPr>
                <w:rFonts w:eastAsia="宋体;SimSun" w:ascii="宋体;SimSun" w:hAnsi="宋体;SimSun"/>
                <w:color w:val="000000"/>
                <w:kern w:val="0"/>
                <w:sz w:val="18"/>
                <w:szCs w:val="18"/>
              </w:rPr>
              <w:t>2028</w:t>
            </w:r>
            <w:r>
              <w:rPr>
                <w:rFonts w:ascii="宋体;SimSun" w:hAnsi="宋体;SimSun" w:eastAsia="宋体;SimSun"/>
                <w:color w:val="000000"/>
                <w:kern w:val="0"/>
                <w:sz w:val="18"/>
                <w:szCs w:val="18"/>
              </w:rPr>
              <w:t>年</w:t>
            </w:r>
            <w:r>
              <w:rPr>
                <w:rFonts w:eastAsia="宋体;SimSun" w:ascii="宋体;SimSun" w:hAnsi="宋体;SimSun"/>
                <w:color w:val="000000"/>
                <w:kern w:val="0"/>
                <w:sz w:val="18"/>
                <w:szCs w:val="18"/>
              </w:rPr>
              <w:t>08</w:t>
            </w:r>
            <w:r>
              <w:rPr>
                <w:rFonts w:ascii="宋体;SimSun" w:hAnsi="宋体;SimSun" w:eastAsia="宋体;SimSun"/>
                <w:color w:val="000000"/>
                <w:kern w:val="0"/>
                <w:sz w:val="18"/>
                <w:szCs w:val="18"/>
              </w:rPr>
              <w:t>月</w:t>
            </w:r>
            <w:r>
              <w:rPr>
                <w:rFonts w:eastAsia="宋体;SimSun" w:ascii="宋体;SimSun" w:hAnsi="宋体;SimSun"/>
                <w:color w:val="000000"/>
                <w:kern w:val="0"/>
                <w:sz w:val="18"/>
                <w:szCs w:val="18"/>
              </w:rPr>
              <w:t>17</w:t>
            </w:r>
            <w:r>
              <w:rPr>
                <w:rFonts w:ascii="宋体;SimSun" w:hAnsi="宋体;SimSun" w:eastAsia="宋体;SimSun"/>
                <w:color w:val="000000"/>
                <w:kern w:val="0"/>
                <w:sz w:val="18"/>
                <w:szCs w:val="18"/>
              </w:rPr>
              <w:t>日止</w:t>
            </w:r>
          </w:p>
        </w:tc>
      </w:tr>
      <w:tr>
        <w:trPr>
          <w:trHeight w:val="216" w:hRule="atLeast"/>
        </w:trPr>
        <w:tc>
          <w:tcPr>
            <w:tcW w:w="1211" w:type="dxa"/>
            <w:vMerge w:val="continue"/>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查封机关</w:t>
            </w:r>
          </w:p>
        </w:tc>
        <w:tc>
          <w:tcPr>
            <w:tcW w:w="6425"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{{委托人}}</w:t>
            </w:r>
          </w:p>
        </w:tc>
      </w:tr>
      <w:tr>
        <w:trPr>
          <w:trHeight w:val="204" w:hRule="atLeast"/>
        </w:trPr>
        <w:tc>
          <w:tcPr>
            <w:tcW w:w="1211"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居住权状况</w:t>
            </w:r>
          </w:p>
        </w:tc>
        <w:tc>
          <w:tcPr>
            <w:tcW w:w="7544"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无</w:t>
            </w:r>
          </w:p>
        </w:tc>
      </w:tr>
      <w:tr>
        <w:trPr>
          <w:trHeight w:val="216" w:hRule="atLeast"/>
        </w:trPr>
        <w:tc>
          <w:tcPr>
            <w:tcW w:w="1211"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地役权状况</w:t>
            </w:r>
          </w:p>
        </w:tc>
        <w:tc>
          <w:tcPr>
            <w:tcW w:w="7544"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无</w:t>
            </w:r>
          </w:p>
        </w:tc>
      </w:tr>
      <w:tr>
        <w:trPr>
          <w:trHeight w:val="216" w:hRule="atLeast"/>
        </w:trPr>
        <w:tc>
          <w:tcPr>
            <w:tcW w:w="1211"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异议状况</w:t>
            </w:r>
          </w:p>
        </w:tc>
        <w:tc>
          <w:tcPr>
            <w:tcW w:w="7544"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无</w:t>
            </w:r>
          </w:p>
        </w:tc>
      </w:tr>
    </w:tbl>
    <w:p>
      <w:pPr>
        <w:pStyle w:val="Normal"/>
        <w:autoSpaceDE w:val="false"/>
        <w:snapToGrid w:val="false"/>
        <w:spacing w:lineRule="auto" w:line="360"/>
        <w:ind w:firstLine="560" w:end="0"/>
        <w:jc w:val="start"/>
        <w:textAlignment w:val="bottom"/>
        <w:rPr/>
      </w:pPr>
      <w:r>
        <w:rPr/>
        <w:t>4、土地实物状况</w:t>
      </w:r>
    </w:p>
    <w:p>
      <w:pPr>
        <w:pStyle w:val="Normal"/>
        <w:autoSpaceDE w:val="false"/>
        <w:snapToGrid w:val="false"/>
        <w:spacing w:lineRule="auto" w:line="360"/>
        <w:ind w:firstLine="560" w:end="0"/>
        <w:jc w:val="start"/>
        <w:textAlignment w:val="bottom"/>
        <w:rPr/>
      </w:pPr>
      <w:r>
        <w:rPr/>
        <w:t>宗地坐落于{{房产地址}}，土地使用权面积为{{土地面积}}平方米，估价对象所处宗地四至清晰。所在宗地平面形状为规则多边形，地块地势平坦，宗地基础设施完善，达到“六通一平”，地质条件较好，地基承载力较好，土壤状况较好，无不利规划限制条件，利用状况较好。</w:t>
      </w:r>
    </w:p>
    <w:p>
      <w:pPr>
        <w:pStyle w:val="Normal"/>
        <w:autoSpaceDE w:val="false"/>
        <w:snapToGrid w:val="false"/>
        <w:spacing w:lineRule="auto" w:line="360"/>
        <w:ind w:firstLine="560" w:end="0"/>
        <w:jc w:val="start"/>
        <w:textAlignment w:val="bottom"/>
        <w:rPr/>
      </w:pPr>
      <w:r>
        <w:rPr/>
        <w:t>5、建筑物实物状况</w:t>
      </w:r>
    </w:p>
    <w:p>
      <w:pPr>
        <w:pStyle w:val="Normal"/>
        <w:autoSpaceDE w:val="false"/>
        <w:snapToGrid w:val="false"/>
        <w:spacing w:lineRule="auto" w:line="360"/>
        <w:ind w:firstLine="560" w:end="0"/>
        <w:jc w:val="start"/>
        <w:textAlignment w:val="bottom"/>
        <w:rPr/>
      </w:pPr>
      <w:r>
        <w:rPr/>
        <w:t>估价对象所在房屋为钢筋混凝土结构，建成于{{建成年份}},总层数共{{总层数}}层，南北朝向，所在单元平面布局为每层3户，所在单元配有2部客梯，外墙饰涂料。估价对象所在层数为地上第{{所在楼层}}层中间套，总建筑面积为{{建筑面积}}平方米，通风采光较好，内部格局：{{户型}}厨2卫2阳台，其中2室2阳台朝南，2卫1厨居中，1室1厅朝北；内部装修：客厅地面铺地板，墙面饰乳胶漆，顶棚饰乳胶漆；卧室地面铺木地板，墙面饰乳胶漆，顶棚饰乳胶漆；厨房地面铺地砖、墙面贴面砖、顶棚为扣板吊顶，配有下橱柜、不锈钢水槽、油烟机、燃气灶等厨房设施；卫生间地面铺地砖、墙面贴面砖、顶棚为扣板吊顶，配有坐便器、台盆柜等卫浴设施；阳台地面铺地砖、墙面饰涂料、顶棚饰涂料；入户门为防盗门、室内门为木门，窗为铝合金窗，水电卫等配套设施齐全。</w:t>
      </w:r>
    </w:p>
    <w:p>
      <w:pPr>
        <w:pStyle w:val="Normal"/>
        <w:autoSpaceDE w:val="false"/>
        <w:snapToGrid w:val="false"/>
        <w:spacing w:lineRule="auto" w:line="360"/>
        <w:ind w:firstLine="560" w:end="0"/>
        <w:jc w:val="start"/>
        <w:textAlignment w:val="bottom"/>
        <w:rPr/>
      </w:pPr>
      <w:r>
        <w:rPr/>
        <w:t>估价对象规划及现状用途为住宅用途，查勘时为空置。</w:t>
      </w:r>
    </w:p>
    <w:p>
      <w:pPr>
        <w:pStyle w:val="Heading2"/>
        <w:keepNext w:val="true"/>
        <w:keepLines/>
        <w:spacing w:before="156" w:after="156"/>
        <w:ind w:hanging="0" w:start="0"/>
        <w:jc w:val="both"/>
        <w:rPr>
          <w:rFonts w:ascii="仿宋_GB2312" w:hAnsi="仿宋_GB2312" w:eastAsia="仿宋_GB2312" w:cs="宋体;SimSun"/>
          <w:kern w:val="2"/>
          <w:sz w:val="28"/>
        </w:rPr>
      </w:pPr>
      <w:bookmarkStart w:id="9" w:name="__RefHeading___Toc208393256"/>
      <w:bookmarkEnd w:id="9"/>
      <w:r>
        <w:rPr>
          <w:rFonts w:ascii="仿宋_GB2312" w:hAnsi="仿宋_GB2312" w:cs="宋体;SimSun" w:eastAsia="仿宋_GB2312"/>
          <w:kern w:val="2"/>
          <w:sz w:val="28"/>
        </w:rPr>
        <w:t>五、价值时点</w:t>
      </w:r>
    </w:p>
    <w:p>
      <w:pPr>
        <w:pStyle w:val="Normal"/>
        <w:autoSpaceDE w:val="false"/>
        <w:snapToGrid w:val="false"/>
        <w:spacing w:lineRule="auto" w:line="360"/>
        <w:ind w:firstLine="560" w:end="0"/>
        <w:textAlignment w:val="bottom"/>
        <w:rPr/>
      </w:pPr>
      <w:r>
        <w:rPr/>
        <w:t>估价人员于{{价值时点}}对估价对象进行了实地查勘，结合本次估价目的，确定该实地查勘之日为本次估价的价值时点。</w:t>
      </w:r>
    </w:p>
    <w:p>
      <w:pPr>
        <w:pStyle w:val="Heading2"/>
        <w:keepNext w:val="true"/>
        <w:keepLines/>
        <w:spacing w:before="156" w:after="156"/>
        <w:ind w:hanging="0" w:start="0"/>
        <w:jc w:val="both"/>
        <w:rPr>
          <w:rFonts w:ascii="仿宋_GB2312" w:hAnsi="仿宋_GB2312" w:eastAsia="仿宋_GB2312" w:cs="宋体;SimSun"/>
          <w:kern w:val="2"/>
          <w:sz w:val="28"/>
        </w:rPr>
      </w:pPr>
      <w:bookmarkStart w:id="10" w:name="__RefHeading___Toc208393257"/>
      <w:bookmarkEnd w:id="10"/>
      <w:r>
        <w:rPr>
          <w:rFonts w:ascii="仿宋_GB2312" w:hAnsi="仿宋_GB2312" w:cs="宋体;SimSun" w:eastAsia="仿宋_GB2312"/>
          <w:kern w:val="2"/>
          <w:sz w:val="28"/>
        </w:rPr>
        <w:t>六、价值类型</w:t>
      </w:r>
    </w:p>
    <w:p>
      <w:pPr>
        <w:pStyle w:val="Normal"/>
        <w:autoSpaceDE w:val="false"/>
        <w:snapToGrid w:val="false"/>
        <w:spacing w:lineRule="auto" w:line="360"/>
        <w:ind w:firstLine="560" w:end="0"/>
        <w:textAlignment w:val="bottom"/>
        <w:rPr/>
      </w:pPr>
      <w:r>
        <w:rPr/>
        <w:t>估价结果中的市场价格为估价对象在价值时点的市场价格，是指估价对象在价值时点的现实市场上的平均交易价格。</w:t>
      </w:r>
    </w:p>
    <w:p>
      <w:pPr>
        <w:pStyle w:val="Heading2"/>
        <w:keepNext w:val="true"/>
        <w:keepLines/>
        <w:spacing w:before="156" w:after="156"/>
        <w:ind w:hanging="0" w:start="0"/>
        <w:jc w:val="both"/>
        <w:rPr>
          <w:rFonts w:ascii="仿宋_GB2312" w:hAnsi="仿宋_GB2312" w:eastAsia="仿宋_GB2312" w:cs="宋体;SimSun"/>
          <w:kern w:val="2"/>
          <w:sz w:val="28"/>
        </w:rPr>
      </w:pPr>
      <w:bookmarkStart w:id="11" w:name="__RefHeading___Toc208393258"/>
      <w:bookmarkEnd w:id="11"/>
      <w:r>
        <w:rPr>
          <w:rFonts w:ascii="仿宋_GB2312" w:hAnsi="仿宋_GB2312" w:cs="宋体;SimSun" w:eastAsia="仿宋_GB2312"/>
          <w:kern w:val="2"/>
          <w:sz w:val="28"/>
        </w:rPr>
        <w:t>七、估价依据</w:t>
      </w:r>
    </w:p>
    <w:p>
      <w:pPr>
        <w:pStyle w:val="Normal"/>
        <w:autoSpaceDE w:val="false"/>
        <w:snapToGrid w:val="false"/>
        <w:spacing w:lineRule="auto" w:line="360"/>
        <w:ind w:firstLine="560" w:end="0"/>
        <w:textAlignment w:val="bottom"/>
        <w:rPr/>
      </w:pPr>
      <w:r>
        <w:rPr/>
        <w:t>1、《中华人民共和国民法典》（2020年5月28日第十三届全国人民代表大会第三次会议通过，自2021年1月1日起施行）；</w:t>
      </w:r>
    </w:p>
    <w:p>
      <w:pPr>
        <w:pStyle w:val="Normal"/>
        <w:autoSpaceDE w:val="false"/>
        <w:snapToGrid w:val="false"/>
        <w:spacing w:lineRule="auto" w:line="360"/>
        <w:ind w:firstLine="560" w:end="0"/>
        <w:textAlignment w:val="bottom"/>
        <w:rPr/>
      </w:pPr>
      <w:r>
        <w:rPr/>
        <w:t>2、《中华人民共和国城市房地产管理法》（2019年8月26日第十三届全国人民代表大会常务委员会第十二次会议《关于修改&lt;中华人民共和国土地管理法&gt;、&lt;中华人民共和国城市房地产管理法&gt;的决定》第三次修正，自2020年1月1日起施行）；</w:t>
      </w:r>
    </w:p>
    <w:p>
      <w:pPr>
        <w:pStyle w:val="Normal"/>
        <w:autoSpaceDE w:val="false"/>
        <w:snapToGrid w:val="false"/>
        <w:spacing w:lineRule="auto" w:line="360"/>
        <w:ind w:firstLine="560" w:end="0"/>
        <w:textAlignment w:val="bottom"/>
        <w:rPr/>
      </w:pPr>
      <w:r>
        <w:rPr/>
        <w:t>3、《中华人民共和国土地管理法》（2019年8月26日第十三届全国人民代表大会常务委员会第十二次会议《关于修改&lt;中华人民共和国土地管理法&gt;、&lt;中华人民共和国城市房地产管理法&gt;的决定》第三次修正，自2020年1月1日起施行）；</w:t>
      </w:r>
    </w:p>
    <w:p>
      <w:pPr>
        <w:pStyle w:val="Normal"/>
        <w:autoSpaceDE w:val="false"/>
        <w:snapToGrid w:val="false"/>
        <w:spacing w:lineRule="auto" w:line="360"/>
        <w:ind w:firstLine="560" w:end="0"/>
        <w:textAlignment w:val="bottom"/>
        <w:rPr/>
      </w:pPr>
      <w:r>
        <w:rPr/>
        <w:t>4、《中华人民共和国资产评估法》（2016年7月2日第十二届全国人民代表大会常务委员会第二十一次会议通过，自2016年12月1日起施行）；</w:t>
      </w:r>
    </w:p>
    <w:p>
      <w:pPr>
        <w:pStyle w:val="Normal"/>
        <w:autoSpaceDE w:val="false"/>
        <w:snapToGrid w:val="false"/>
        <w:spacing w:lineRule="auto" w:line="360"/>
        <w:ind w:firstLine="560" w:end="0"/>
        <w:textAlignment w:val="bottom"/>
        <w:rPr/>
      </w:pPr>
      <w:r>
        <w:rPr/>
        <w:t>5、《司法鉴定程序通则》（中华人民共和国司法部令第132号，自2016年5月1日起施行）；</w:t>
      </w:r>
    </w:p>
    <w:p>
      <w:pPr>
        <w:pStyle w:val="Normal"/>
        <w:autoSpaceDE w:val="false"/>
        <w:snapToGrid w:val="false"/>
        <w:spacing w:lineRule="auto" w:line="360"/>
        <w:ind w:firstLine="560" w:end="0"/>
        <w:textAlignment w:val="bottom"/>
        <w:rPr/>
      </w:pPr>
      <w:r>
        <w:rPr/>
        <w:t>6、《关于印发&lt;人民法院委托评估工作规范&gt;的通知》（法办〔2018〕273号，2018年12月10日起施行）；</w:t>
      </w:r>
    </w:p>
    <w:p>
      <w:pPr>
        <w:pStyle w:val="Normal"/>
        <w:autoSpaceDE w:val="false"/>
        <w:snapToGrid w:val="false"/>
        <w:spacing w:lineRule="auto" w:line="360"/>
        <w:ind w:firstLine="560" w:end="0"/>
        <w:textAlignment w:val="bottom"/>
        <w:rPr/>
      </w:pPr>
      <w:r>
        <w:rPr/>
        <w:t>7、《最高人民法院关于人民法院确定财产处置参考价若干问题的规定》（法释〔2018〕15号，自2018年9月1日起施行）；</w:t>
      </w:r>
    </w:p>
    <w:p>
      <w:pPr>
        <w:pStyle w:val="Normal"/>
        <w:autoSpaceDE w:val="false"/>
        <w:snapToGrid w:val="false"/>
        <w:spacing w:lineRule="auto" w:line="360"/>
        <w:ind w:firstLine="560" w:end="0"/>
        <w:textAlignment w:val="bottom"/>
        <w:rPr/>
      </w:pPr>
      <w:r>
        <w:rPr/>
        <w:t>8、《关于印发&lt;浙江省高级人民法院执行局关于规范不动产网络司法拍卖、变卖工作指引&gt;的通知》（浙高法执〔2020〕6号，2020年2月21日起施行）；</w:t>
      </w:r>
    </w:p>
    <w:p>
      <w:pPr>
        <w:pStyle w:val="Normal"/>
        <w:autoSpaceDE w:val="false"/>
        <w:snapToGrid w:val="false"/>
        <w:spacing w:lineRule="auto" w:line="360"/>
        <w:ind w:firstLine="560" w:end="0"/>
        <w:textAlignment w:val="bottom"/>
        <w:rPr/>
      </w:pPr>
      <w:r>
        <w:rPr/>
        <w:t>9、《房地产估价规范》（GB/T50291-2015，自2015年12月1日起施行）；</w:t>
      </w:r>
    </w:p>
    <w:p>
      <w:pPr>
        <w:pStyle w:val="Normal"/>
        <w:autoSpaceDE w:val="false"/>
        <w:snapToGrid w:val="false"/>
        <w:spacing w:lineRule="auto" w:line="360"/>
        <w:ind w:firstLine="560" w:end="0"/>
        <w:textAlignment w:val="bottom"/>
        <w:rPr/>
      </w:pPr>
      <w:r>
        <w:rPr/>
        <w:t>10、《房地产估价基本术语标准》（GB/T50899-2013，自2014年2月1日起施行）；</w:t>
      </w:r>
    </w:p>
    <w:p>
      <w:pPr>
        <w:pStyle w:val="Normal"/>
        <w:autoSpaceDE w:val="false"/>
        <w:snapToGrid w:val="false"/>
        <w:spacing w:lineRule="auto" w:line="360"/>
        <w:ind w:firstLine="560" w:end="0"/>
        <w:textAlignment w:val="bottom"/>
        <w:rPr/>
      </w:pPr>
      <w:r>
        <w:rPr/>
        <w:t>11、《关于印发&lt;涉执房地产处置司法评估指导意见（试行）&gt;的通知》（中房学〔2021〕37号，2021年9月1日起施行）；</w:t>
      </w:r>
    </w:p>
    <w:p>
      <w:pPr>
        <w:pStyle w:val="Normal"/>
        <w:autoSpaceDE w:val="false"/>
        <w:snapToGrid w:val="false"/>
        <w:spacing w:lineRule="auto" w:line="360"/>
        <w:ind w:firstLine="560" w:end="0"/>
        <w:textAlignment w:val="bottom"/>
        <w:rPr/>
      </w:pPr>
      <w:r>
        <w:rPr/>
        <w:t>12、《关于印发&lt;浙江省房地产司法估价技术指引(试行)&gt;的通知》（浙估协〔2020〕22号，自2020年6月30日起试行）；</w:t>
      </w:r>
    </w:p>
    <w:p>
      <w:pPr>
        <w:pStyle w:val="Normal"/>
        <w:autoSpaceDE w:val="false"/>
        <w:snapToGrid w:val="false"/>
        <w:spacing w:lineRule="auto" w:line="360"/>
        <w:ind w:firstLine="560" w:end="0"/>
        <w:textAlignment w:val="bottom"/>
        <w:rPr/>
      </w:pPr>
      <w:r>
        <w:rPr/>
        <w:t>13、《关于修订&lt;浙江省房地产司法评估指导意见(试行)&gt;的通知》（浙估协〔2021〕3号，自2021年2月4日起施行）；</w:t>
      </w:r>
    </w:p>
    <w:p>
      <w:pPr>
        <w:pStyle w:val="Normal"/>
        <w:autoSpaceDE w:val="false"/>
        <w:snapToGrid w:val="false"/>
        <w:spacing w:lineRule="auto" w:line="360"/>
        <w:ind w:firstLine="560" w:end="0"/>
        <w:textAlignment w:val="bottom"/>
        <w:rPr/>
      </w:pPr>
      <w:r>
        <w:rPr/>
        <w:t>14、估价委托人提供的《杭州市不动产登记信息查询记录》及其它相关的复印件资料</w:t>
      </w:r>
    </w:p>
    <w:p>
      <w:pPr>
        <w:pStyle w:val="Normal"/>
        <w:autoSpaceDE w:val="false"/>
        <w:snapToGrid w:val="false"/>
        <w:spacing w:lineRule="auto" w:line="360"/>
        <w:ind w:firstLine="560" w:end="0"/>
        <w:textAlignment w:val="bottom"/>
        <w:rPr/>
      </w:pPr>
      <w:r>
        <w:rPr/>
        <w:t>15、</w:t>
      </w:r>
      <w:r>
        <w:rPr>
          <w:szCs w:val="20"/>
        </w:rPr>
        <w:t>{{委托书文号}}《{{委托人}}资产评估委托书》</w:t>
      </w:r>
    </w:p>
    <w:p>
      <w:pPr>
        <w:pStyle w:val="Normal"/>
        <w:autoSpaceDE w:val="false"/>
        <w:snapToGrid w:val="false"/>
        <w:spacing w:lineRule="auto" w:line="360"/>
        <w:ind w:firstLine="560" w:end="0"/>
        <w:textAlignment w:val="bottom"/>
        <w:rPr/>
      </w:pPr>
      <w:r>
        <w:rPr/>
        <w:t>16、本公司估价人员实地查勘、掌握和收集的各种数据</w:t>
      </w:r>
    </w:p>
    <w:p>
      <w:pPr>
        <w:pStyle w:val="Heading2"/>
        <w:keepNext w:val="true"/>
        <w:keepLines/>
        <w:spacing w:before="156" w:after="156"/>
        <w:ind w:hanging="0" w:start="0"/>
        <w:jc w:val="both"/>
        <w:rPr>
          <w:rFonts w:ascii="仿宋_GB2312" w:hAnsi="仿宋_GB2312" w:eastAsia="仿宋_GB2312" w:cs="宋体;SimSun"/>
          <w:kern w:val="2"/>
          <w:sz w:val="28"/>
        </w:rPr>
      </w:pPr>
      <w:bookmarkStart w:id="12" w:name="__RefHeading___Toc208393259"/>
      <w:bookmarkEnd w:id="12"/>
      <w:r>
        <w:rPr>
          <w:rFonts w:ascii="仿宋_GB2312" w:hAnsi="仿宋_GB2312" w:cs="宋体;SimSun" w:eastAsia="仿宋_GB2312"/>
          <w:kern w:val="2"/>
          <w:sz w:val="28"/>
        </w:rPr>
        <w:t>八、估价原则</w:t>
      </w:r>
    </w:p>
    <w:p>
      <w:pPr>
        <w:pStyle w:val="Normal"/>
        <w:autoSpaceDE w:val="false"/>
        <w:snapToGrid w:val="false"/>
        <w:spacing w:lineRule="auto" w:line="360"/>
        <w:ind w:firstLine="560" w:end="0"/>
        <w:textAlignment w:val="bottom"/>
        <w:rPr/>
      </w:pPr>
      <w:r>
        <w:rPr/>
        <w:t>本次估价遵循独立、客观、公正原则，合法原则，价值时点原则，替代原则，最高最佳利用原则等估价原则。</w:t>
      </w:r>
    </w:p>
    <w:p>
      <w:pPr>
        <w:pStyle w:val="Normal"/>
        <w:autoSpaceDE w:val="false"/>
        <w:snapToGrid w:val="false"/>
        <w:spacing w:lineRule="auto" w:line="360"/>
        <w:ind w:firstLine="560" w:end="0"/>
        <w:textAlignment w:val="bottom"/>
        <w:rPr/>
      </w:pPr>
      <w:r>
        <w:rPr/>
        <w:t>独立、客观、公正原则：要求站在中立的立场上，实事求是、公平正直地评估出对各方估价利害关系人均是公平合理的价值或价格的原则。</w:t>
      </w:r>
    </w:p>
    <w:p>
      <w:pPr>
        <w:pStyle w:val="Normal"/>
        <w:autoSpaceDE w:val="false"/>
        <w:snapToGrid w:val="false"/>
        <w:spacing w:lineRule="auto" w:line="360"/>
        <w:ind w:firstLine="560" w:end="0"/>
        <w:textAlignment w:val="bottom"/>
        <w:rPr/>
      </w:pPr>
      <w:r>
        <w:rPr/>
        <w:t>合法原则：要求估价结果是在依法判定的估价对象状况下的价值或价格的原则。</w:t>
      </w:r>
    </w:p>
    <w:p>
      <w:pPr>
        <w:pStyle w:val="Normal"/>
        <w:autoSpaceDE w:val="false"/>
        <w:snapToGrid w:val="false"/>
        <w:spacing w:lineRule="auto" w:line="360"/>
        <w:ind w:firstLine="560" w:end="0"/>
        <w:textAlignment w:val="bottom"/>
        <w:rPr/>
      </w:pPr>
      <w:r>
        <w:rPr/>
        <w:t>价值时点原则：要求估价结果是在根据估价目的确定的某一特定时间的价值或价格的原则。</w:t>
      </w:r>
    </w:p>
    <w:p>
      <w:pPr>
        <w:pStyle w:val="Normal"/>
        <w:autoSpaceDE w:val="false"/>
        <w:snapToGrid w:val="false"/>
        <w:spacing w:lineRule="auto" w:line="360"/>
        <w:ind w:firstLine="560" w:end="0"/>
        <w:textAlignment w:val="bottom"/>
        <w:rPr/>
      </w:pPr>
      <w:r>
        <w:rPr/>
        <w:t>替代原则：要求估价结果与估价对象的类似房地产在同等条件下的价值或价格偏差在合理范围内的原则。</w:t>
      </w:r>
    </w:p>
    <w:p>
      <w:pPr>
        <w:pStyle w:val="Normal"/>
        <w:autoSpaceDE w:val="false"/>
        <w:snapToGrid w:val="false"/>
        <w:spacing w:lineRule="auto" w:line="360"/>
        <w:ind w:firstLine="560" w:end="0"/>
        <w:textAlignment w:val="bottom"/>
        <w:rPr/>
      </w:pPr>
      <w:r>
        <w:rPr/>
        <w:t>最高最佳利用原则：要求估价结果是在估价对象最高最佳利用状况下的价值或价格的原则。最高最佳利用为房地产在法律上允许，技术上可能、财务上可行并使价值最大的合理、可能的利用，包括最佳的用途、规模和档次等。</w:t>
      </w:r>
    </w:p>
    <w:p>
      <w:pPr>
        <w:pStyle w:val="Heading2"/>
        <w:keepNext w:val="true"/>
        <w:keepLines/>
        <w:spacing w:before="156" w:after="156"/>
        <w:ind w:hanging="0" w:start="0"/>
        <w:jc w:val="both"/>
        <w:rPr>
          <w:rFonts w:ascii="仿宋_GB2312" w:hAnsi="仿宋_GB2312" w:eastAsia="仿宋_GB2312" w:cs="宋体;SimSun"/>
          <w:kern w:val="2"/>
          <w:sz w:val="28"/>
        </w:rPr>
      </w:pPr>
      <w:bookmarkStart w:id="13" w:name="__RefHeading___Toc208393260"/>
      <w:r>
        <w:rPr>
          <w:rFonts w:ascii="仿宋_GB2312" w:hAnsi="仿宋_GB2312" w:cs="宋体;SimSun" w:eastAsia="仿宋_GB2312"/>
          <w:kern w:val="2"/>
          <w:sz w:val="28"/>
        </w:rPr>
        <w:t>九、估价方法</w:t>
      </w:r>
      <w:bookmarkEnd w:id="13"/>
      <w:r>
        <w:rPr>
          <w:rFonts w:ascii="仿宋_GB2312" w:hAnsi="仿宋_GB2312" w:cs="宋体;SimSun" w:eastAsia="仿宋_GB2312"/>
          <w:kern w:val="2"/>
          <w:sz w:val="28"/>
        </w:rPr>
        <w:t xml:space="preserve"> </w:t>
      </w:r>
    </w:p>
    <w:p>
      <w:pPr>
        <w:pStyle w:val="Normal"/>
        <w:autoSpaceDE w:val="false"/>
        <w:snapToGrid w:val="false"/>
        <w:spacing w:lineRule="auto" w:line="360"/>
        <w:ind w:firstLine="560" w:end="0"/>
        <w:textAlignment w:val="bottom"/>
        <w:rPr/>
      </w:pPr>
      <w:r>
        <w:rPr/>
        <w:t>估价人员在认真分析所掌握的资料并进行实地查勘之后，综合考虑估价目的、价值类型、估价对象特点、市场状况等因素，选取比较法和收益法作为本次估价的基本方法。</w:t>
      </w:r>
    </w:p>
    <w:p>
      <w:pPr>
        <w:pStyle w:val="Normal"/>
        <w:autoSpaceDE w:val="false"/>
        <w:snapToGrid w:val="false"/>
        <w:spacing w:lineRule="auto" w:line="360"/>
        <w:ind w:firstLine="560" w:end="0"/>
        <w:textAlignment w:val="bottom"/>
        <w:rPr/>
      </w:pPr>
      <w:r>
        <w:rPr/>
        <w:t>比较法是选取一定数量的可比实例，将它们与估价对象进行比较，根据其间的差异对可比实例成交价格进行处理后得到估价对象价值或价格的方法。</w:t>
      </w:r>
    </w:p>
    <w:p>
      <w:pPr>
        <w:pStyle w:val="Normal"/>
        <w:autoSpaceDE w:val="false"/>
        <w:snapToGrid w:val="false"/>
        <w:spacing w:lineRule="auto" w:line="360"/>
        <w:ind w:firstLine="560" w:end="0"/>
        <w:textAlignment w:val="bottom"/>
        <w:rPr/>
      </w:pPr>
      <w:r>
        <w:rPr/>
        <w:t>收益法是预测估价对象的未来收益，利用报酬率或资本化率、收益乘数将未来收益转换为价值得到估价对象价值或价格的方法。</w:t>
      </w:r>
    </w:p>
    <w:p>
      <w:pPr>
        <w:pStyle w:val="Heading2"/>
        <w:keepNext w:val="true"/>
        <w:keepLines/>
        <w:spacing w:before="156" w:after="156"/>
        <w:ind w:hanging="0" w:start="0"/>
        <w:jc w:val="both"/>
        <w:rPr>
          <w:rFonts w:ascii="仿宋_GB2312" w:hAnsi="仿宋_GB2312" w:eastAsia="仿宋_GB2312" w:cs="宋体;SimSun"/>
          <w:kern w:val="2"/>
          <w:sz w:val="28"/>
        </w:rPr>
      </w:pPr>
      <w:bookmarkStart w:id="14" w:name="__RefHeading___Toc208393261"/>
      <w:bookmarkEnd w:id="14"/>
      <w:r>
        <w:rPr>
          <w:rFonts w:ascii="仿宋_GB2312" w:hAnsi="仿宋_GB2312" w:cs="宋体;SimSun" w:eastAsia="仿宋_GB2312"/>
          <w:kern w:val="2"/>
          <w:sz w:val="28"/>
        </w:rPr>
        <w:t>十、估价结果</w:t>
      </w:r>
    </w:p>
    <w:p>
      <w:pPr>
        <w:pStyle w:val="Normal"/>
        <w:autoSpaceDE w:val="false"/>
        <w:snapToGrid w:val="false"/>
        <w:spacing w:lineRule="auto" w:line="360"/>
        <w:ind w:firstLine="560" w:end="0"/>
        <w:textAlignment w:val="bottom"/>
        <w:rPr>
          <w:szCs w:val="28"/>
        </w:rPr>
      </w:pPr>
      <w:r>
        <w:rPr/>
        <w:t>根据估价人员综合评估，确定估价对象房</w:t>
      </w:r>
      <w:r>
        <w:rPr>
          <w:rStyle w:val="s2"/>
        </w:rPr>
        <w:t>地产</w:t>
      </w:r>
      <w:r>
        <w:rPr/>
        <w:t>在价值时点（</w:t>
      </w:r>
      <w:r>
        <w:rPr>
          <w:rStyle w:val="r5"/>
        </w:rPr>
        <w:t>{{价值时点}}</w:t>
      </w:r>
      <w:r>
        <w:rPr/>
        <w:t>）的市场价格为</w:t>
      </w:r>
      <w:r>
        <w:rPr>
          <w:b/>
        </w:rPr>
        <w:t>人民币{{评估总价}}（含室内固定装修价值），大写为{{评估总价大写}}；单价为{{评估单价}}，大写为每平方米{{评估单价大写}}</w:t>
      </w:r>
      <w:r>
        <w:rPr>
          <w:szCs w:val="28"/>
        </w:rPr>
        <w:t>。</w:t>
      </w:r>
      <w:r>
        <w:br w:type="page"/>
      </w:r>
    </w:p>
    <w:p>
      <w:pPr>
        <w:pStyle w:val="Normal"/>
        <w:autoSpaceDE w:val="false"/>
        <w:snapToGrid w:val="false"/>
        <w:spacing w:lineRule="auto" w:line="360"/>
        <w:ind w:firstLine="560" w:end="0"/>
        <w:textAlignment w:val="bottom"/>
        <w:rPr>
          <w:szCs w:val="28"/>
        </w:rPr>
      </w:pPr>
      <w:r>
        <w:rPr>
          <w:szCs w:val="28"/>
        </w:rPr>
        <w:t>（此页无正文）</w:t>
      </w:r>
    </w:p>
    <w:p>
      <w:pPr>
        <w:pStyle w:val="Heading2"/>
        <w:keepNext w:val="true"/>
        <w:keepLines/>
        <w:spacing w:before="156" w:after="156"/>
        <w:ind w:hanging="0" w:start="0"/>
        <w:jc w:val="both"/>
        <w:rPr/>
      </w:pPr>
      <w:bookmarkStart w:id="15" w:name="__RefHeading___Toc208393262"/>
      <w:bookmarkEnd w:id="15"/>
      <w:r>
        <w:rPr/>
        <w:t>十一、注册房地产估价师</w:t>
      </w:r>
    </w:p>
    <w:tbl>
      <w:tblPr>
        <w:tblW w:w="9315" w:type="dxa"/>
        <w:jc w:val="center"/>
        <w:tblInd w:w="0" w:type="dxa"/>
        <w:tblLayout w:type="fixed"/>
        <w:tblCellMar>
          <w:top w:w="0" w:type="dxa"/>
          <w:start w:w="108" w:type="dxa"/>
          <w:bottom w:w="0" w:type="dxa"/>
          <w:end w:w="108" w:type="dxa"/>
        </w:tblCellMar>
      </w:tblPr>
      <w:tblGrid>
        <w:gridCol w:w="1240"/>
        <w:gridCol w:w="1984"/>
        <w:gridCol w:w="3116"/>
        <w:gridCol w:w="2975"/>
      </w:tblGrid>
      <w:tr>
        <w:trPr>
          <w:trHeight w:val="567" w:hRule="atLeast"/>
        </w:trPr>
        <w:tc>
          <w:tcPr>
            <w:tcW w:w="1240" w:type="dxa"/>
            <w:tcBorders/>
          </w:tcPr>
          <w:p>
            <w:pPr>
              <w:pStyle w:val="Normal"/>
              <w:snapToGrid w:val="false"/>
              <w:spacing w:lineRule="exact" w:line="360"/>
              <w:jc w:val="center"/>
              <w:textAlignment w:val="bottom"/>
              <w:rPr/>
            </w:pPr>
            <w:r>
              <w:rPr/>
              <w:t>姓  名</w:t>
            </w:r>
          </w:p>
        </w:tc>
        <w:tc>
          <w:tcPr>
            <w:tcW w:w="1984" w:type="dxa"/>
            <w:tcBorders/>
          </w:tcPr>
          <w:p>
            <w:pPr>
              <w:pStyle w:val="Normal"/>
              <w:snapToGrid w:val="false"/>
              <w:spacing w:lineRule="exact" w:line="360"/>
              <w:jc w:val="center"/>
              <w:textAlignment w:val="bottom"/>
              <w:rPr/>
            </w:pPr>
            <w:r>
              <w:rPr/>
              <w:t>注 册 号</w:t>
            </w:r>
          </w:p>
        </w:tc>
        <w:tc>
          <w:tcPr>
            <w:tcW w:w="3116" w:type="dxa"/>
            <w:tcBorders/>
          </w:tcPr>
          <w:p>
            <w:pPr>
              <w:pStyle w:val="Normal"/>
              <w:snapToGrid w:val="false"/>
              <w:spacing w:lineRule="exact" w:line="360"/>
              <w:jc w:val="center"/>
              <w:textAlignment w:val="bottom"/>
              <w:rPr/>
            </w:pPr>
            <w:r>
              <w:rPr/>
              <w:t>签  名</w:t>
            </w:r>
          </w:p>
        </w:tc>
        <w:tc>
          <w:tcPr>
            <w:tcW w:w="2975" w:type="dxa"/>
            <w:tcBorders/>
          </w:tcPr>
          <w:p>
            <w:pPr>
              <w:pStyle w:val="Normal"/>
              <w:snapToGrid w:val="false"/>
              <w:spacing w:lineRule="exact" w:line="360"/>
              <w:jc w:val="center"/>
              <w:textAlignment w:val="bottom"/>
              <w:rPr/>
            </w:pPr>
            <w:r>
              <w:rPr/>
              <w:t>签名日期</w:t>
            </w:r>
          </w:p>
        </w:tc>
      </w:tr>
      <w:tr>
        <w:trPr>
          <w:trHeight w:val="1361" w:hRule="atLeast"/>
        </w:trPr>
        <w:tc>
          <w:tcPr>
            <w:tcW w:w="1240" w:type="dxa"/>
            <w:tcBorders/>
            <w:vAlign w:val="center"/>
          </w:tcPr>
          <w:p>
            <w:pPr>
              <w:pStyle w:val="Normal"/>
              <w:autoSpaceDE w:val="false"/>
              <w:snapToGrid w:val="false"/>
              <w:spacing w:lineRule="auto" w:line="360"/>
              <w:jc w:val="center"/>
              <w:textAlignment w:val="bottom"/>
              <w:rPr>
                <w:kern w:val="0"/>
              </w:rPr>
            </w:pPr>
            <w:r>
              <w:rPr>
                <w:kern w:val="0"/>
              </w:rPr>
              <w:t>马  成</w:t>
            </w:r>
          </w:p>
        </w:tc>
        <w:tc>
          <w:tcPr>
            <w:tcW w:w="1984" w:type="dxa"/>
            <w:tcBorders/>
            <w:vAlign w:val="center"/>
          </w:tcPr>
          <w:p>
            <w:pPr>
              <w:pStyle w:val="Normal"/>
              <w:autoSpaceDE w:val="false"/>
              <w:snapToGrid w:val="false"/>
              <w:spacing w:lineRule="auto" w:line="360"/>
              <w:jc w:val="center"/>
              <w:textAlignment w:val="bottom"/>
              <w:rPr>
                <w:kern w:val="0"/>
              </w:rPr>
            </w:pPr>
            <w:r>
              <w:rPr>
                <w:kern w:val="0"/>
              </w:rPr>
              <w:t>3320170019</w:t>
            </w:r>
          </w:p>
        </w:tc>
        <w:tc>
          <w:tcPr>
            <w:tcW w:w="3116" w:type="dxa"/>
            <w:tcBorders/>
            <w:vAlign w:val="center"/>
          </w:tcPr>
          <w:p>
            <w:pPr>
              <w:pStyle w:val="Normal"/>
              <w:autoSpaceDE w:val="false"/>
              <w:snapToGrid w:val="false"/>
              <w:spacing w:lineRule="auto" w:line="360"/>
              <w:jc w:val="center"/>
              <w:textAlignment w:val="bottom"/>
              <w:rPr/>
            </w:pPr>
            <w:r>
              <w:rPr/>
            </w:r>
          </w:p>
        </w:tc>
        <w:tc>
          <w:tcPr>
            <w:tcW w:w="2975" w:type="dxa"/>
            <w:tcBorders/>
            <w:vAlign w:val="center"/>
          </w:tcPr>
          <w:p>
            <w:pPr>
              <w:pStyle w:val="Normal"/>
              <w:autoSpaceDE w:val="false"/>
              <w:snapToGrid w:val="false"/>
              <w:spacing w:lineRule="auto" w:line="360"/>
              <w:jc w:val="center"/>
              <w:textAlignment w:val="bottom"/>
              <w:rPr/>
            </w:pPr>
            <w:r>
              <w:rPr/>
              <w:t>{{签名日期}}</w:t>
            </w:r>
          </w:p>
        </w:tc>
      </w:tr>
      <w:tr>
        <w:trPr>
          <w:trHeight w:val="1361" w:hRule="atLeast"/>
        </w:trPr>
        <w:tc>
          <w:tcPr>
            <w:tcW w:w="1240" w:type="dxa"/>
            <w:tcBorders/>
            <w:vAlign w:val="center"/>
          </w:tcPr>
          <w:p>
            <w:pPr>
              <w:pStyle w:val="Normal"/>
              <w:autoSpaceDE w:val="false"/>
              <w:snapToGrid w:val="false"/>
              <w:spacing w:lineRule="auto" w:line="360"/>
              <w:jc w:val="center"/>
              <w:textAlignment w:val="bottom"/>
              <w:rPr>
                <w:kern w:val="0"/>
              </w:rPr>
            </w:pPr>
            <w:r>
              <w:rPr>
                <w:kern w:val="0"/>
              </w:rPr>
              <w:t>荣竞平</w:t>
            </w:r>
          </w:p>
        </w:tc>
        <w:tc>
          <w:tcPr>
            <w:tcW w:w="1984" w:type="dxa"/>
            <w:tcBorders/>
            <w:vAlign w:val="center"/>
          </w:tcPr>
          <w:p>
            <w:pPr>
              <w:pStyle w:val="Normal"/>
              <w:autoSpaceDE w:val="false"/>
              <w:snapToGrid w:val="false"/>
              <w:spacing w:lineRule="auto" w:line="360"/>
              <w:jc w:val="center"/>
              <w:textAlignment w:val="bottom"/>
              <w:rPr>
                <w:kern w:val="0"/>
              </w:rPr>
            </w:pPr>
            <w:r>
              <w:rPr>
                <w:kern w:val="0"/>
              </w:rPr>
              <w:t>3320160045</w:t>
            </w:r>
          </w:p>
        </w:tc>
        <w:tc>
          <w:tcPr>
            <w:tcW w:w="3116" w:type="dxa"/>
            <w:tcBorders/>
            <w:vAlign w:val="center"/>
          </w:tcPr>
          <w:p>
            <w:pPr>
              <w:pStyle w:val="Normal"/>
              <w:autoSpaceDE w:val="false"/>
              <w:snapToGrid w:val="false"/>
              <w:spacing w:lineRule="auto" w:line="360"/>
              <w:jc w:val="center"/>
              <w:textAlignment w:val="bottom"/>
              <w:rPr/>
            </w:pPr>
            <w:r>
              <w:rPr/>
            </w:r>
          </w:p>
        </w:tc>
        <w:tc>
          <w:tcPr>
            <w:tcW w:w="2975" w:type="dxa"/>
            <w:tcBorders/>
            <w:vAlign w:val="center"/>
          </w:tcPr>
          <w:p>
            <w:pPr>
              <w:pStyle w:val="Normal"/>
              <w:autoSpaceDE w:val="false"/>
              <w:snapToGrid w:val="false"/>
              <w:spacing w:lineRule="auto" w:line="360"/>
              <w:jc w:val="center"/>
              <w:textAlignment w:val="bottom"/>
              <w:rPr/>
            </w:pPr>
            <w:r>
              <w:rPr/>
              <w:t>{{签名日期}}</w:t>
            </w:r>
          </w:p>
        </w:tc>
      </w:tr>
    </w:tbl>
    <w:p>
      <w:pPr>
        <w:pStyle w:val="Heading2"/>
        <w:keepNext w:val="true"/>
        <w:keepLines/>
        <w:spacing w:before="156" w:after="156"/>
        <w:ind w:hanging="0" w:start="0"/>
        <w:jc w:val="both"/>
        <w:rPr>
          <w:rFonts w:ascii="仿宋_GB2312" w:hAnsi="仿宋_GB2312" w:eastAsia="仿宋_GB2312" w:cs="宋体;SimSun"/>
          <w:kern w:val="2"/>
          <w:sz w:val="28"/>
        </w:rPr>
      </w:pPr>
      <w:bookmarkStart w:id="16" w:name="__RefHeading___Toc208393263"/>
      <w:bookmarkEnd w:id="16"/>
      <w:r>
        <w:rPr>
          <w:rFonts w:ascii="仿宋_GB2312" w:hAnsi="仿宋_GB2312" w:cs="宋体;SimSun" w:eastAsia="仿宋_GB2312"/>
          <w:kern w:val="2"/>
          <w:sz w:val="28"/>
        </w:rPr>
        <w:t>十二、实地查勘期</w:t>
      </w:r>
    </w:p>
    <w:p>
      <w:pPr>
        <w:pStyle w:val="Normal"/>
        <w:spacing w:lineRule="auto" w:line="360"/>
        <w:ind w:firstLine="549" w:end="0"/>
        <w:textAlignment w:val="bottom"/>
        <w:rPr/>
      </w:pPr>
      <w:r>
        <w:rPr>
          <w:rStyle w:val="r2"/>
        </w:rPr>
        <w:t>{{价值时点}}</w:t>
      </w:r>
    </w:p>
    <w:p>
      <w:pPr>
        <w:pStyle w:val="Heading2"/>
        <w:keepNext w:val="true"/>
        <w:keepLines/>
        <w:spacing w:before="156" w:after="156"/>
        <w:ind w:hanging="0" w:start="0"/>
        <w:jc w:val="both"/>
        <w:rPr>
          <w:rFonts w:ascii="仿宋_GB2312" w:hAnsi="仿宋_GB2312" w:eastAsia="仿宋_GB2312" w:cs="宋体;SimSun"/>
          <w:kern w:val="2"/>
          <w:sz w:val="28"/>
        </w:rPr>
      </w:pPr>
      <w:bookmarkStart w:id="17" w:name="__RefHeading___Toc208393264"/>
      <w:bookmarkEnd w:id="17"/>
      <w:r>
        <w:rPr>
          <w:rFonts w:ascii="仿宋_GB2312" w:hAnsi="仿宋_GB2312" w:cs="宋体;SimSun" w:eastAsia="仿宋_GB2312"/>
          <w:kern w:val="2"/>
          <w:sz w:val="28"/>
        </w:rPr>
        <w:t>十三、估价作业期</w:t>
      </w:r>
    </w:p>
    <w:p>
      <w:pPr>
        <w:sectPr>
          <w:headerReference w:type="default" r:id="rId22"/>
          <w:headerReference w:type="first" r:id="rId23"/>
          <w:footerReference w:type="default" r:id="rId24"/>
          <w:footerReference w:type="first" r:id="rId25"/>
          <w:type w:val="nextPage"/>
          <w:pgSz w:w="11906" w:h="16838"/>
          <w:pgMar w:left="1588" w:right="1134" w:gutter="340" w:header="851" w:top="1440" w:footer="992" w:bottom="1440"/>
          <w:pgNumType w:fmt="decimal"/>
          <w:formProt w:val="false"/>
          <w:titlePg/>
          <w:textDirection w:val="lrTb"/>
          <w:docGrid w:type="lines" w:linePitch="312" w:charSpace="0"/>
        </w:sectPr>
        <w:pStyle w:val="Normal"/>
        <w:spacing w:lineRule="auto" w:line="360"/>
        <w:ind w:firstLine="549" w:end="0"/>
        <w:textAlignment w:val="bottom"/>
        <w:rPr>
          <w:b/>
        </w:rPr>
      </w:pPr>
      <w:r>
        <w:rPr>
          <w:rStyle w:val="r2"/>
        </w:rPr>
        <w:t>{{价值时点}}</w:t>
      </w:r>
      <w:r>
        <w:rPr/>
        <w:t>至</w:t>
      </w:r>
      <w:r>
        <w:rPr>
          <w:rStyle w:val="r3"/>
        </w:rPr>
        <w:t>{{报告日期}}</w:t>
      </w:r>
    </w:p>
    <w:p>
      <w:pPr>
        <w:pStyle w:val="Heading1"/>
        <w:spacing w:lineRule="auto" w:line="360" w:before="156" w:after="156"/>
        <w:ind w:hanging="0" w:start="0"/>
        <w:jc w:val="center"/>
        <w:rPr>
          <w:rFonts w:eastAsia="仿宋_GB2312"/>
          <w:sz w:val="32"/>
          <w:szCs w:val="32"/>
        </w:rPr>
      </w:pPr>
      <w:bookmarkStart w:id="18" w:name="__RefHeading___Toc208393265"/>
      <w:bookmarkEnd w:id="18"/>
      <w:r>
        <w:rPr>
          <w:rFonts w:eastAsia="仿宋_GB2312"/>
          <w:sz w:val="32"/>
          <w:szCs w:val="32"/>
        </w:rPr>
        <w:t>第四部分</w:t>
      </w:r>
      <w:r>
        <w:rPr>
          <w:rFonts w:eastAsia="Times New Roman"/>
          <w:sz w:val="32"/>
          <w:szCs w:val="32"/>
        </w:rPr>
        <w:t xml:space="preserve">  </w:t>
      </w:r>
      <w:r>
        <w:rPr>
          <w:rFonts w:eastAsia="仿宋_GB2312"/>
          <w:sz w:val="32"/>
          <w:szCs w:val="32"/>
        </w:rPr>
        <w:t>房地产估价技术报告</w:t>
      </w:r>
    </w:p>
    <w:p>
      <w:pPr>
        <w:pStyle w:val="Heading2"/>
        <w:keepNext w:val="true"/>
        <w:keepLines/>
        <w:spacing w:before="156" w:after="156"/>
        <w:ind w:hanging="0" w:start="0"/>
        <w:jc w:val="both"/>
        <w:rPr>
          <w:rFonts w:ascii="仿宋_GB2312" w:hAnsi="仿宋_GB2312" w:eastAsia="仿宋_GB2312" w:cs="宋体;SimSun"/>
          <w:kern w:val="2"/>
          <w:sz w:val="28"/>
        </w:rPr>
      </w:pPr>
      <w:bookmarkStart w:id="19" w:name="__RefHeading___Toc208393266"/>
      <w:r>
        <w:rPr>
          <w:rFonts w:ascii="仿宋_GB2312" w:hAnsi="仿宋_GB2312" w:cs="宋体;SimSun" w:eastAsia="仿宋_GB2312"/>
          <w:kern w:val="2"/>
          <w:sz w:val="28"/>
        </w:rPr>
        <w:t>一、实物状况描述与分析</w:t>
      </w:r>
      <w:bookmarkEnd w:id="19"/>
      <w:r>
        <w:rPr>
          <w:rFonts w:ascii="仿宋_GB2312" w:hAnsi="仿宋_GB2312" w:cs="宋体;SimSun" w:eastAsia="仿宋_GB2312"/>
          <w:kern w:val="2"/>
          <w:sz w:val="28"/>
        </w:rPr>
        <w:t xml:space="preserve"> </w:t>
      </w:r>
    </w:p>
    <w:p>
      <w:pPr>
        <w:pStyle w:val="Normal"/>
        <w:snapToGrid w:val="false"/>
        <w:spacing w:lineRule="auto" w:line="360"/>
        <w:ind w:firstLine="560" w:end="0"/>
        <w:textAlignment w:val="bottom"/>
        <w:rPr/>
      </w:pPr>
      <w:r>
        <w:rPr/>
        <w:t>1、土地实物状况</w:t>
      </w:r>
    </w:p>
    <w:p>
      <w:pPr>
        <w:pStyle w:val="Normal"/>
        <w:widowControl/>
        <w:snapToGrid w:val="false"/>
        <w:spacing w:lineRule="auto" w:line="360"/>
        <w:ind w:firstLine="555" w:end="0"/>
        <w:jc w:val="start"/>
        <w:rPr>
          <w:b/>
          <w:sz w:val="21"/>
          <w:szCs w:val="21"/>
        </w:rPr>
      </w:pPr>
      <w:r>
        <w:rPr/>
        <w:t>宗地坐落于{{房产地址}}，土地使用权面积为{{土地面积}}平方米，估价对象所处宗地四至清晰。所在宗地平面形状为规则多边形，地块地势平坦，宗地基础设施完善，达到“六通一平”，地质条件较好，地基承载力较好，土壤状况较好，无不利规划限制条件，利用状况较好。</w:t>
      </w:r>
    </w:p>
    <w:p>
      <w:pPr>
        <w:pStyle w:val="Normal"/>
        <w:widowControl/>
        <w:snapToGrid w:val="false"/>
        <w:spacing w:lineRule="auto" w:line="360"/>
        <w:ind w:firstLine="555" w:end="0"/>
        <w:jc w:val="start"/>
        <w:rPr>
          <w:rStyle w:val="s12"/>
          <w:rFonts w:cs="仿宋_GB2312"/>
          <w:kern w:val="0"/>
          <w:szCs w:val="20"/>
        </w:rPr>
      </w:pPr>
      <w:r>
        <w:rPr>
          <w:szCs w:val="28"/>
        </w:rPr>
        <w:t>估价对象所在宗地的土地形状、开发程度、地形地势均属于平均水平，土地面积适中，有利于合理充分利用。</w:t>
      </w:r>
    </w:p>
    <w:p>
      <w:pPr>
        <w:pStyle w:val="Normal"/>
        <w:snapToGrid w:val="false"/>
        <w:spacing w:lineRule="auto" w:line="360"/>
        <w:ind w:firstLine="560" w:end="0"/>
        <w:textAlignment w:val="bottom"/>
        <w:rPr/>
      </w:pPr>
      <w:r>
        <w:rPr/>
        <w:t>2、建筑物实物状况</w:t>
      </w:r>
    </w:p>
    <w:p>
      <w:pPr>
        <w:pStyle w:val="Normal"/>
        <w:autoSpaceDE w:val="false"/>
        <w:snapToGrid w:val="false"/>
        <w:spacing w:lineRule="auto" w:line="360"/>
        <w:ind w:firstLine="560" w:end="0"/>
        <w:jc w:val="start"/>
        <w:textAlignment w:val="bottom"/>
        <w:rPr/>
      </w:pPr>
      <w:r>
        <w:rPr/>
        <w:t>估价对象所在房屋为钢筋混凝土结构，建成于{{建成年份}},总层数共{{总层数}}层，南北朝向，所在单元平面布局为每层3户，所在单元配有2部客梯，外墙饰涂料。估价对象所在层数为地上第{{所在楼层}}层中间套，总建筑面积为{{建筑面积}}平方米，通风采光较好，内部格局：{{户型}}厨2卫2阳台，其中2室2阳台朝南，2卫1厨居中，1室1厅朝北；内部装修：客厅地面铺地板，墙面饰乳胶漆，顶棚饰乳胶漆；卧室地面铺木地板，墙面饰乳胶漆，顶棚饰乳胶漆；厨房地面铺地砖、墙面贴面砖、顶棚为扣板吊顶，配有下橱柜、不锈钢水槽、油烟机、燃气灶等厨房设施；卫生间地面铺地砖、墙面贴面砖、顶棚为扣板吊顶，配有坐便器、台盆柜等卫浴设施；阳台地面铺地砖、墙面饰涂料、顶棚饰涂料；入户门为防盗门、室内门为木门，窗为铝合金窗，水电卫等配套设施齐全。</w:t>
      </w:r>
    </w:p>
    <w:p>
      <w:pPr>
        <w:pStyle w:val="Normal"/>
        <w:widowControl/>
        <w:snapToGrid w:val="false"/>
        <w:spacing w:lineRule="auto" w:line="360"/>
        <w:ind w:firstLine="555" w:end="0"/>
        <w:jc w:val="start"/>
        <w:rPr>
          <w:b/>
          <w:sz w:val="21"/>
          <w:szCs w:val="21"/>
        </w:rPr>
      </w:pPr>
      <w:r>
        <w:rPr/>
        <w:t>估价对象规划及现状用途为住宅用途，查勘时为空置。</w:t>
      </w:r>
    </w:p>
    <w:p>
      <w:pPr>
        <w:pStyle w:val="Normal"/>
        <w:autoSpaceDE w:val="false"/>
        <w:snapToGrid w:val="false"/>
        <w:spacing w:lineRule="auto" w:line="360"/>
        <w:ind w:firstLine="560" w:end="0"/>
        <w:jc w:val="start"/>
        <w:textAlignment w:val="bottom"/>
        <w:rPr>
          <w:rStyle w:val="s12"/>
          <w:rFonts w:cs="仿宋_GB2312"/>
          <w:kern w:val="0"/>
          <w:szCs w:val="20"/>
        </w:rPr>
      </w:pPr>
      <w:r>
        <w:rPr>
          <w:rStyle w:val="s12"/>
          <w:rFonts w:cs="仿宋_GB2312"/>
          <w:kern w:val="0"/>
          <w:szCs w:val="20"/>
        </w:rPr>
        <w:t>估价对象的建筑面积、设施设备、内外装修等与同类物业相比，</w:t>
      </w:r>
      <w:r>
        <w:rPr>
          <w:szCs w:val="28"/>
        </w:rPr>
        <w:t>属于</w:t>
      </w:r>
      <w:r>
        <w:rPr>
          <w:rStyle w:val="s12"/>
          <w:rFonts w:cs="仿宋_GB2312"/>
          <w:kern w:val="0"/>
          <w:szCs w:val="20"/>
        </w:rPr>
        <w:t>平均水平，且使用及维护状况</w:t>
      </w:r>
      <w:r>
        <w:rPr/>
        <w:t>较好</w:t>
      </w:r>
      <w:r>
        <w:rPr>
          <w:rStyle w:val="s12"/>
          <w:rFonts w:cs="仿宋_GB2312"/>
          <w:kern w:val="0"/>
          <w:szCs w:val="20"/>
        </w:rPr>
        <w:t>，对其价格无影响。</w:t>
      </w:r>
    </w:p>
    <w:p>
      <w:pPr>
        <w:pStyle w:val="Heading2"/>
        <w:keepNext w:val="true"/>
        <w:keepLines/>
        <w:spacing w:before="156" w:after="156"/>
        <w:ind w:hanging="0" w:start="0"/>
        <w:jc w:val="both"/>
        <w:rPr>
          <w:rFonts w:ascii="仿宋_GB2312" w:hAnsi="仿宋_GB2312" w:eastAsia="仿宋_GB2312" w:cs="宋体;SimSun"/>
          <w:kern w:val="2"/>
          <w:sz w:val="28"/>
        </w:rPr>
      </w:pPr>
      <w:bookmarkStart w:id="20" w:name="__RefHeading___Toc208393267"/>
      <w:r>
        <w:rPr>
          <w:rFonts w:ascii="仿宋_GB2312" w:hAnsi="仿宋_GB2312" w:cs="宋体;SimSun" w:eastAsia="仿宋_GB2312"/>
          <w:kern w:val="2"/>
          <w:sz w:val="28"/>
        </w:rPr>
        <w:t>二、权益状况描述与分析</w:t>
      </w:r>
      <w:bookmarkEnd w:id="20"/>
      <w:r>
        <w:rPr>
          <w:rFonts w:ascii="仿宋_GB2312" w:hAnsi="仿宋_GB2312" w:cs="宋体;SimSun" w:eastAsia="仿宋_GB2312"/>
          <w:kern w:val="2"/>
          <w:sz w:val="28"/>
        </w:rPr>
        <w:t xml:space="preserve"> </w:t>
      </w:r>
    </w:p>
    <w:p>
      <w:pPr>
        <w:pStyle w:val="Normal"/>
        <w:autoSpaceDE w:val="false"/>
        <w:snapToGrid w:val="false"/>
        <w:spacing w:lineRule="auto" w:line="360"/>
        <w:ind w:firstLine="560" w:end="0"/>
        <w:jc w:val="start"/>
        <w:textAlignment w:val="bottom"/>
        <w:rPr/>
      </w:pPr>
      <w:r>
        <w:rPr/>
        <w:t>估价对象权益状况详见下表：</w:t>
      </w:r>
    </w:p>
    <w:tbl>
      <w:tblPr>
        <w:tblW w:w="4950" w:type="pct"/>
        <w:jc w:val="start"/>
        <w:tblInd w:w="0" w:type="dxa"/>
        <w:tblLayout w:type="fixed"/>
        <w:tblCellMar>
          <w:top w:w="0" w:type="dxa"/>
          <w:start w:w="108" w:type="dxa"/>
          <w:bottom w:w="0" w:type="dxa"/>
          <w:end w:w="108" w:type="dxa"/>
        </w:tblCellMar>
      </w:tblPr>
      <w:tblGrid>
        <w:gridCol w:w="1211"/>
        <w:gridCol w:w="1119"/>
        <w:gridCol w:w="1136"/>
        <w:gridCol w:w="1023"/>
        <w:gridCol w:w="1152"/>
        <w:gridCol w:w="690"/>
        <w:gridCol w:w="904"/>
        <w:gridCol w:w="1520"/>
      </w:tblGrid>
      <w:tr>
        <w:trPr>
          <w:trHeight w:val="216" w:hRule="atLeast"/>
        </w:trPr>
        <w:tc>
          <w:tcPr>
            <w:tcW w:w="1211" w:type="dxa"/>
            <w:tcBorders>
              <w:top w:val="single" w:sz="4" w:space="0" w:color="000000"/>
              <w:start w:val="single" w:sz="4" w:space="0" w:color="000000"/>
              <w:bottom w:val="single" w:sz="4" w:space="0" w:color="000000"/>
              <w:end w:val="single" w:sz="4"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不动产坐落</w:t>
            </w:r>
          </w:p>
        </w:tc>
        <w:tc>
          <w:tcPr>
            <w:tcW w:w="7544"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杭州市余杭区闲林街道闲湖城山景湾</w:t>
            </w:r>
            <w:r>
              <w:rPr>
                <w:rFonts w:eastAsia="宋体;SimSun" w:ascii="宋体;SimSun" w:hAnsi="宋体;SimSun"/>
                <w:color w:val="000000"/>
                <w:kern w:val="0"/>
                <w:sz w:val="18"/>
                <w:szCs w:val="18"/>
              </w:rPr>
              <w:t>3</w:t>
            </w:r>
            <w:r>
              <w:rPr>
                <w:rFonts w:ascii="宋体;SimSun" w:hAnsi="宋体;SimSun" w:eastAsia="宋体;SimSun"/>
                <w:color w:val="000000"/>
                <w:kern w:val="0"/>
                <w:sz w:val="18"/>
                <w:szCs w:val="18"/>
              </w:rPr>
              <w:t>幢</w:t>
            </w:r>
            <w:r>
              <w:rPr>
                <w:rFonts w:eastAsia="宋体;SimSun" w:ascii="宋体;SimSun" w:hAnsi="宋体;SimSun"/>
                <w:color w:val="000000"/>
                <w:kern w:val="0"/>
                <w:sz w:val="18"/>
                <w:szCs w:val="18"/>
              </w:rPr>
              <w:t>2</w:t>
            </w:r>
            <w:r>
              <w:rPr>
                <w:rFonts w:ascii="宋体;SimSun" w:hAnsi="宋体;SimSun" w:eastAsia="宋体;SimSun"/>
                <w:color w:val="000000"/>
                <w:kern w:val="0"/>
                <w:sz w:val="18"/>
                <w:szCs w:val="18"/>
              </w:rPr>
              <w:t>单元</w:t>
            </w:r>
            <w:r>
              <w:rPr>
                <w:rFonts w:eastAsia="宋体;SimSun" w:ascii="宋体;SimSun" w:hAnsi="宋体;SimSun"/>
                <w:color w:val="000000"/>
                <w:kern w:val="0"/>
                <w:sz w:val="18"/>
                <w:szCs w:val="18"/>
              </w:rPr>
              <w:t>601</w:t>
            </w:r>
            <w:r>
              <w:rPr>
                <w:rFonts w:ascii="宋体;SimSun" w:hAnsi="宋体;SimSun" w:eastAsia="宋体;SimSun"/>
                <w:color w:val="000000"/>
                <w:kern w:val="0"/>
                <w:sz w:val="18"/>
                <w:szCs w:val="18"/>
              </w:rPr>
              <w:t>室</w:t>
            </w:r>
          </w:p>
        </w:tc>
      </w:tr>
      <w:tr>
        <w:trPr>
          <w:trHeight w:val="432" w:hRule="atLeast"/>
        </w:trPr>
        <w:tc>
          <w:tcPr>
            <w:tcW w:w="1211" w:type="dxa"/>
            <w:tcBorders>
              <w:top w:val="single" w:sz="4" w:space="0" w:color="000000"/>
              <w:start w:val="single" w:sz="4" w:space="0" w:color="000000"/>
              <w:bottom w:val="single" w:sz="4" w:space="0" w:color="000000"/>
              <w:end w:val="single" w:sz="4"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用途</w:t>
            </w:r>
          </w:p>
        </w:tc>
        <w:tc>
          <w:tcPr>
            <w:tcW w:w="1119"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城镇住宅用地</w:t>
            </w:r>
            <w:r>
              <w:rPr>
                <w:rFonts w:eastAsia="宋体;SimSun" w:ascii="宋体;SimSun" w:hAnsi="宋体;SimSun"/>
                <w:color w:val="000000"/>
                <w:kern w:val="0"/>
                <w:sz w:val="18"/>
                <w:szCs w:val="18"/>
              </w:rPr>
              <w:t>/</w:t>
            </w:r>
            <w:r>
              <w:rPr>
                <w:rFonts w:ascii="宋体;SimSun" w:hAnsi="宋体;SimSun" w:eastAsia="宋体;SimSun"/>
                <w:color w:val="000000"/>
                <w:kern w:val="0"/>
                <w:sz w:val="18"/>
                <w:szCs w:val="18"/>
              </w:rPr>
              <w:t>住宅</w:t>
            </w:r>
          </w:p>
        </w:tc>
        <w:tc>
          <w:tcPr>
            <w:tcW w:w="1136"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建筑面积（㎡）</w:t>
            </w:r>
          </w:p>
        </w:tc>
        <w:tc>
          <w:tcPr>
            <w:tcW w:w="102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{{建筑面积}}</w:t>
            </w:r>
          </w:p>
        </w:tc>
        <w:tc>
          <w:tcPr>
            <w:tcW w:w="1152"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土地使用权面积（㎡）</w:t>
            </w:r>
          </w:p>
        </w:tc>
        <w:tc>
          <w:tcPr>
            <w:tcW w:w="69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{{土地面积}}</w:t>
            </w:r>
          </w:p>
        </w:tc>
        <w:tc>
          <w:tcPr>
            <w:tcW w:w="904"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使用期限</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2002</w:t>
            </w:r>
            <w:r>
              <w:rPr>
                <w:rFonts w:ascii="宋体;SimSun" w:hAnsi="宋体;SimSun" w:eastAsia="宋体;SimSun"/>
                <w:color w:val="000000"/>
                <w:kern w:val="0"/>
                <w:sz w:val="18"/>
                <w:szCs w:val="18"/>
              </w:rPr>
              <w:t>年</w:t>
            </w:r>
            <w:r>
              <w:rPr>
                <w:rFonts w:eastAsia="宋体;SimSun" w:ascii="宋体;SimSun" w:hAnsi="宋体;SimSun"/>
                <w:color w:val="000000"/>
                <w:kern w:val="0"/>
                <w:sz w:val="18"/>
                <w:szCs w:val="18"/>
              </w:rPr>
              <w:t>09</w:t>
            </w:r>
            <w:r>
              <w:rPr>
                <w:rFonts w:ascii="宋体;SimSun" w:hAnsi="宋体;SimSun" w:eastAsia="宋体;SimSun"/>
                <w:color w:val="000000"/>
                <w:kern w:val="0"/>
                <w:sz w:val="18"/>
                <w:szCs w:val="18"/>
              </w:rPr>
              <w:t>月</w:t>
            </w:r>
            <w:r>
              <w:rPr>
                <w:rFonts w:eastAsia="宋体;SimSun" w:ascii="宋体;SimSun" w:hAnsi="宋体;SimSun"/>
                <w:color w:val="000000"/>
                <w:kern w:val="0"/>
                <w:sz w:val="18"/>
                <w:szCs w:val="18"/>
              </w:rPr>
              <w:t>17</w:t>
            </w:r>
            <w:r>
              <w:rPr>
                <w:rFonts w:ascii="宋体;SimSun" w:hAnsi="宋体;SimSun" w:eastAsia="宋体;SimSun"/>
                <w:color w:val="000000"/>
                <w:kern w:val="0"/>
                <w:sz w:val="18"/>
                <w:szCs w:val="18"/>
              </w:rPr>
              <w:t>日至</w:t>
            </w:r>
            <w:r>
              <w:rPr>
                <w:rFonts w:eastAsia="宋体;SimSun" w:ascii="宋体;SimSun" w:hAnsi="宋体;SimSun"/>
                <w:color w:val="000000"/>
                <w:kern w:val="0"/>
                <w:sz w:val="18"/>
                <w:szCs w:val="18"/>
              </w:rPr>
              <w:t>2072</w:t>
            </w:r>
            <w:r>
              <w:rPr>
                <w:rFonts w:ascii="宋体;SimSun" w:hAnsi="宋体;SimSun" w:eastAsia="宋体;SimSun"/>
                <w:color w:val="000000"/>
                <w:kern w:val="0"/>
                <w:sz w:val="18"/>
                <w:szCs w:val="18"/>
              </w:rPr>
              <w:t>年</w:t>
            </w:r>
            <w:r>
              <w:rPr>
                <w:rFonts w:eastAsia="宋体;SimSun" w:ascii="宋体;SimSun" w:hAnsi="宋体;SimSun"/>
                <w:color w:val="000000"/>
                <w:kern w:val="0"/>
                <w:sz w:val="18"/>
                <w:szCs w:val="18"/>
              </w:rPr>
              <w:t>09</w:t>
            </w:r>
            <w:r>
              <w:rPr>
                <w:rFonts w:ascii="宋体;SimSun" w:hAnsi="宋体;SimSun" w:eastAsia="宋体;SimSun"/>
                <w:color w:val="000000"/>
                <w:kern w:val="0"/>
                <w:sz w:val="18"/>
                <w:szCs w:val="18"/>
              </w:rPr>
              <w:t>月</w:t>
            </w:r>
            <w:r>
              <w:rPr>
                <w:rFonts w:eastAsia="宋体;SimSun" w:ascii="宋体;SimSun" w:hAnsi="宋体;SimSun"/>
                <w:color w:val="000000"/>
                <w:kern w:val="0"/>
                <w:sz w:val="18"/>
                <w:szCs w:val="18"/>
              </w:rPr>
              <w:t>16</w:t>
            </w:r>
            <w:r>
              <w:rPr>
                <w:rFonts w:ascii="宋体;SimSun" w:hAnsi="宋体;SimSun" w:eastAsia="宋体;SimSun"/>
                <w:color w:val="000000"/>
                <w:kern w:val="0"/>
                <w:sz w:val="18"/>
                <w:szCs w:val="18"/>
              </w:rPr>
              <w:t>日</w:t>
            </w:r>
          </w:p>
        </w:tc>
      </w:tr>
      <w:tr>
        <w:trPr>
          <w:trHeight w:val="216" w:hRule="atLeast"/>
        </w:trPr>
        <w:tc>
          <w:tcPr>
            <w:tcW w:w="1211" w:type="dxa"/>
            <w:tcBorders>
              <w:top w:val="single" w:sz="4" w:space="0" w:color="000000"/>
              <w:start w:val="single" w:sz="4" w:space="0" w:color="000000"/>
              <w:bottom w:val="single" w:sz="4" w:space="0" w:color="000000"/>
              <w:end w:val="single" w:sz="4"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限制信息</w:t>
            </w:r>
          </w:p>
        </w:tc>
        <w:tc>
          <w:tcPr>
            <w:tcW w:w="5120"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不动产：有查封，有抵押</w:t>
            </w:r>
          </w:p>
        </w:tc>
        <w:tc>
          <w:tcPr>
            <w:tcW w:w="904"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宗地号</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{{宗地号}}</w:t>
            </w:r>
          </w:p>
        </w:tc>
      </w:tr>
      <w:tr>
        <w:trPr>
          <w:trHeight w:val="216" w:hRule="atLeast"/>
        </w:trPr>
        <w:tc>
          <w:tcPr>
            <w:tcW w:w="1211" w:type="dxa"/>
            <w:vMerge w:val="restart"/>
            <w:tcBorders>
              <w:top w:val="single" w:sz="4" w:space="0" w:color="000000"/>
              <w:start w:val="single" w:sz="4" w:space="0" w:color="000000"/>
              <w:bottom w:val="single" w:sz="4" w:space="0" w:color="000000"/>
              <w:end w:val="single" w:sz="4"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不动产状况</w:t>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权利人</w:t>
            </w:r>
          </w:p>
        </w:tc>
        <w:tc>
          <w:tcPr>
            <w:tcW w:w="6425"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{{权属人}}</w:t>
            </w:r>
          </w:p>
        </w:tc>
      </w:tr>
      <w:tr>
        <w:trPr>
          <w:trHeight w:val="432" w:hRule="atLeast"/>
        </w:trPr>
        <w:tc>
          <w:tcPr>
            <w:tcW w:w="1211" w:type="dxa"/>
            <w:vMerge w:val="continue"/>
            <w:tcBorders>
              <w:top w:val="single" w:sz="4" w:space="0" w:color="000000"/>
              <w:start w:val="single" w:sz="4" w:space="0" w:color="000000"/>
              <w:bottom w:val="single" w:sz="4" w:space="0" w:color="000000"/>
              <w:end w:val="single" w:sz="4"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权证号</w:t>
            </w:r>
            <w:r>
              <w:rPr>
                <w:rFonts w:eastAsia="宋体;SimSun" w:ascii="宋体;SimSun" w:hAnsi="宋体;SimSun"/>
                <w:b/>
                <w:bCs/>
                <w:color w:val="000000"/>
                <w:kern w:val="0"/>
                <w:sz w:val="18"/>
                <w:szCs w:val="18"/>
              </w:rPr>
              <w:br/>
            </w:r>
            <w:r>
              <w:rPr>
                <w:rFonts w:ascii="宋体;SimSun" w:hAnsi="宋体;SimSun" w:eastAsia="宋体;SimSun"/>
                <w:b/>
                <w:bCs/>
                <w:color w:val="000000"/>
                <w:kern w:val="0"/>
                <w:sz w:val="18"/>
                <w:szCs w:val="18"/>
              </w:rPr>
              <w:t>（证明号）</w:t>
            </w:r>
          </w:p>
        </w:tc>
        <w:tc>
          <w:tcPr>
            <w:tcW w:w="6425"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浙（</w:t>
            </w:r>
            <w:r>
              <w:rPr>
                <w:rFonts w:eastAsia="宋体;SimSun" w:ascii="宋体;SimSun" w:hAnsi="宋体;SimSun"/>
                <w:color w:val="000000"/>
                <w:kern w:val="0"/>
                <w:sz w:val="18"/>
                <w:szCs w:val="18"/>
              </w:rPr>
              <w:t>2021</w:t>
            </w:r>
            <w:r>
              <w:rPr>
                <w:rFonts w:ascii="宋体;SimSun" w:hAnsi="宋体;SimSun" w:eastAsia="宋体;SimSun"/>
                <w:color w:val="000000"/>
                <w:kern w:val="0"/>
                <w:sz w:val="18"/>
                <w:szCs w:val="18"/>
              </w:rPr>
              <w:t>）杭州市不动产权第</w:t>
            </w:r>
            <w:r>
              <w:rPr>
                <w:rFonts w:eastAsia="宋体;SimSun" w:ascii="宋体;SimSun" w:hAnsi="宋体;SimSun"/>
                <w:color w:val="000000"/>
                <w:kern w:val="0"/>
                <w:sz w:val="18"/>
                <w:szCs w:val="18"/>
              </w:rPr>
              <w:t>2043883</w:t>
            </w:r>
            <w:r>
              <w:rPr>
                <w:rFonts w:ascii="宋体;SimSun" w:hAnsi="宋体;SimSun" w:eastAsia="宋体;SimSun"/>
                <w:color w:val="000000"/>
                <w:kern w:val="0"/>
                <w:sz w:val="18"/>
                <w:szCs w:val="18"/>
              </w:rPr>
              <w:t>号</w:t>
            </w:r>
          </w:p>
        </w:tc>
      </w:tr>
      <w:tr>
        <w:trPr>
          <w:trHeight w:val="216" w:hRule="atLeast"/>
        </w:trPr>
        <w:tc>
          <w:tcPr>
            <w:tcW w:w="1211" w:type="dxa"/>
            <w:vMerge w:val="continue"/>
            <w:tcBorders>
              <w:top w:val="single" w:sz="4" w:space="0" w:color="000000"/>
              <w:start w:val="single" w:sz="4" w:space="0" w:color="000000"/>
              <w:bottom w:val="single" w:sz="4" w:space="0" w:color="000000"/>
              <w:end w:val="single" w:sz="4"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权利类型</w:t>
            </w:r>
          </w:p>
        </w:tc>
        <w:tc>
          <w:tcPr>
            <w:tcW w:w="2159"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国有建设用地使用权</w:t>
            </w:r>
            <w:r>
              <w:rPr>
                <w:rFonts w:eastAsia="宋体;SimSun" w:ascii="宋体;SimSun" w:hAnsi="宋体;SimSun"/>
                <w:color w:val="000000"/>
                <w:kern w:val="0"/>
                <w:sz w:val="18"/>
                <w:szCs w:val="18"/>
              </w:rPr>
              <w:t>/</w:t>
            </w:r>
            <w:r>
              <w:rPr>
                <w:rFonts w:ascii="宋体;SimSun" w:hAnsi="宋体;SimSun" w:eastAsia="宋体;SimSun"/>
                <w:color w:val="000000"/>
                <w:kern w:val="0"/>
                <w:sz w:val="18"/>
                <w:szCs w:val="18"/>
              </w:rPr>
              <w:t>房屋（构筑物）所有权</w:t>
            </w:r>
          </w:p>
        </w:tc>
        <w:tc>
          <w:tcPr>
            <w:tcW w:w="1842" w:type="dxa"/>
            <w:gridSpan w:val="2"/>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权利性质</w:t>
            </w:r>
          </w:p>
        </w:tc>
        <w:tc>
          <w:tcPr>
            <w:tcW w:w="242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出让</w:t>
            </w:r>
            <w:r>
              <w:rPr>
                <w:rFonts w:eastAsia="宋体;SimSun" w:ascii="宋体;SimSun" w:hAnsi="宋体;SimSun"/>
                <w:color w:val="000000"/>
                <w:kern w:val="0"/>
                <w:sz w:val="18"/>
                <w:szCs w:val="18"/>
              </w:rPr>
              <w:t>/</w:t>
            </w:r>
            <w:r>
              <w:rPr>
                <w:rFonts w:ascii="宋体;SimSun" w:hAnsi="宋体;SimSun" w:eastAsia="宋体;SimSun"/>
                <w:color w:val="000000"/>
                <w:kern w:val="0"/>
                <w:sz w:val="18"/>
                <w:szCs w:val="18"/>
              </w:rPr>
              <w:t>存量房产</w:t>
            </w:r>
          </w:p>
        </w:tc>
      </w:tr>
      <w:tr>
        <w:trPr>
          <w:trHeight w:val="216" w:hRule="atLeast"/>
        </w:trPr>
        <w:tc>
          <w:tcPr>
            <w:tcW w:w="1211" w:type="dxa"/>
            <w:vMerge w:val="continue"/>
            <w:tcBorders>
              <w:top w:val="single" w:sz="4" w:space="0" w:color="000000"/>
              <w:start w:val="single" w:sz="4" w:space="0" w:color="000000"/>
              <w:bottom w:val="single" w:sz="4" w:space="0" w:color="000000"/>
              <w:end w:val="single" w:sz="4"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共有情况</w:t>
            </w:r>
          </w:p>
        </w:tc>
        <w:tc>
          <w:tcPr>
            <w:tcW w:w="2159"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单独所有</w:t>
            </w:r>
          </w:p>
        </w:tc>
        <w:tc>
          <w:tcPr>
            <w:tcW w:w="1842" w:type="dxa"/>
            <w:gridSpan w:val="2"/>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登记日期</w:t>
            </w:r>
          </w:p>
        </w:tc>
        <w:tc>
          <w:tcPr>
            <w:tcW w:w="242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2021</w:t>
            </w:r>
            <w:r>
              <w:rPr>
                <w:rFonts w:ascii="宋体;SimSun" w:hAnsi="宋体;SimSun" w:eastAsia="宋体;SimSun"/>
                <w:color w:val="000000"/>
                <w:kern w:val="0"/>
                <w:sz w:val="18"/>
                <w:szCs w:val="18"/>
              </w:rPr>
              <w:t>年</w:t>
            </w:r>
            <w:r>
              <w:rPr>
                <w:rFonts w:eastAsia="宋体;SimSun" w:ascii="宋体;SimSun" w:hAnsi="宋体;SimSun"/>
                <w:color w:val="000000"/>
                <w:kern w:val="0"/>
                <w:sz w:val="18"/>
                <w:szCs w:val="18"/>
              </w:rPr>
              <w:t>08</w:t>
            </w:r>
            <w:r>
              <w:rPr>
                <w:rFonts w:ascii="宋体;SimSun" w:hAnsi="宋体;SimSun" w:eastAsia="宋体;SimSun"/>
                <w:color w:val="000000"/>
                <w:kern w:val="0"/>
                <w:sz w:val="18"/>
                <w:szCs w:val="18"/>
              </w:rPr>
              <w:t>月</w:t>
            </w:r>
            <w:r>
              <w:rPr>
                <w:rFonts w:eastAsia="宋体;SimSun" w:ascii="宋体;SimSun" w:hAnsi="宋体;SimSun"/>
                <w:color w:val="000000"/>
                <w:kern w:val="0"/>
                <w:sz w:val="18"/>
                <w:szCs w:val="18"/>
              </w:rPr>
              <w:t>16</w:t>
            </w:r>
            <w:r>
              <w:rPr>
                <w:rFonts w:ascii="宋体;SimSun" w:hAnsi="宋体;SimSun" w:eastAsia="宋体;SimSun"/>
                <w:color w:val="000000"/>
                <w:kern w:val="0"/>
                <w:sz w:val="18"/>
                <w:szCs w:val="18"/>
              </w:rPr>
              <w:t>日</w:t>
            </w:r>
          </w:p>
        </w:tc>
      </w:tr>
      <w:tr>
        <w:trPr>
          <w:trHeight w:val="216" w:hRule="atLeast"/>
        </w:trPr>
        <w:tc>
          <w:tcPr>
            <w:tcW w:w="1211" w:type="dxa"/>
            <w:vMerge w:val="continue"/>
            <w:tcBorders>
              <w:top w:val="single" w:sz="4" w:space="0" w:color="000000"/>
              <w:start w:val="single" w:sz="4" w:space="0" w:color="000000"/>
              <w:bottom w:val="single" w:sz="4" w:space="0" w:color="000000"/>
              <w:end w:val="single" w:sz="4"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权利状态</w:t>
            </w:r>
          </w:p>
        </w:tc>
        <w:tc>
          <w:tcPr>
            <w:tcW w:w="6425"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现状</w:t>
            </w:r>
          </w:p>
        </w:tc>
      </w:tr>
      <w:tr>
        <w:trPr>
          <w:trHeight w:val="216" w:hRule="atLeast"/>
        </w:trPr>
        <w:tc>
          <w:tcPr>
            <w:tcW w:w="1211" w:type="dxa"/>
            <w:vMerge w:val="continue"/>
            <w:tcBorders>
              <w:top w:val="single" w:sz="4" w:space="0" w:color="000000"/>
              <w:start w:val="single" w:sz="4" w:space="0" w:color="000000"/>
              <w:bottom w:val="single" w:sz="4" w:space="0" w:color="000000"/>
              <w:end w:val="single" w:sz="4"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附记</w:t>
            </w:r>
          </w:p>
        </w:tc>
        <w:tc>
          <w:tcPr>
            <w:tcW w:w="6425"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本宗地内未作分摊的土地使用权属全体业主共用。税源编号：</w:t>
            </w:r>
            <w:r>
              <w:rPr>
                <w:rFonts w:eastAsia="宋体;SimSun" w:ascii="宋体;SimSun" w:hAnsi="宋体;SimSun"/>
                <w:color w:val="000000"/>
                <w:kern w:val="0"/>
                <w:sz w:val="18"/>
                <w:szCs w:val="18"/>
              </w:rPr>
              <w:t xml:space="preserve">3301252021061039 </w:t>
            </w:r>
            <w:r>
              <w:rPr>
                <w:rFonts w:ascii="宋体;SimSun" w:hAnsi="宋体;SimSun" w:eastAsia="宋体;SimSun"/>
                <w:color w:val="000000"/>
                <w:kern w:val="0"/>
                <w:sz w:val="18"/>
                <w:szCs w:val="18"/>
              </w:rPr>
              <w:t>完税时间：</w:t>
            </w:r>
            <w:r>
              <w:rPr>
                <w:rFonts w:eastAsia="宋体;SimSun" w:ascii="宋体;SimSun" w:hAnsi="宋体;SimSun"/>
                <w:color w:val="000000"/>
                <w:kern w:val="0"/>
                <w:sz w:val="18"/>
                <w:szCs w:val="18"/>
              </w:rPr>
              <w:t>2021-08-13</w:t>
            </w:r>
          </w:p>
        </w:tc>
      </w:tr>
      <w:tr>
        <w:trPr>
          <w:trHeight w:val="216" w:hRule="atLeast"/>
        </w:trPr>
        <w:tc>
          <w:tcPr>
            <w:tcW w:w="1211" w:type="dxa"/>
            <w:vMerge w:val="restart"/>
            <w:tcBorders>
              <w:top w:val="single" w:sz="4" w:space="0" w:color="000000"/>
              <w:start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抵押状况</w:t>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抵押权人</w:t>
            </w:r>
          </w:p>
        </w:tc>
        <w:tc>
          <w:tcPr>
            <w:tcW w:w="2159"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{{抵押权人}}</w:t>
            </w:r>
          </w:p>
        </w:tc>
        <w:tc>
          <w:tcPr>
            <w:tcW w:w="1842" w:type="dxa"/>
            <w:gridSpan w:val="2"/>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登记证明号</w:t>
            </w:r>
          </w:p>
        </w:tc>
        <w:tc>
          <w:tcPr>
            <w:tcW w:w="242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浙</w:t>
            </w:r>
            <w:r>
              <w:rPr>
                <w:rFonts w:eastAsia="宋体;SimSun" w:ascii="宋体;SimSun" w:hAnsi="宋体;SimSun"/>
                <w:color w:val="000000"/>
                <w:kern w:val="0"/>
                <w:sz w:val="18"/>
                <w:szCs w:val="18"/>
              </w:rPr>
              <w:t>(2022)</w:t>
            </w:r>
            <w:r>
              <w:rPr>
                <w:rFonts w:ascii="宋体;SimSun" w:hAnsi="宋体;SimSun" w:eastAsia="宋体;SimSun"/>
                <w:color w:val="000000"/>
                <w:kern w:val="0"/>
                <w:sz w:val="18"/>
                <w:szCs w:val="18"/>
              </w:rPr>
              <w:t>杭州市不动产证明第</w:t>
            </w:r>
            <w:r>
              <w:rPr>
                <w:rFonts w:eastAsia="宋体;SimSun" w:ascii="宋体;SimSun" w:hAnsi="宋体;SimSun"/>
                <w:color w:val="000000"/>
                <w:kern w:val="0"/>
                <w:sz w:val="18"/>
                <w:szCs w:val="18"/>
              </w:rPr>
              <w:t>0070253</w:t>
            </w:r>
            <w:r>
              <w:rPr>
                <w:rFonts w:ascii="宋体;SimSun" w:hAnsi="宋体;SimSun" w:eastAsia="宋体;SimSun"/>
                <w:color w:val="000000"/>
                <w:kern w:val="0"/>
                <w:sz w:val="18"/>
                <w:szCs w:val="18"/>
              </w:rPr>
              <w:t>号</w:t>
            </w:r>
          </w:p>
        </w:tc>
      </w:tr>
      <w:tr>
        <w:trPr>
          <w:trHeight w:val="216" w:hRule="atLeast"/>
        </w:trPr>
        <w:tc>
          <w:tcPr>
            <w:tcW w:w="1211" w:type="dxa"/>
            <w:vMerge w:val="continue"/>
            <w:tcBorders>
              <w:top w:val="single" w:sz="4" w:space="0" w:color="000000"/>
              <w:start w:val="single" w:sz="4" w:space="0" w:color="000000"/>
              <w:end w:val="single" w:sz="4" w:space="0" w:color="000000"/>
            </w:tcBorders>
            <w:shd w:fill="BFBFBF"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抵押方式</w:t>
            </w:r>
          </w:p>
        </w:tc>
        <w:tc>
          <w:tcPr>
            <w:tcW w:w="2159"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最高额抵押</w:t>
            </w:r>
          </w:p>
        </w:tc>
        <w:tc>
          <w:tcPr>
            <w:tcW w:w="1842" w:type="dxa"/>
            <w:gridSpan w:val="2"/>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债权数额</w:t>
            </w:r>
          </w:p>
        </w:tc>
        <w:tc>
          <w:tcPr>
            <w:tcW w:w="242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347</w:t>
            </w:r>
            <w:r>
              <w:rPr>
                <w:rFonts w:ascii="宋体;SimSun" w:hAnsi="宋体;SimSun" w:eastAsia="宋体;SimSun"/>
                <w:color w:val="000000"/>
                <w:kern w:val="0"/>
                <w:sz w:val="18"/>
                <w:szCs w:val="18"/>
              </w:rPr>
              <w:t>万元</w:t>
            </w:r>
          </w:p>
        </w:tc>
      </w:tr>
      <w:tr>
        <w:trPr>
          <w:trHeight w:val="432" w:hRule="atLeast"/>
        </w:trPr>
        <w:tc>
          <w:tcPr>
            <w:tcW w:w="1211" w:type="dxa"/>
            <w:vMerge w:val="continue"/>
            <w:tcBorders>
              <w:top w:val="single" w:sz="4" w:space="0" w:color="000000"/>
              <w:start w:val="single" w:sz="4" w:space="0" w:color="000000"/>
              <w:end w:val="single" w:sz="4" w:space="0" w:color="000000"/>
            </w:tcBorders>
            <w:shd w:fill="BFBFBF"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登记日期</w:t>
            </w:r>
          </w:p>
        </w:tc>
        <w:tc>
          <w:tcPr>
            <w:tcW w:w="2159"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2022</w:t>
            </w:r>
            <w:r>
              <w:rPr>
                <w:rFonts w:ascii="宋体;SimSun" w:hAnsi="宋体;SimSun" w:eastAsia="宋体;SimSun"/>
                <w:color w:val="000000"/>
                <w:kern w:val="0"/>
                <w:sz w:val="18"/>
                <w:szCs w:val="18"/>
              </w:rPr>
              <w:t>年</w:t>
            </w:r>
            <w:r>
              <w:rPr>
                <w:rFonts w:eastAsia="宋体;SimSun" w:ascii="宋体;SimSun" w:hAnsi="宋体;SimSun"/>
                <w:color w:val="000000"/>
                <w:kern w:val="0"/>
                <w:sz w:val="18"/>
                <w:szCs w:val="18"/>
              </w:rPr>
              <w:t>04</w:t>
            </w:r>
            <w:r>
              <w:rPr>
                <w:rFonts w:ascii="宋体;SimSun" w:hAnsi="宋体;SimSun" w:eastAsia="宋体;SimSun"/>
                <w:color w:val="000000"/>
                <w:kern w:val="0"/>
                <w:sz w:val="18"/>
                <w:szCs w:val="18"/>
              </w:rPr>
              <w:t>月</w:t>
            </w:r>
            <w:r>
              <w:rPr>
                <w:rFonts w:eastAsia="宋体;SimSun" w:ascii="宋体;SimSun" w:hAnsi="宋体;SimSun"/>
                <w:color w:val="000000"/>
                <w:kern w:val="0"/>
                <w:sz w:val="18"/>
                <w:szCs w:val="18"/>
              </w:rPr>
              <w:t>24</w:t>
            </w:r>
            <w:r>
              <w:rPr>
                <w:rFonts w:ascii="宋体;SimSun" w:hAnsi="宋体;SimSun" w:eastAsia="宋体;SimSun"/>
                <w:color w:val="000000"/>
                <w:kern w:val="0"/>
                <w:sz w:val="18"/>
                <w:szCs w:val="18"/>
              </w:rPr>
              <w:t>日</w:t>
            </w:r>
          </w:p>
        </w:tc>
        <w:tc>
          <w:tcPr>
            <w:tcW w:w="1842" w:type="dxa"/>
            <w:gridSpan w:val="2"/>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债务履行期限（债权确定期间）</w:t>
            </w:r>
          </w:p>
        </w:tc>
        <w:tc>
          <w:tcPr>
            <w:tcW w:w="242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2022</w:t>
            </w:r>
            <w:r>
              <w:rPr>
                <w:rFonts w:ascii="宋体;SimSun" w:hAnsi="宋体;SimSun" w:eastAsia="宋体;SimSun"/>
                <w:color w:val="000000"/>
                <w:kern w:val="0"/>
                <w:sz w:val="18"/>
                <w:szCs w:val="18"/>
              </w:rPr>
              <w:t>年</w:t>
            </w:r>
            <w:r>
              <w:rPr>
                <w:rFonts w:eastAsia="宋体;SimSun" w:ascii="宋体;SimSun" w:hAnsi="宋体;SimSun"/>
                <w:color w:val="000000"/>
                <w:kern w:val="0"/>
                <w:sz w:val="18"/>
                <w:szCs w:val="18"/>
              </w:rPr>
              <w:t>04</w:t>
            </w:r>
            <w:r>
              <w:rPr>
                <w:rFonts w:ascii="宋体;SimSun" w:hAnsi="宋体;SimSun" w:eastAsia="宋体;SimSun"/>
                <w:color w:val="000000"/>
                <w:kern w:val="0"/>
                <w:sz w:val="18"/>
                <w:szCs w:val="18"/>
              </w:rPr>
              <w:t>月</w:t>
            </w:r>
            <w:r>
              <w:rPr>
                <w:rFonts w:eastAsia="宋体;SimSun" w:ascii="宋体;SimSun" w:hAnsi="宋体;SimSun"/>
                <w:color w:val="000000"/>
                <w:kern w:val="0"/>
                <w:sz w:val="18"/>
                <w:szCs w:val="18"/>
              </w:rPr>
              <w:t>18</w:t>
            </w:r>
            <w:r>
              <w:rPr>
                <w:rFonts w:ascii="宋体;SimSun" w:hAnsi="宋体;SimSun" w:eastAsia="宋体;SimSun"/>
                <w:color w:val="000000"/>
                <w:kern w:val="0"/>
                <w:sz w:val="18"/>
                <w:szCs w:val="18"/>
              </w:rPr>
              <w:t>日起</w:t>
            </w:r>
            <w:r>
              <w:rPr>
                <w:rFonts w:eastAsia="宋体;SimSun" w:ascii="宋体;SimSun" w:hAnsi="宋体;SimSun"/>
                <w:color w:val="000000"/>
                <w:kern w:val="0"/>
                <w:sz w:val="18"/>
                <w:szCs w:val="18"/>
              </w:rPr>
              <w:t>2032</w:t>
            </w:r>
            <w:r>
              <w:rPr>
                <w:rFonts w:ascii="宋体;SimSun" w:hAnsi="宋体;SimSun" w:eastAsia="宋体;SimSun"/>
                <w:color w:val="000000"/>
                <w:kern w:val="0"/>
                <w:sz w:val="18"/>
                <w:szCs w:val="18"/>
              </w:rPr>
              <w:t>年</w:t>
            </w:r>
            <w:r>
              <w:rPr>
                <w:rFonts w:eastAsia="宋体;SimSun" w:ascii="宋体;SimSun" w:hAnsi="宋体;SimSun"/>
                <w:color w:val="000000"/>
                <w:kern w:val="0"/>
                <w:sz w:val="18"/>
                <w:szCs w:val="18"/>
              </w:rPr>
              <w:t>04</w:t>
            </w:r>
            <w:r>
              <w:rPr>
                <w:rFonts w:ascii="宋体;SimSun" w:hAnsi="宋体;SimSun" w:eastAsia="宋体;SimSun"/>
                <w:color w:val="000000"/>
                <w:kern w:val="0"/>
                <w:sz w:val="18"/>
                <w:szCs w:val="18"/>
              </w:rPr>
              <w:t>月</w:t>
            </w:r>
            <w:r>
              <w:rPr>
                <w:rFonts w:eastAsia="宋体;SimSun" w:ascii="宋体;SimSun" w:hAnsi="宋体;SimSun"/>
                <w:color w:val="000000"/>
                <w:kern w:val="0"/>
                <w:sz w:val="18"/>
                <w:szCs w:val="18"/>
              </w:rPr>
              <w:t>18</w:t>
            </w:r>
            <w:r>
              <w:rPr>
                <w:rFonts w:ascii="宋体;SimSun" w:hAnsi="宋体;SimSun" w:eastAsia="宋体;SimSun"/>
                <w:color w:val="000000"/>
                <w:kern w:val="0"/>
                <w:sz w:val="18"/>
                <w:szCs w:val="18"/>
              </w:rPr>
              <w:t>日止</w:t>
            </w:r>
          </w:p>
        </w:tc>
      </w:tr>
      <w:tr>
        <w:trPr>
          <w:trHeight w:val="216" w:hRule="atLeast"/>
        </w:trPr>
        <w:tc>
          <w:tcPr>
            <w:tcW w:w="1211" w:type="dxa"/>
            <w:vMerge w:val="continue"/>
            <w:tcBorders>
              <w:top w:val="single" w:sz="4" w:space="0" w:color="000000"/>
              <w:start w:val="single" w:sz="4" w:space="0" w:color="000000"/>
              <w:end w:val="single" w:sz="4" w:space="0" w:color="000000"/>
            </w:tcBorders>
            <w:shd w:fill="BFBFBF"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附记</w:t>
            </w:r>
          </w:p>
        </w:tc>
        <w:tc>
          <w:tcPr>
            <w:tcW w:w="6425"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存在禁止或限制转让抵押不动产的约定 担保范围依据抵押合同约定</w:t>
            </w:r>
          </w:p>
        </w:tc>
      </w:tr>
      <w:tr>
        <w:trPr>
          <w:trHeight w:val="216" w:hRule="atLeast"/>
        </w:trPr>
        <w:tc>
          <w:tcPr>
            <w:tcW w:w="1211" w:type="dxa"/>
            <w:vMerge w:val="restart"/>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查封状况</w:t>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查封文号</w:t>
            </w:r>
          </w:p>
        </w:tc>
        <w:tc>
          <w:tcPr>
            <w:tcW w:w="6425"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(2025)</w:t>
            </w:r>
            <w:r>
              <w:rPr>
                <w:rFonts w:ascii="宋体;SimSun" w:hAnsi="宋体;SimSun" w:eastAsia="宋体;SimSun"/>
                <w:color w:val="000000"/>
                <w:kern w:val="0"/>
                <w:sz w:val="18"/>
                <w:szCs w:val="18"/>
              </w:rPr>
              <w:t>浙</w:t>
            </w:r>
            <w:r>
              <w:rPr>
                <w:rFonts w:eastAsia="宋体;SimSun" w:ascii="宋体;SimSun" w:hAnsi="宋体;SimSun"/>
                <w:color w:val="000000"/>
                <w:kern w:val="0"/>
                <w:sz w:val="18"/>
                <w:szCs w:val="18"/>
              </w:rPr>
              <w:t>0102</w:t>
            </w:r>
            <w:r>
              <w:rPr>
                <w:rFonts w:ascii="宋体;SimSun" w:hAnsi="宋体;SimSun" w:eastAsia="宋体;SimSun"/>
                <w:color w:val="000000"/>
                <w:kern w:val="0"/>
                <w:sz w:val="18"/>
                <w:szCs w:val="18"/>
              </w:rPr>
              <w:t>执</w:t>
            </w:r>
            <w:r>
              <w:rPr>
                <w:rFonts w:eastAsia="宋体;SimSun" w:ascii="宋体;SimSun" w:hAnsi="宋体;SimSun"/>
                <w:color w:val="000000"/>
                <w:kern w:val="0"/>
                <w:sz w:val="18"/>
                <w:szCs w:val="18"/>
              </w:rPr>
              <w:t>9392</w:t>
            </w:r>
            <w:r>
              <w:rPr>
                <w:rFonts w:ascii="宋体;SimSun" w:hAnsi="宋体;SimSun" w:eastAsia="宋体;SimSun"/>
                <w:color w:val="000000"/>
                <w:kern w:val="0"/>
                <w:sz w:val="18"/>
                <w:szCs w:val="18"/>
              </w:rPr>
              <w:t>号</w:t>
            </w:r>
          </w:p>
        </w:tc>
      </w:tr>
      <w:tr>
        <w:trPr>
          <w:trHeight w:val="216" w:hRule="atLeast"/>
        </w:trPr>
        <w:tc>
          <w:tcPr>
            <w:tcW w:w="1211" w:type="dxa"/>
            <w:vMerge w:val="continue"/>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查封期限</w:t>
            </w:r>
          </w:p>
        </w:tc>
        <w:tc>
          <w:tcPr>
            <w:tcW w:w="6425"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2025</w:t>
            </w:r>
            <w:r>
              <w:rPr>
                <w:rFonts w:ascii="宋体;SimSun" w:hAnsi="宋体;SimSun" w:eastAsia="宋体;SimSun"/>
                <w:color w:val="000000"/>
                <w:kern w:val="0"/>
                <w:sz w:val="18"/>
                <w:szCs w:val="18"/>
              </w:rPr>
              <w:t>年</w:t>
            </w:r>
            <w:r>
              <w:rPr>
                <w:rFonts w:eastAsia="宋体;SimSun" w:ascii="宋体;SimSun" w:hAnsi="宋体;SimSun"/>
                <w:color w:val="000000"/>
                <w:kern w:val="0"/>
                <w:sz w:val="18"/>
                <w:szCs w:val="18"/>
              </w:rPr>
              <w:t>08</w:t>
            </w:r>
            <w:r>
              <w:rPr>
                <w:rFonts w:ascii="宋体;SimSun" w:hAnsi="宋体;SimSun" w:eastAsia="宋体;SimSun"/>
                <w:color w:val="000000"/>
                <w:kern w:val="0"/>
                <w:sz w:val="18"/>
                <w:szCs w:val="18"/>
              </w:rPr>
              <w:t>月</w:t>
            </w:r>
            <w:r>
              <w:rPr>
                <w:rFonts w:eastAsia="宋体;SimSun" w:ascii="宋体;SimSun" w:hAnsi="宋体;SimSun"/>
                <w:color w:val="000000"/>
                <w:kern w:val="0"/>
                <w:sz w:val="18"/>
                <w:szCs w:val="18"/>
              </w:rPr>
              <w:t>18</w:t>
            </w:r>
            <w:r>
              <w:rPr>
                <w:rFonts w:ascii="宋体;SimSun" w:hAnsi="宋体;SimSun" w:eastAsia="宋体;SimSun"/>
                <w:color w:val="000000"/>
                <w:kern w:val="0"/>
                <w:sz w:val="18"/>
                <w:szCs w:val="18"/>
              </w:rPr>
              <w:t>日起</w:t>
            </w:r>
            <w:r>
              <w:rPr>
                <w:rFonts w:eastAsia="宋体;SimSun" w:ascii="宋体;SimSun" w:hAnsi="宋体;SimSun"/>
                <w:color w:val="000000"/>
                <w:kern w:val="0"/>
                <w:sz w:val="18"/>
                <w:szCs w:val="18"/>
              </w:rPr>
              <w:t>2028</w:t>
            </w:r>
            <w:r>
              <w:rPr>
                <w:rFonts w:ascii="宋体;SimSun" w:hAnsi="宋体;SimSun" w:eastAsia="宋体;SimSun"/>
                <w:color w:val="000000"/>
                <w:kern w:val="0"/>
                <w:sz w:val="18"/>
                <w:szCs w:val="18"/>
              </w:rPr>
              <w:t>年</w:t>
            </w:r>
            <w:r>
              <w:rPr>
                <w:rFonts w:eastAsia="宋体;SimSun" w:ascii="宋体;SimSun" w:hAnsi="宋体;SimSun"/>
                <w:color w:val="000000"/>
                <w:kern w:val="0"/>
                <w:sz w:val="18"/>
                <w:szCs w:val="18"/>
              </w:rPr>
              <w:t>08</w:t>
            </w:r>
            <w:r>
              <w:rPr>
                <w:rFonts w:ascii="宋体;SimSun" w:hAnsi="宋体;SimSun" w:eastAsia="宋体;SimSun"/>
                <w:color w:val="000000"/>
                <w:kern w:val="0"/>
                <w:sz w:val="18"/>
                <w:szCs w:val="18"/>
              </w:rPr>
              <w:t>月</w:t>
            </w:r>
            <w:r>
              <w:rPr>
                <w:rFonts w:eastAsia="宋体;SimSun" w:ascii="宋体;SimSun" w:hAnsi="宋体;SimSun"/>
                <w:color w:val="000000"/>
                <w:kern w:val="0"/>
                <w:sz w:val="18"/>
                <w:szCs w:val="18"/>
              </w:rPr>
              <w:t>17</w:t>
            </w:r>
            <w:r>
              <w:rPr>
                <w:rFonts w:ascii="宋体;SimSun" w:hAnsi="宋体;SimSun" w:eastAsia="宋体;SimSun"/>
                <w:color w:val="000000"/>
                <w:kern w:val="0"/>
                <w:sz w:val="18"/>
                <w:szCs w:val="18"/>
              </w:rPr>
              <w:t>日止</w:t>
            </w:r>
          </w:p>
        </w:tc>
      </w:tr>
      <w:tr>
        <w:trPr>
          <w:trHeight w:val="216" w:hRule="atLeast"/>
        </w:trPr>
        <w:tc>
          <w:tcPr>
            <w:tcW w:w="1211" w:type="dxa"/>
            <w:vMerge w:val="continue"/>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11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查封机关</w:t>
            </w:r>
          </w:p>
        </w:tc>
        <w:tc>
          <w:tcPr>
            <w:tcW w:w="6425"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{{委托人}}</w:t>
            </w:r>
          </w:p>
        </w:tc>
      </w:tr>
      <w:tr>
        <w:trPr>
          <w:trHeight w:val="204" w:hRule="atLeast"/>
        </w:trPr>
        <w:tc>
          <w:tcPr>
            <w:tcW w:w="1211"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居住权状况</w:t>
            </w:r>
          </w:p>
        </w:tc>
        <w:tc>
          <w:tcPr>
            <w:tcW w:w="7544"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无</w:t>
            </w:r>
          </w:p>
        </w:tc>
      </w:tr>
      <w:tr>
        <w:trPr>
          <w:trHeight w:val="216" w:hRule="atLeast"/>
        </w:trPr>
        <w:tc>
          <w:tcPr>
            <w:tcW w:w="1211"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地役权状况</w:t>
            </w:r>
          </w:p>
        </w:tc>
        <w:tc>
          <w:tcPr>
            <w:tcW w:w="7544"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无</w:t>
            </w:r>
          </w:p>
        </w:tc>
      </w:tr>
      <w:tr>
        <w:trPr>
          <w:trHeight w:val="216" w:hRule="atLeast"/>
        </w:trPr>
        <w:tc>
          <w:tcPr>
            <w:tcW w:w="1211"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异议状况</w:t>
            </w:r>
          </w:p>
        </w:tc>
        <w:tc>
          <w:tcPr>
            <w:tcW w:w="7544"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无</w:t>
            </w:r>
          </w:p>
        </w:tc>
      </w:tr>
    </w:tbl>
    <w:p>
      <w:pPr>
        <w:pStyle w:val="Normal"/>
        <w:widowControl/>
        <w:snapToGrid w:val="false"/>
        <w:spacing w:lineRule="auto" w:line="360"/>
        <w:ind w:firstLine="549" w:end="0"/>
        <w:jc w:val="start"/>
        <w:rPr/>
      </w:pPr>
      <w:r>
        <w:rPr/>
        <w:t>估价对象四至清楚、权属明晰，但已设定抵押权，若转让、拆除、改建等应按照相关的法律、法规的规定办理。</w:t>
      </w:r>
    </w:p>
    <w:p>
      <w:pPr>
        <w:pStyle w:val="Heading2"/>
        <w:keepNext w:val="true"/>
        <w:keepLines/>
        <w:spacing w:before="156" w:after="156"/>
        <w:ind w:hanging="0" w:start="0"/>
        <w:jc w:val="both"/>
        <w:rPr>
          <w:rFonts w:ascii="仿宋_GB2312" w:hAnsi="仿宋_GB2312" w:eastAsia="仿宋_GB2312" w:cs="宋体;SimSun"/>
          <w:kern w:val="2"/>
          <w:sz w:val="28"/>
        </w:rPr>
      </w:pPr>
      <w:bookmarkStart w:id="21" w:name="__RefHeading___Toc208393268"/>
      <w:bookmarkEnd w:id="21"/>
      <w:r>
        <w:rPr>
          <w:rFonts w:ascii="仿宋_GB2312" w:hAnsi="仿宋_GB2312" w:cs="宋体;SimSun" w:eastAsia="仿宋_GB2312"/>
          <w:kern w:val="2"/>
          <w:sz w:val="28"/>
        </w:rPr>
        <w:t>三、区位状况描述与分析</w:t>
      </w:r>
    </w:p>
    <w:p>
      <w:pPr>
        <w:pStyle w:val="Normal"/>
        <w:widowControl/>
        <w:snapToGrid w:val="false"/>
        <w:spacing w:lineRule="auto" w:line="360"/>
        <w:ind w:firstLine="549" w:end="0"/>
        <w:jc w:val="start"/>
        <w:rPr>
          <w:b/>
          <w:sz w:val="21"/>
          <w:szCs w:val="21"/>
        </w:rPr>
      </w:pPr>
      <w:r>
        <w:rPr/>
        <w:t>估价对象位于{{房产地址}}，所处小区东邻庙山南路，南邻闲林东路，西临联荣路，北邻空地，周围基础设施完善，公共服务设施齐全，附近有星洲竹影翠庭、华盛星洲翠谷、绿城·樾鸣春晓园等住宅小区，周边住宅小区较多，居住氛围及人文环境较好，自然环境及景观一般，有闲林和睦小学(贤和校区)、七彩汇商业中心、余杭农商银行(闲林支行营业部)、杭州银行(杭州闲林小微支行)等设施，有381路、383M路、506路等多条公交线路通过，公共交通便捷度较好。</w:t>
      </w:r>
    </w:p>
    <w:p>
      <w:pPr>
        <w:pStyle w:val="Normal"/>
        <w:autoSpaceDE w:val="false"/>
        <w:snapToGrid w:val="false"/>
        <w:spacing w:lineRule="auto" w:line="360"/>
        <w:ind w:firstLine="560" w:end="0"/>
        <w:textAlignment w:val="bottom"/>
        <w:rPr>
          <w:rStyle w:val="s14"/>
        </w:rPr>
      </w:pPr>
      <w:r>
        <w:rPr>
          <w:rStyle w:val="s14"/>
        </w:rPr>
        <w:t>从区位状况看，该区域</w:t>
      </w:r>
      <w:r>
        <w:rPr/>
        <w:t>居住氛围及人文环境较好，自然环境及景观一般</w:t>
      </w:r>
      <w:r>
        <w:rPr>
          <w:rStyle w:val="s14"/>
        </w:rPr>
        <w:t>，对住宅房地产价格无特殊影响。</w:t>
      </w:r>
      <w:r>
        <w:rPr>
          <w:rStyle w:val="s12"/>
          <w:rFonts w:cs="仿宋_GB2312"/>
          <w:kern w:val="0"/>
          <w:szCs w:val="20"/>
        </w:rPr>
        <w:t>由于</w:t>
      </w:r>
      <w:r>
        <w:rPr>
          <w:rStyle w:val="s14"/>
        </w:rPr>
        <w:t>估价对象</w:t>
      </w:r>
      <w:r>
        <w:rPr>
          <w:rStyle w:val="s12"/>
          <w:rFonts w:cs="仿宋_GB2312"/>
          <w:kern w:val="0"/>
          <w:szCs w:val="20"/>
        </w:rPr>
        <w:t>所处区域公共服务设施已趋于完善，该区域的未来趋势变化较稳定。</w:t>
      </w:r>
    </w:p>
    <w:p>
      <w:pPr>
        <w:pStyle w:val="Heading2"/>
        <w:keepNext w:val="true"/>
        <w:keepLines/>
        <w:spacing w:before="156" w:after="156"/>
        <w:ind w:hanging="0" w:start="0"/>
        <w:jc w:val="both"/>
        <w:rPr>
          <w:rFonts w:ascii="仿宋_GB2312" w:hAnsi="仿宋_GB2312" w:eastAsia="仿宋_GB2312" w:cs="宋体;SimSun"/>
          <w:kern w:val="2"/>
          <w:sz w:val="28"/>
        </w:rPr>
      </w:pPr>
      <w:bookmarkStart w:id="22" w:name="__RefHeading___Toc208393269"/>
      <w:r>
        <w:rPr>
          <w:rFonts w:ascii="仿宋_GB2312" w:hAnsi="仿宋_GB2312" w:cs="宋体;SimSun" w:eastAsia="仿宋_GB2312"/>
          <w:kern w:val="2"/>
          <w:sz w:val="28"/>
        </w:rPr>
        <w:t>四、市场背景描述与分析</w:t>
      </w:r>
      <w:bookmarkEnd w:id="22"/>
      <w:r>
        <w:rPr>
          <w:rFonts w:ascii="仿宋_GB2312" w:hAnsi="仿宋_GB2312" w:cs="宋体;SimSun" w:eastAsia="仿宋_GB2312"/>
          <w:kern w:val="2"/>
          <w:sz w:val="28"/>
        </w:rPr>
        <w:t xml:space="preserve"> </w:t>
      </w:r>
    </w:p>
    <w:p>
      <w:pPr>
        <w:pStyle w:val="Normal"/>
        <w:autoSpaceDE w:val="false"/>
        <w:snapToGrid w:val="false"/>
        <w:spacing w:lineRule="auto" w:line="360"/>
        <w:ind w:firstLine="560" w:end="0"/>
        <w:textAlignment w:val="bottom"/>
        <w:rPr/>
      </w:pPr>
      <w:r>
        <w:rPr/>
        <w:t>（一）全国投资环境分析</w:t>
      </w:r>
    </w:p>
    <w:p>
      <w:pPr>
        <w:pStyle w:val="Normal"/>
        <w:autoSpaceDE w:val="false"/>
        <w:snapToGrid w:val="false"/>
        <w:spacing w:lineRule="auto" w:line="360"/>
        <w:ind w:firstLine="560" w:end="0"/>
        <w:jc w:val="start"/>
        <w:textAlignment w:val="bottom"/>
        <w:rPr/>
      </w:pPr>
      <w:r>
        <w:rPr/>
        <w:t>1、全国总体宏观经济环境</w:t>
      </w:r>
    </w:p>
    <w:p>
      <w:pPr>
        <w:pStyle w:val="Normal"/>
        <w:autoSpaceDE w:val="false"/>
        <w:snapToGrid w:val="false"/>
        <w:spacing w:lineRule="auto" w:line="360"/>
        <w:ind w:firstLine="560" w:end="0"/>
        <w:jc w:val="start"/>
        <w:textAlignment w:val="bottom"/>
        <w:rPr/>
      </w:pPr>
      <w:r>
        <w:rPr>
          <w:szCs w:val="28"/>
        </w:rPr>
        <w:t>2024年全国实现国内生产总值1349084亿元，比上年增长5.0%，其中第一产业增加值91414亿元，比上年增长3.5%；第二产业增加值492087亿元，增长5.3%；第三产业增加值765583亿元，增长5.0%。2024年全国规模以上工业增加值比上年增长5.8%；</w:t>
      </w:r>
      <w:bookmarkStart w:id="23" w:name="OLE_LINK1"/>
      <w:bookmarkStart w:id="24" w:name="OLE_LINK2"/>
      <w:r>
        <w:rPr>
          <w:szCs w:val="28"/>
        </w:rPr>
        <w:t>居民消费价格（CPI）</w:t>
      </w:r>
      <w:bookmarkEnd w:id="23"/>
      <w:bookmarkEnd w:id="24"/>
      <w:r>
        <w:rPr>
          <w:szCs w:val="28"/>
        </w:rPr>
        <w:t>比上年上涨0.2%；全国居民人均可支配收入41314元，比上年名义增长5.3%。2024年是实现“十四五”规划目标任务的关键一年，面对外部压力与内部困难叠加的复杂严峻形势，党中央因时因势加强和创新宏观调控，特别是9月26日中央政治局会议果断部署一揽子增量政策，推动经济运行明显回升，社会信心有效提振，对发展预期目标顺利实现起到了决定性作用。中国经济沿着高质量发展轨道乘风破浪、稳健前行，“稳”的态势巩固延续，“进”的步伐坚实有力，“新”的动能逐步壮大。展望2025年，中国经济发展面临的机遇与挑战并存，外部环境变化带来的不利影响可能加深，但我国经济发展长期向好的支撑条件和基本趋势没有改变，推动经济稳定发展的有利因素仍然不少。外部环境危中有机、危中育机将为应变局开新局拓展空间，进一步全面深化改革将不断激发和增强经济活力，因地制宜发展新质生产力将培育更多新增长点，畅通国内大循环将增强经济发展的稳定性，宏观经济治理体系不断健全将进一步强化应对复杂局面的能力，推动经济持续回升向好。</w:t>
      </w:r>
    </w:p>
    <w:p>
      <w:pPr>
        <w:pStyle w:val="Normal"/>
        <w:autoSpaceDE w:val="false"/>
        <w:snapToGrid w:val="false"/>
        <w:spacing w:lineRule="auto" w:line="360"/>
        <w:ind w:firstLine="560" w:end="0"/>
        <w:jc w:val="start"/>
        <w:textAlignment w:val="bottom"/>
        <w:rPr/>
      </w:pPr>
      <w:r>
        <w:rPr/>
        <w:t>2、全国房地产宏观政策</w:t>
      </w:r>
    </w:p>
    <w:p>
      <w:pPr>
        <w:pStyle w:val="Normal"/>
        <w:autoSpaceDE w:val="false"/>
        <w:snapToGrid w:val="false"/>
        <w:spacing w:lineRule="auto" w:line="360"/>
        <w:ind w:firstLine="560" w:end="0"/>
        <w:jc w:val="start"/>
        <w:textAlignment w:val="bottom"/>
        <w:rPr>
          <w:szCs w:val="28"/>
        </w:rPr>
      </w:pPr>
      <w:r>
        <w:rPr>
          <w:szCs w:val="28"/>
        </w:rPr>
        <w:t>2024年中央果断出台稳地产政策并持续升级，从4月中央政治局会议提出“消化存量、优化增量”，到9月“促进房地产市场止跌回稳”，再到12月“稳住楼市”，从供需两端发力稳定房地产市场。10月以来居民购房需求明显回暖，楼市出现阶段性企稳向好迹象，新房销售和二手房成交量上升、一线城市房价与地价止跌、商品房库存去化周期缩短；但是仍面临一系列问题，房地产投资仍持续低迷、多数城市房价仍在下跌、土地出让收入下滑冲击地方财政、房企债务风险仍需进一步化解。</w:t>
      </w:r>
    </w:p>
    <w:p>
      <w:pPr>
        <w:pStyle w:val="Normal"/>
        <w:autoSpaceDE w:val="false"/>
        <w:snapToGrid w:val="false"/>
        <w:spacing w:lineRule="auto" w:line="360"/>
        <w:ind w:firstLine="560" w:end="0"/>
        <w:jc w:val="start"/>
        <w:textAlignment w:val="bottom"/>
        <w:rPr/>
      </w:pPr>
      <w:r>
        <w:rPr>
          <w:szCs w:val="28"/>
        </w:rPr>
        <w:t>展望2025年，中央经济工作会议定调要“持续用力推动房地产市场止跌回稳”，全国住建工作会议明确2025年任务方向，预计房地产政策将保持延续性，下阶段有望继续围绕促进需求、优化供给两个方面展开，加快政策落实。促进需求方面，一是加大力度推进货币化安置城中村改造和危旧房改造，释放增量住房需求；二是一线城市限制性政策有望继续优化，取消郊区或大户型限购政策存在预期；三是加大购房补贴等鼓励性政策或将在更多城市落地，带动需求释放。优化供给方面，重点或在于去库存政策的加快落地推进，一是专项债收购存量闲置土地的配套政策有望继续完善，加速推动土地“去库存”；二是完善存量商品房收储政策，促进存量商品房去化；三是盘活商办用房改为租赁住房等。</w:t>
      </w:r>
    </w:p>
    <w:p>
      <w:pPr>
        <w:pStyle w:val="Normal"/>
        <w:autoSpaceDE w:val="false"/>
        <w:snapToGrid w:val="false"/>
        <w:spacing w:lineRule="auto" w:line="360"/>
        <w:ind w:firstLine="560" w:end="0"/>
        <w:jc w:val="start"/>
        <w:textAlignment w:val="bottom"/>
        <w:rPr/>
      </w:pPr>
      <w:r>
        <w:rPr/>
        <w:t>3、全国房地产市场运行情况</w:t>
      </w:r>
    </w:p>
    <w:p>
      <w:pPr>
        <w:pStyle w:val="Normal"/>
        <w:autoSpaceDE w:val="false"/>
        <w:snapToGrid w:val="false"/>
        <w:spacing w:lineRule="auto" w:line="360"/>
        <w:ind w:firstLine="560" w:end="0"/>
        <w:jc w:val="start"/>
        <w:textAlignment w:val="bottom"/>
        <w:rPr/>
      </w:pPr>
      <w:r>
        <w:rPr>
          <w:szCs w:val="28"/>
        </w:rPr>
        <w:t>2024年全国房地产开发投资100280亿元，比上年下降10.6%，其中住宅房地产投资76040亿元，下降10.5%；办公房地产投资4160亿元，下降9 %；商业营业用房投资6944亿元，下降13.9%。2024年全国新建商品房销售面积97385万平方米，比上年下降12.9%，其中住宅房地产销售面积下降14.1%；全国新建商品房销售额96750亿元，下降17.1%，其中住宅房地产销售额下降17.6%。2024年年末全国商品房待售面积75327万平方米，比上年末增长10.6%，其中住宅房地产待售面积增长16.2%。</w:t>
      </w:r>
    </w:p>
    <w:p>
      <w:pPr>
        <w:pStyle w:val="Normal"/>
        <w:autoSpaceDE w:val="false"/>
        <w:snapToGrid w:val="false"/>
        <w:spacing w:lineRule="auto" w:line="360"/>
        <w:ind w:firstLine="560" w:end="0"/>
        <w:jc w:val="start"/>
        <w:textAlignment w:val="bottom"/>
        <w:rPr>
          <w:szCs w:val="28"/>
        </w:rPr>
      </w:pPr>
      <w:r>
        <w:rPr>
          <w:szCs w:val="28"/>
        </w:rPr>
        <w:t>2024年我国房地产市场仍呈现调整态势，主要体现在以下几个方面：</w:t>
      </w:r>
    </w:p>
    <w:p>
      <w:pPr>
        <w:pStyle w:val="Normal"/>
        <w:autoSpaceDE w:val="false"/>
        <w:snapToGrid w:val="false"/>
        <w:spacing w:lineRule="auto" w:line="360"/>
        <w:ind w:firstLine="560" w:end="0"/>
        <w:jc w:val="start"/>
        <w:textAlignment w:val="bottom"/>
        <w:rPr/>
      </w:pPr>
      <w:r>
        <w:rPr>
          <w:szCs w:val="28"/>
        </w:rPr>
        <w:t>（1）价格方面：2024年全国百城新建住宅价格累计结构性上涨2.68%，较2023年提升2.41个百分点。2024年以来，受改善型楼盘入市带动，百城新建住宅价格月度环比均呈结构性上涨态势；二手房方面，2024年百城二手房价格累计下跌7.26%，环比已连续下跌32个月，2024年9月底新政后核心城市价格有所趋稳，2024年11月和12月分别有4个和2个城市二手房价格环比上涨，结束百城二手房价格连续7个月全跌的局面。</w:t>
      </w:r>
    </w:p>
    <w:p>
      <w:pPr>
        <w:pStyle w:val="Normal"/>
        <w:autoSpaceDE w:val="false"/>
        <w:snapToGrid w:val="false"/>
        <w:spacing w:lineRule="auto" w:line="360"/>
        <w:ind w:firstLine="560" w:end="0"/>
        <w:jc w:val="start"/>
        <w:textAlignment w:val="bottom"/>
        <w:rPr/>
      </w:pPr>
      <w:r>
        <w:rPr>
          <w:szCs w:val="28"/>
        </w:rPr>
        <w:t>（2）成交量方面：2024年新房销售规模继续下行，全国新建商品房销售面积9.7亿平方米，同比下降12.8%；商品房销售额9.7万亿元，同比下降17%。重点城市方面，2024年重点100城新建商品住宅销售面积同比下降约19%。</w:t>
      </w:r>
    </w:p>
    <w:p>
      <w:pPr>
        <w:pStyle w:val="Normal"/>
        <w:autoSpaceDE w:val="false"/>
        <w:snapToGrid w:val="false"/>
        <w:spacing w:lineRule="auto" w:line="360"/>
        <w:ind w:firstLine="560" w:end="0"/>
        <w:jc w:val="start"/>
        <w:textAlignment w:val="bottom"/>
        <w:rPr/>
      </w:pPr>
      <w:r>
        <w:rPr>
          <w:szCs w:val="28"/>
        </w:rPr>
        <w:t>（3）土地市场方面：2024年300城住宅用地成交规划建面同比下降超两成，土地出让金同比下降28%，出让金规模仅为2020年高点四成左右。各线城市成交规模均缩减，一线城市土地出让金占比提升，房企拿地更加聚焦；前20城住宅用地出让金占比超全国半数。土地拍卖市场整体维持点状高热、持续分化的趋势。</w:t>
      </w:r>
    </w:p>
    <w:p>
      <w:pPr>
        <w:pStyle w:val="Normal"/>
        <w:autoSpaceDE w:val="false"/>
        <w:snapToGrid w:val="false"/>
        <w:spacing w:lineRule="auto" w:line="360"/>
        <w:ind w:firstLine="560" w:end="0"/>
        <w:jc w:val="start"/>
        <w:textAlignment w:val="bottom"/>
        <w:rPr>
          <w:szCs w:val="28"/>
        </w:rPr>
      </w:pPr>
      <w:r>
        <w:rPr/>
        <w:t>2024年全国房地产市场整体呈现调整态势，政策调控持续发力，坚持“房住不炒”定位，多地因城施策优化限购、限贷政策，支持刚性和改善性住房需求。一线城市房价趋于稳定，部分二、三线城市因库存压力出现小幅回调；房企融资环境有所改善，但行业集中度进一步提升，部分中小房企仍面临资金链压力。总体来看，房地产市场逐步回归理性，长期健康发展趋势明显。</w:t>
      </w:r>
    </w:p>
    <w:p>
      <w:pPr>
        <w:pStyle w:val="Normal"/>
        <w:autoSpaceDE w:val="false"/>
        <w:snapToGrid w:val="false"/>
        <w:spacing w:lineRule="auto" w:line="360"/>
        <w:ind w:firstLine="560" w:end="0"/>
        <w:jc w:val="start"/>
        <w:textAlignment w:val="bottom"/>
        <w:rPr/>
      </w:pPr>
      <w:r>
        <w:rPr/>
        <w:t>（二）区域投资环境分析</w:t>
      </w:r>
    </w:p>
    <w:p>
      <w:pPr>
        <w:pStyle w:val="Normal"/>
        <w:autoSpaceDE w:val="false"/>
        <w:snapToGrid w:val="false"/>
        <w:spacing w:lineRule="auto" w:line="360"/>
        <w:ind w:firstLine="560" w:end="0"/>
        <w:jc w:val="start"/>
        <w:textAlignment w:val="bottom"/>
        <w:rPr/>
      </w:pPr>
      <w:r>
        <w:rPr/>
        <w:t>1、杭州市总体宏观经济环境</w:t>
      </w:r>
    </w:p>
    <w:p>
      <w:pPr>
        <w:pStyle w:val="Normal"/>
        <w:autoSpaceDE w:val="false"/>
        <w:snapToGrid w:val="false"/>
        <w:spacing w:lineRule="auto" w:line="360"/>
        <w:ind w:firstLine="560" w:end="0"/>
        <w:jc w:val="start"/>
        <w:textAlignment w:val="bottom"/>
        <w:rPr/>
      </w:pPr>
      <w:r>
        <w:rPr/>
        <w:t>2024年杭州市地区生产总值为21860亿元，比上年增长4.7%。分产业看，第一产业增加值369亿元，增长3.3%；第二产业增加值5529亿元，增长3.8%；第三产业增加值15962亿元，增长5.0%。三次产业结构为1.7：25.3：73。2024年杭州市规模以上工业增加值4409亿元，比上年增长4.0%。新兴动能持续积蓄，其中高端装备制造业、战略性新兴产业增加值分别增长5.5%和5.0%，高于规模以上工业增加值增速1.5和1.0个百分点。2024年杭州市数字经济核心产业增加值6305亿元，增长7.1%，高于GDP增速2.4个百分点，占GDP比重达28.8%，数字经济比重再创新高。杭州市工业投资增长1.9%，占固定资产投资的14.5%，比上年提高0.7个百分点，通用设备制造业、专用设备制造业、汽车制造业投资分别增长8.9%、17.0%和31.0%。</w:t>
      </w:r>
    </w:p>
    <w:p>
      <w:pPr>
        <w:pStyle w:val="Normal"/>
        <w:autoSpaceDE w:val="false"/>
        <w:snapToGrid w:val="false"/>
        <w:spacing w:lineRule="auto" w:line="360"/>
        <w:ind w:firstLine="560" w:end="0"/>
        <w:jc w:val="start"/>
        <w:textAlignment w:val="bottom"/>
        <w:rPr/>
      </w:pPr>
      <w:r>
        <w:rPr/>
        <w:t>2024年杭州市经济保持稳健增长，数字经济、制造业和服务业协同发力，成为经济增长的主要动力。数字经济核心产业增加值持续提升，人工智能、云计算和大数据等领域表现突出；固定资产投资稳步增长，基础设施建设和产业升级项目推进顺利；消费市场逐步复苏，文旅、电商和新零售表现亮眼；外贸出口结构优化，高新技术产品出口占比提高。总体来看，杭州市经济韧性较强，高质量发展成效显著。2025年杭州市经济有望保持持续增长，数字经济和创新驱动仍是核心引擎。随着亚运会后续效应的释放，杭州市城市国际化水平和产业竞争力将进一步提升。预计杭州市在绿色经济、智能制造和现代服务业等领域会有更多突破；消费市场将进一步回暖，新兴消费模式持续活跃；将深化对外开放，拓展“一带一路”市场，推动跨境电商高质量发展。总体来看，在外部环境不确定性增加和产业结构优化面临挑战的情况下，杭州市经济将延续高质量发展态势。</w:t>
      </w:r>
    </w:p>
    <w:p>
      <w:pPr>
        <w:pStyle w:val="Normal"/>
        <w:autoSpaceDE w:val="false"/>
        <w:snapToGrid w:val="false"/>
        <w:spacing w:lineRule="auto" w:line="360"/>
        <w:ind w:firstLine="560" w:end="0"/>
        <w:jc w:val="start"/>
        <w:textAlignment w:val="bottom"/>
        <w:rPr/>
      </w:pPr>
      <w:r>
        <w:rPr/>
        <w:t xml:space="preserve">2、杭州市房地产调控政策分析 </w:t>
      </w:r>
    </w:p>
    <w:tbl>
      <w:tblPr>
        <w:tblW w:w="8040" w:type="dxa"/>
        <w:jc w:val="start"/>
        <w:tblInd w:w="243" w:type="dxa"/>
        <w:tblLayout w:type="fixed"/>
        <w:tblCellMar>
          <w:top w:w="0" w:type="dxa"/>
          <w:start w:w="108" w:type="dxa"/>
          <w:bottom w:w="0" w:type="dxa"/>
          <w:end w:w="108" w:type="dxa"/>
        </w:tblCellMar>
      </w:tblPr>
      <w:tblGrid>
        <w:gridCol w:w="999"/>
        <w:gridCol w:w="1221"/>
        <w:gridCol w:w="5820"/>
      </w:tblGrid>
      <w:tr>
        <w:trPr/>
        <w:tc>
          <w:tcPr>
            <w:tcW w:w="99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00"/>
              <w:jc w:val="center"/>
              <w:rPr>
                <w:rFonts w:ascii="宋体;SimSun" w:hAnsi="宋体;SimSun" w:eastAsia="宋体;SimSun"/>
                <w:b/>
                <w:kern w:val="0"/>
                <w:sz w:val="20"/>
                <w:szCs w:val="20"/>
              </w:rPr>
            </w:pPr>
            <w:r>
              <w:rPr>
                <w:rFonts w:eastAsia="宋体;SimSun" w:ascii="宋体;SimSun" w:hAnsi="宋体;SimSun"/>
                <w:b/>
                <w:kern w:val="0"/>
                <w:sz w:val="20"/>
                <w:szCs w:val="20"/>
              </w:rPr>
            </w:r>
          </w:p>
        </w:tc>
        <w:tc>
          <w:tcPr>
            <w:tcW w:w="12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宋体;SimSun" w:hAnsi="宋体;SimSun" w:eastAsia="宋体;SimSun"/>
                <w:b/>
                <w:kern w:val="0"/>
                <w:sz w:val="20"/>
                <w:szCs w:val="20"/>
              </w:rPr>
            </w:pPr>
            <w:r>
              <w:rPr>
                <w:rFonts w:ascii="宋体;SimSun" w:hAnsi="宋体;SimSun" w:eastAsia="宋体;SimSun"/>
                <w:b/>
                <w:kern w:val="0"/>
                <w:sz w:val="20"/>
                <w:szCs w:val="20"/>
              </w:rPr>
              <w:t>时间</w:t>
            </w:r>
          </w:p>
        </w:tc>
        <w:tc>
          <w:tcPr>
            <w:tcW w:w="582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宋体;SimSun" w:hAnsi="宋体;SimSun" w:eastAsia="宋体;SimSun"/>
                <w:b/>
                <w:kern w:val="0"/>
                <w:sz w:val="20"/>
                <w:szCs w:val="20"/>
              </w:rPr>
            </w:pPr>
            <w:r>
              <w:rPr>
                <w:rFonts w:ascii="宋体;SimSun" w:hAnsi="宋体;SimSun" w:eastAsia="宋体;SimSun"/>
                <w:b/>
                <w:kern w:val="0"/>
                <w:sz w:val="20"/>
                <w:szCs w:val="20"/>
              </w:rPr>
              <w:t>内容</w:t>
            </w:r>
          </w:p>
        </w:tc>
      </w:tr>
      <w:tr>
        <w:trPr/>
        <w:tc>
          <w:tcPr>
            <w:tcW w:w="999"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360"/>
              <w:jc w:val="center"/>
              <w:textAlignment w:val="bottom"/>
              <w:rPr>
                <w:rFonts w:ascii="宋体;SimSun" w:hAnsi="宋体;SimSun" w:eastAsia="宋体;SimSun"/>
                <w:b/>
                <w:kern w:val="0"/>
                <w:sz w:val="22"/>
              </w:rPr>
            </w:pPr>
            <w:r>
              <w:rPr>
                <w:rFonts w:ascii="宋体;SimSun" w:hAnsi="宋体;SimSun" w:eastAsia="宋体;SimSun"/>
                <w:b/>
                <w:kern w:val="0"/>
                <w:sz w:val="22"/>
              </w:rPr>
              <w:t>全国调控政策</w:t>
            </w:r>
          </w:p>
        </w:tc>
        <w:tc>
          <w:tcPr>
            <w:tcW w:w="12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宋体;SimSun" w:hAnsi="宋体;SimSun" w:eastAsia="宋体;SimSun"/>
                <w:kern w:val="0"/>
                <w:sz w:val="20"/>
                <w:szCs w:val="20"/>
              </w:rPr>
            </w:pPr>
            <w:r>
              <w:rPr>
                <w:rFonts w:eastAsia="宋体;SimSun" w:ascii="宋体;SimSun" w:hAnsi="宋体;SimSun"/>
                <w:kern w:val="0"/>
                <w:sz w:val="20"/>
                <w:szCs w:val="20"/>
              </w:rPr>
              <w:t>2022</w:t>
            </w:r>
            <w:r>
              <w:rPr>
                <w:rFonts w:ascii="宋体;SimSun" w:hAnsi="宋体;SimSun" w:eastAsia="宋体;SimSun"/>
                <w:kern w:val="0"/>
                <w:sz w:val="20"/>
                <w:szCs w:val="20"/>
              </w:rPr>
              <w:t>年</w:t>
            </w:r>
            <w:r>
              <w:rPr>
                <w:rFonts w:eastAsia="宋体;SimSun" w:ascii="宋体;SimSun" w:hAnsi="宋体;SimSun"/>
                <w:kern w:val="0"/>
                <w:sz w:val="20"/>
                <w:szCs w:val="20"/>
              </w:rPr>
              <w:t>12</w:t>
            </w:r>
            <w:r>
              <w:rPr>
                <w:rFonts w:ascii="宋体;SimSun" w:hAnsi="宋体;SimSun" w:eastAsia="宋体;SimSun"/>
                <w:kern w:val="0"/>
                <w:sz w:val="20"/>
                <w:szCs w:val="20"/>
              </w:rPr>
              <w:t>月</w:t>
            </w:r>
            <w:r>
              <w:rPr>
                <w:rFonts w:eastAsia="宋体;SimSun" w:ascii="宋体;SimSun" w:hAnsi="宋体;SimSun"/>
                <w:kern w:val="0"/>
                <w:sz w:val="20"/>
                <w:szCs w:val="20"/>
              </w:rPr>
              <w:t>15–16</w:t>
            </w:r>
            <w:r>
              <w:rPr>
                <w:rFonts w:ascii="宋体;SimSun" w:hAnsi="宋体;SimSun" w:eastAsia="宋体;SimSun"/>
                <w:kern w:val="0"/>
                <w:sz w:val="20"/>
                <w:szCs w:val="20"/>
              </w:rPr>
              <w:t>日</w:t>
            </w:r>
          </w:p>
        </w:tc>
        <w:tc>
          <w:tcPr>
            <w:tcW w:w="582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eastAsia="宋体;SimSun"/>
                <w:kern w:val="0"/>
                <w:sz w:val="20"/>
                <w:szCs w:val="20"/>
              </w:rPr>
            </w:pPr>
            <w:r>
              <w:rPr>
                <w:rFonts w:ascii="宋体;SimSun" w:hAnsi="宋体;SimSun" w:eastAsia="宋体;SimSun"/>
                <w:kern w:val="0"/>
                <w:sz w:val="20"/>
                <w:szCs w:val="20"/>
              </w:rPr>
              <w:t>中央经济工作会议强调：要确保房地产市场平稳发展，扎实做好保交楼、保民生、保稳定各项工作，满足行业合理融资需求。</w:t>
            </w:r>
          </w:p>
        </w:tc>
      </w:tr>
      <w:tr>
        <w:trPr/>
        <w:tc>
          <w:tcPr>
            <w:tcW w:w="99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360"/>
              <w:jc w:val="start"/>
              <w:textAlignment w:val="bottom"/>
              <w:rPr>
                <w:rFonts w:ascii="宋体;SimSun" w:hAnsi="宋体;SimSun" w:eastAsia="宋体;SimSun"/>
                <w:kern w:val="0"/>
                <w:sz w:val="20"/>
                <w:szCs w:val="20"/>
              </w:rPr>
            </w:pPr>
            <w:r>
              <w:rPr>
                <w:rFonts w:eastAsia="宋体;SimSun" w:ascii="宋体;SimSun" w:hAnsi="宋体;SimSun"/>
                <w:kern w:val="0"/>
                <w:sz w:val="20"/>
                <w:szCs w:val="20"/>
              </w:rPr>
            </w:r>
          </w:p>
        </w:tc>
        <w:tc>
          <w:tcPr>
            <w:tcW w:w="12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宋体;SimSun" w:hAnsi="宋体;SimSun" w:eastAsia="宋体;SimSun"/>
                <w:kern w:val="0"/>
                <w:sz w:val="20"/>
                <w:szCs w:val="20"/>
                <w:highlight w:val="yellow"/>
              </w:rPr>
            </w:pPr>
            <w:r>
              <w:rPr>
                <w:rFonts w:eastAsia="宋体;SimSun" w:ascii="宋体;SimSun" w:hAnsi="宋体;SimSun"/>
                <w:kern w:val="0"/>
                <w:sz w:val="20"/>
                <w:szCs w:val="20"/>
              </w:rPr>
              <w:t>2023</w:t>
            </w:r>
            <w:r>
              <w:rPr>
                <w:rFonts w:ascii="宋体;SimSun" w:hAnsi="宋体;SimSun" w:eastAsia="宋体;SimSun"/>
                <w:kern w:val="0"/>
                <w:sz w:val="20"/>
                <w:szCs w:val="20"/>
              </w:rPr>
              <w:t>年</w:t>
            </w:r>
            <w:r>
              <w:rPr>
                <w:rFonts w:eastAsia="宋体;SimSun" w:ascii="宋体;SimSun" w:hAnsi="宋体;SimSun"/>
                <w:kern w:val="0"/>
                <w:sz w:val="20"/>
                <w:szCs w:val="20"/>
              </w:rPr>
              <w:t>1</w:t>
            </w:r>
            <w:r>
              <w:rPr>
                <w:rFonts w:ascii="宋体;SimSun" w:hAnsi="宋体;SimSun" w:eastAsia="宋体;SimSun"/>
                <w:kern w:val="0"/>
                <w:sz w:val="20"/>
                <w:szCs w:val="20"/>
              </w:rPr>
              <w:t>月</w:t>
            </w:r>
            <w:r>
              <w:rPr>
                <w:rFonts w:eastAsia="宋体;SimSun" w:ascii="宋体;SimSun" w:hAnsi="宋体;SimSun"/>
                <w:kern w:val="0"/>
                <w:sz w:val="20"/>
                <w:szCs w:val="20"/>
              </w:rPr>
              <w:t>5</w:t>
            </w:r>
            <w:r>
              <w:rPr>
                <w:rFonts w:ascii="宋体;SimSun" w:hAnsi="宋体;SimSun" w:eastAsia="宋体;SimSun"/>
                <w:kern w:val="0"/>
                <w:sz w:val="20"/>
                <w:szCs w:val="20"/>
              </w:rPr>
              <w:t>日</w:t>
            </w:r>
          </w:p>
        </w:tc>
        <w:tc>
          <w:tcPr>
            <w:tcW w:w="582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eastAsia="宋体;SimSun"/>
                <w:kern w:val="0"/>
                <w:sz w:val="20"/>
                <w:szCs w:val="20"/>
                <w:highlight w:val="yellow"/>
              </w:rPr>
            </w:pPr>
            <w:r>
              <w:rPr>
                <w:rFonts w:ascii="宋体;SimSun" w:hAnsi="宋体;SimSun" w:eastAsia="宋体;SimSun"/>
                <w:kern w:val="0"/>
                <w:sz w:val="20"/>
                <w:szCs w:val="20"/>
              </w:rPr>
              <w:t>央行、银保监会建立首套住房贷款利率政策动态调整机制：对于评估期内新建商品住宅销售价格环比和同比连续</w:t>
            </w:r>
            <w:r>
              <w:rPr>
                <w:rFonts w:eastAsia="宋体;SimSun" w:ascii="宋体;SimSun" w:hAnsi="宋体;SimSun"/>
                <w:kern w:val="0"/>
                <w:sz w:val="20"/>
                <w:szCs w:val="20"/>
              </w:rPr>
              <w:t>3</w:t>
            </w:r>
            <w:r>
              <w:rPr>
                <w:rFonts w:ascii="宋体;SimSun" w:hAnsi="宋体;SimSun" w:eastAsia="宋体;SimSun"/>
                <w:kern w:val="0"/>
                <w:sz w:val="20"/>
                <w:szCs w:val="20"/>
              </w:rPr>
              <w:t>个月均下降的城市，阶段性放宽首套住房商业性个人住房贷款利率下限。</w:t>
            </w:r>
          </w:p>
        </w:tc>
      </w:tr>
      <w:tr>
        <w:trPr/>
        <w:tc>
          <w:tcPr>
            <w:tcW w:w="99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360"/>
              <w:jc w:val="start"/>
              <w:textAlignment w:val="bottom"/>
              <w:rPr>
                <w:rFonts w:ascii="宋体;SimSun" w:hAnsi="宋体;SimSun" w:eastAsia="宋体;SimSun"/>
                <w:kern w:val="0"/>
                <w:sz w:val="20"/>
                <w:szCs w:val="20"/>
                <w:highlight w:val="yellow"/>
              </w:rPr>
            </w:pPr>
            <w:r>
              <w:rPr>
                <w:rFonts w:eastAsia="宋体;SimSun" w:ascii="宋体;SimSun" w:hAnsi="宋体;SimSun"/>
                <w:kern w:val="0"/>
                <w:sz w:val="20"/>
                <w:szCs w:val="20"/>
                <w:highlight w:val="yellow"/>
              </w:rPr>
            </w:r>
          </w:p>
        </w:tc>
        <w:tc>
          <w:tcPr>
            <w:tcW w:w="12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宋体;SimSun" w:hAnsi="宋体;SimSun" w:eastAsia="宋体;SimSun"/>
                <w:kern w:val="0"/>
                <w:sz w:val="20"/>
                <w:szCs w:val="20"/>
                <w:highlight w:val="yellow"/>
              </w:rPr>
            </w:pPr>
            <w:r>
              <w:rPr>
                <w:rFonts w:eastAsia="宋体;SimSun" w:ascii="宋体;SimSun" w:hAnsi="宋体;SimSun"/>
                <w:kern w:val="0"/>
                <w:sz w:val="20"/>
                <w:szCs w:val="20"/>
              </w:rPr>
              <w:t>2023</w:t>
            </w:r>
            <w:r>
              <w:rPr>
                <w:rFonts w:ascii="宋体;SimSun" w:hAnsi="宋体;SimSun" w:eastAsia="宋体;SimSun"/>
                <w:kern w:val="0"/>
                <w:sz w:val="20"/>
                <w:szCs w:val="20"/>
              </w:rPr>
              <w:t>年</w:t>
            </w:r>
            <w:r>
              <w:rPr>
                <w:rFonts w:eastAsia="宋体;SimSun" w:ascii="宋体;SimSun" w:hAnsi="宋体;SimSun"/>
                <w:kern w:val="0"/>
                <w:sz w:val="20"/>
                <w:szCs w:val="20"/>
              </w:rPr>
              <w:t>1</w:t>
            </w:r>
            <w:r>
              <w:rPr>
                <w:rFonts w:ascii="宋体;SimSun" w:hAnsi="宋体;SimSun" w:eastAsia="宋体;SimSun"/>
                <w:kern w:val="0"/>
                <w:sz w:val="20"/>
                <w:szCs w:val="20"/>
              </w:rPr>
              <w:t>月</w:t>
            </w:r>
            <w:r>
              <w:rPr>
                <w:rFonts w:eastAsia="宋体;SimSun" w:ascii="宋体;SimSun" w:hAnsi="宋体;SimSun"/>
                <w:kern w:val="0"/>
                <w:sz w:val="20"/>
                <w:szCs w:val="20"/>
              </w:rPr>
              <w:t>13</w:t>
            </w:r>
            <w:r>
              <w:rPr>
                <w:rFonts w:ascii="宋体;SimSun" w:hAnsi="宋体;SimSun" w:eastAsia="宋体;SimSun"/>
                <w:kern w:val="0"/>
                <w:sz w:val="20"/>
                <w:szCs w:val="20"/>
              </w:rPr>
              <w:t>日</w:t>
            </w:r>
          </w:p>
        </w:tc>
        <w:tc>
          <w:tcPr>
            <w:tcW w:w="582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eastAsia="宋体;SimSun"/>
                <w:kern w:val="0"/>
                <w:sz w:val="20"/>
                <w:szCs w:val="20"/>
                <w:highlight w:val="yellow"/>
              </w:rPr>
            </w:pPr>
            <w:r>
              <w:rPr>
                <w:rFonts w:ascii="宋体;SimSun" w:hAnsi="宋体;SimSun" w:eastAsia="宋体;SimSun"/>
                <w:kern w:val="0"/>
                <w:sz w:val="20"/>
                <w:szCs w:val="20"/>
              </w:rPr>
              <w:t>央行明确金融支持房地产的四大政策方向：需求端差别化信贷支持、完善保交楼政策工具、改善优质房企资产负债表、完善住房租赁金融支持政策。</w:t>
            </w:r>
          </w:p>
        </w:tc>
      </w:tr>
      <w:tr>
        <w:trPr/>
        <w:tc>
          <w:tcPr>
            <w:tcW w:w="99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360"/>
              <w:jc w:val="start"/>
              <w:textAlignment w:val="bottom"/>
              <w:rPr>
                <w:rFonts w:ascii="宋体;SimSun" w:hAnsi="宋体;SimSun" w:eastAsia="宋体;SimSun"/>
                <w:kern w:val="0"/>
                <w:sz w:val="20"/>
                <w:szCs w:val="20"/>
                <w:highlight w:val="yellow"/>
              </w:rPr>
            </w:pPr>
            <w:r>
              <w:rPr>
                <w:rFonts w:eastAsia="宋体;SimSun" w:ascii="宋体;SimSun" w:hAnsi="宋体;SimSun"/>
                <w:kern w:val="0"/>
                <w:sz w:val="20"/>
                <w:szCs w:val="20"/>
                <w:highlight w:val="yellow"/>
              </w:rPr>
            </w:r>
          </w:p>
        </w:tc>
        <w:tc>
          <w:tcPr>
            <w:tcW w:w="12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宋体;SimSun" w:hAnsi="宋体;SimSun" w:eastAsia="宋体;SimSun"/>
                <w:kern w:val="0"/>
                <w:sz w:val="20"/>
                <w:szCs w:val="20"/>
                <w:highlight w:val="yellow"/>
              </w:rPr>
            </w:pPr>
            <w:r>
              <w:rPr>
                <w:rFonts w:eastAsia="宋体;SimSun" w:ascii="宋体;SimSun" w:hAnsi="宋体;SimSun"/>
                <w:kern w:val="0"/>
                <w:sz w:val="20"/>
                <w:szCs w:val="20"/>
              </w:rPr>
              <w:t>2023</w:t>
            </w:r>
            <w:r>
              <w:rPr>
                <w:rFonts w:ascii="宋体;SimSun" w:hAnsi="宋体;SimSun" w:eastAsia="宋体;SimSun"/>
                <w:kern w:val="0"/>
                <w:sz w:val="20"/>
                <w:szCs w:val="20"/>
              </w:rPr>
              <w:t>年</w:t>
            </w:r>
            <w:r>
              <w:rPr>
                <w:rFonts w:eastAsia="宋体;SimSun" w:ascii="宋体;SimSun" w:hAnsi="宋体;SimSun"/>
                <w:kern w:val="0"/>
                <w:sz w:val="20"/>
                <w:szCs w:val="20"/>
              </w:rPr>
              <w:t>7</w:t>
            </w:r>
            <w:r>
              <w:rPr>
                <w:rFonts w:ascii="宋体;SimSun" w:hAnsi="宋体;SimSun" w:eastAsia="宋体;SimSun"/>
                <w:kern w:val="0"/>
                <w:sz w:val="20"/>
                <w:szCs w:val="20"/>
              </w:rPr>
              <w:t>月</w:t>
            </w:r>
            <w:r>
              <w:rPr>
                <w:rFonts w:eastAsia="宋体;SimSun" w:ascii="宋体;SimSun" w:hAnsi="宋体;SimSun"/>
                <w:kern w:val="0"/>
                <w:sz w:val="20"/>
                <w:szCs w:val="20"/>
              </w:rPr>
              <w:t>21</w:t>
            </w:r>
            <w:r>
              <w:rPr>
                <w:rFonts w:ascii="宋体;SimSun" w:hAnsi="宋体;SimSun" w:eastAsia="宋体;SimSun"/>
                <w:kern w:val="0"/>
                <w:sz w:val="20"/>
                <w:szCs w:val="20"/>
              </w:rPr>
              <w:t>日</w:t>
            </w:r>
          </w:p>
        </w:tc>
        <w:tc>
          <w:tcPr>
            <w:tcW w:w="582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eastAsia="宋体;SimSun"/>
                <w:kern w:val="0"/>
                <w:sz w:val="20"/>
                <w:szCs w:val="20"/>
                <w:highlight w:val="yellow"/>
              </w:rPr>
            </w:pPr>
            <w:r>
              <w:rPr>
                <w:rFonts w:ascii="宋体;SimSun" w:hAnsi="宋体;SimSun" w:eastAsia="宋体;SimSun"/>
                <w:kern w:val="0"/>
                <w:sz w:val="20"/>
                <w:szCs w:val="20"/>
              </w:rPr>
              <w:t>国务院常务会议审议通过《关于在超大特大城市积极稳步推进城中村改造的指导意见》，会议指出：在超大特大城市积极稳步实施城中村改造是改善民生、扩大内需、推动城市高质量发展的一项重要举措。</w:t>
            </w:r>
          </w:p>
        </w:tc>
      </w:tr>
      <w:tr>
        <w:trPr/>
        <w:tc>
          <w:tcPr>
            <w:tcW w:w="99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360"/>
              <w:jc w:val="start"/>
              <w:textAlignment w:val="bottom"/>
              <w:rPr>
                <w:rFonts w:ascii="宋体;SimSun" w:hAnsi="宋体;SimSun" w:eastAsia="宋体;SimSun"/>
                <w:kern w:val="0"/>
                <w:sz w:val="20"/>
                <w:szCs w:val="20"/>
                <w:highlight w:val="yellow"/>
              </w:rPr>
            </w:pPr>
            <w:r>
              <w:rPr>
                <w:rFonts w:eastAsia="宋体;SimSun" w:ascii="宋体;SimSun" w:hAnsi="宋体;SimSun"/>
                <w:kern w:val="0"/>
                <w:sz w:val="20"/>
                <w:szCs w:val="20"/>
                <w:highlight w:val="yellow"/>
              </w:rPr>
            </w:r>
          </w:p>
        </w:tc>
        <w:tc>
          <w:tcPr>
            <w:tcW w:w="12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宋体;SimSun" w:hAnsi="宋体;SimSun" w:eastAsia="宋体;SimSun"/>
                <w:kern w:val="0"/>
                <w:sz w:val="20"/>
                <w:szCs w:val="20"/>
                <w:highlight w:val="yellow"/>
              </w:rPr>
            </w:pPr>
            <w:r>
              <w:rPr>
                <w:rFonts w:eastAsia="宋体;SimSun" w:ascii="宋体;SimSun" w:hAnsi="宋体;SimSun"/>
                <w:kern w:val="0"/>
                <w:sz w:val="20"/>
                <w:szCs w:val="20"/>
              </w:rPr>
              <w:t>2023</w:t>
            </w:r>
            <w:r>
              <w:rPr>
                <w:rFonts w:ascii="宋体;SimSun" w:hAnsi="宋体;SimSun" w:eastAsia="宋体;SimSun"/>
                <w:kern w:val="0"/>
                <w:sz w:val="20"/>
                <w:szCs w:val="20"/>
              </w:rPr>
              <w:t>年</w:t>
            </w:r>
            <w:r>
              <w:rPr>
                <w:rFonts w:eastAsia="宋体;SimSun" w:ascii="宋体;SimSun" w:hAnsi="宋体;SimSun"/>
                <w:kern w:val="0"/>
                <w:sz w:val="20"/>
                <w:szCs w:val="20"/>
              </w:rPr>
              <w:t>8</w:t>
            </w:r>
            <w:r>
              <w:rPr>
                <w:rFonts w:ascii="宋体;SimSun" w:hAnsi="宋体;SimSun" w:eastAsia="宋体;SimSun"/>
                <w:kern w:val="0"/>
                <w:sz w:val="20"/>
                <w:szCs w:val="20"/>
              </w:rPr>
              <w:t>月</w:t>
            </w:r>
            <w:r>
              <w:rPr>
                <w:rFonts w:eastAsia="宋体;SimSun" w:ascii="宋体;SimSun" w:hAnsi="宋体;SimSun"/>
                <w:kern w:val="0"/>
                <w:sz w:val="20"/>
                <w:szCs w:val="20"/>
              </w:rPr>
              <w:t>25</w:t>
            </w:r>
            <w:r>
              <w:rPr>
                <w:rFonts w:ascii="宋体;SimSun" w:hAnsi="宋体;SimSun" w:eastAsia="宋体;SimSun"/>
                <w:kern w:val="0"/>
                <w:sz w:val="20"/>
                <w:szCs w:val="20"/>
              </w:rPr>
              <w:t>日</w:t>
            </w:r>
          </w:p>
        </w:tc>
        <w:tc>
          <w:tcPr>
            <w:tcW w:w="582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eastAsia="宋体;SimSun"/>
                <w:kern w:val="0"/>
                <w:sz w:val="20"/>
                <w:szCs w:val="20"/>
                <w:highlight w:val="yellow"/>
              </w:rPr>
            </w:pPr>
            <w:r>
              <w:rPr>
                <w:rFonts w:ascii="宋体;SimSun" w:hAnsi="宋体;SimSun" w:eastAsia="宋体;SimSun"/>
                <w:kern w:val="0"/>
                <w:sz w:val="20"/>
                <w:szCs w:val="20"/>
              </w:rPr>
              <w:t>财政部、税务总局、住建部发布《关于延续实施支持居民换购住房有关个人所得税政策的公告》，延长换房个税退税优惠期限至</w:t>
            </w:r>
            <w:r>
              <w:rPr>
                <w:rFonts w:eastAsia="宋体;SimSun" w:ascii="宋体;SimSun" w:hAnsi="宋体;SimSun"/>
                <w:kern w:val="0"/>
                <w:sz w:val="20"/>
                <w:szCs w:val="20"/>
              </w:rPr>
              <w:t>2025</w:t>
            </w:r>
            <w:r>
              <w:rPr>
                <w:rFonts w:ascii="宋体;SimSun" w:hAnsi="宋体;SimSun" w:eastAsia="宋体;SimSun"/>
                <w:kern w:val="0"/>
                <w:sz w:val="20"/>
                <w:szCs w:val="20"/>
              </w:rPr>
              <w:t>年年末。</w:t>
            </w:r>
          </w:p>
        </w:tc>
      </w:tr>
      <w:tr>
        <w:trPr/>
        <w:tc>
          <w:tcPr>
            <w:tcW w:w="99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360"/>
              <w:jc w:val="start"/>
              <w:textAlignment w:val="bottom"/>
              <w:rPr>
                <w:rFonts w:ascii="宋体;SimSun" w:hAnsi="宋体;SimSun" w:eastAsia="宋体;SimSun"/>
                <w:kern w:val="0"/>
                <w:sz w:val="20"/>
                <w:szCs w:val="20"/>
                <w:highlight w:val="yellow"/>
              </w:rPr>
            </w:pPr>
            <w:r>
              <w:rPr>
                <w:rFonts w:eastAsia="宋体;SimSun" w:ascii="宋体;SimSun" w:hAnsi="宋体;SimSun"/>
                <w:kern w:val="0"/>
                <w:sz w:val="20"/>
                <w:szCs w:val="20"/>
                <w:highlight w:val="yellow"/>
              </w:rPr>
            </w:r>
          </w:p>
        </w:tc>
        <w:tc>
          <w:tcPr>
            <w:tcW w:w="12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宋体;SimSun" w:hAnsi="宋体;SimSun" w:eastAsia="宋体;SimSun"/>
                <w:kern w:val="0"/>
                <w:sz w:val="20"/>
                <w:szCs w:val="20"/>
                <w:highlight w:val="yellow"/>
              </w:rPr>
            </w:pPr>
            <w:r>
              <w:rPr>
                <w:rFonts w:eastAsia="宋体;SimSun" w:ascii="宋体;SimSun" w:hAnsi="宋体;SimSun"/>
                <w:kern w:val="0"/>
                <w:sz w:val="20"/>
                <w:szCs w:val="20"/>
              </w:rPr>
              <w:t>2023</w:t>
            </w:r>
            <w:r>
              <w:rPr>
                <w:rFonts w:ascii="宋体;SimSun" w:hAnsi="宋体;SimSun" w:eastAsia="宋体;SimSun"/>
                <w:kern w:val="0"/>
                <w:sz w:val="20"/>
                <w:szCs w:val="20"/>
              </w:rPr>
              <w:t>年</w:t>
            </w:r>
            <w:r>
              <w:rPr>
                <w:rFonts w:eastAsia="宋体;SimSun" w:ascii="宋体;SimSun" w:hAnsi="宋体;SimSun"/>
                <w:kern w:val="0"/>
                <w:sz w:val="20"/>
                <w:szCs w:val="20"/>
              </w:rPr>
              <w:t>8</w:t>
            </w:r>
            <w:r>
              <w:rPr>
                <w:rFonts w:ascii="宋体;SimSun" w:hAnsi="宋体;SimSun" w:eastAsia="宋体;SimSun"/>
                <w:kern w:val="0"/>
                <w:sz w:val="20"/>
                <w:szCs w:val="20"/>
              </w:rPr>
              <w:t>月</w:t>
            </w:r>
            <w:r>
              <w:rPr>
                <w:rFonts w:eastAsia="宋体;SimSun" w:ascii="宋体;SimSun" w:hAnsi="宋体;SimSun"/>
                <w:kern w:val="0"/>
                <w:sz w:val="20"/>
                <w:szCs w:val="20"/>
              </w:rPr>
              <w:t>25</w:t>
            </w:r>
            <w:r>
              <w:rPr>
                <w:rFonts w:ascii="宋体;SimSun" w:hAnsi="宋体;SimSun" w:eastAsia="宋体;SimSun"/>
                <w:kern w:val="0"/>
                <w:sz w:val="20"/>
                <w:szCs w:val="20"/>
              </w:rPr>
              <w:t>日</w:t>
            </w:r>
          </w:p>
        </w:tc>
        <w:tc>
          <w:tcPr>
            <w:tcW w:w="582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eastAsia="宋体;SimSun"/>
                <w:kern w:val="0"/>
                <w:sz w:val="20"/>
                <w:szCs w:val="20"/>
                <w:highlight w:val="yellow"/>
              </w:rPr>
            </w:pPr>
            <w:r>
              <w:rPr>
                <w:rFonts w:ascii="宋体;SimSun" w:hAnsi="宋体;SimSun" w:eastAsia="宋体;SimSun"/>
                <w:kern w:val="0"/>
                <w:sz w:val="20"/>
                <w:szCs w:val="20"/>
              </w:rPr>
              <w:t>住建部、央行、金融监管总局发布《关于优化个人住房贷款中住房套数认定标准的通知》，首套住房认房不认贷，政策纳入“一城一策”工具箱。</w:t>
            </w:r>
          </w:p>
        </w:tc>
      </w:tr>
      <w:tr>
        <w:trPr/>
        <w:tc>
          <w:tcPr>
            <w:tcW w:w="99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360"/>
              <w:jc w:val="start"/>
              <w:textAlignment w:val="bottom"/>
              <w:rPr>
                <w:rFonts w:ascii="宋体;SimSun" w:hAnsi="宋体;SimSun" w:eastAsia="宋体;SimSun"/>
                <w:kern w:val="0"/>
                <w:sz w:val="20"/>
                <w:szCs w:val="20"/>
                <w:highlight w:val="yellow"/>
              </w:rPr>
            </w:pPr>
            <w:r>
              <w:rPr>
                <w:rFonts w:eastAsia="宋体;SimSun" w:ascii="宋体;SimSun" w:hAnsi="宋体;SimSun"/>
                <w:kern w:val="0"/>
                <w:sz w:val="20"/>
                <w:szCs w:val="20"/>
                <w:highlight w:val="yellow"/>
              </w:rPr>
            </w:r>
          </w:p>
        </w:tc>
        <w:tc>
          <w:tcPr>
            <w:tcW w:w="12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宋体;SimSun" w:hAnsi="宋体;SimSun" w:eastAsia="宋体;SimSun"/>
                <w:kern w:val="0"/>
                <w:sz w:val="20"/>
                <w:szCs w:val="20"/>
                <w:highlight w:val="yellow"/>
              </w:rPr>
            </w:pPr>
            <w:r>
              <w:rPr>
                <w:rFonts w:eastAsia="宋体;SimSun" w:ascii="宋体;SimSun" w:hAnsi="宋体;SimSun"/>
                <w:kern w:val="0"/>
                <w:sz w:val="20"/>
                <w:szCs w:val="20"/>
              </w:rPr>
              <w:t>2023</w:t>
            </w:r>
            <w:r>
              <w:rPr>
                <w:rFonts w:ascii="宋体;SimSun" w:hAnsi="宋体;SimSun" w:eastAsia="宋体;SimSun"/>
                <w:kern w:val="0"/>
                <w:sz w:val="20"/>
                <w:szCs w:val="20"/>
              </w:rPr>
              <w:t>年</w:t>
            </w:r>
            <w:r>
              <w:rPr>
                <w:rFonts w:eastAsia="宋体;SimSun" w:ascii="宋体;SimSun" w:hAnsi="宋体;SimSun"/>
                <w:kern w:val="0"/>
                <w:sz w:val="20"/>
                <w:szCs w:val="20"/>
              </w:rPr>
              <w:t>8</w:t>
            </w:r>
            <w:r>
              <w:rPr>
                <w:rFonts w:ascii="宋体;SimSun" w:hAnsi="宋体;SimSun" w:eastAsia="宋体;SimSun"/>
                <w:kern w:val="0"/>
                <w:sz w:val="20"/>
                <w:szCs w:val="20"/>
              </w:rPr>
              <w:t>月</w:t>
            </w:r>
            <w:r>
              <w:rPr>
                <w:rFonts w:eastAsia="宋体;SimSun" w:ascii="宋体;SimSun" w:hAnsi="宋体;SimSun"/>
                <w:kern w:val="0"/>
                <w:sz w:val="20"/>
                <w:szCs w:val="20"/>
              </w:rPr>
              <w:t>31</w:t>
            </w:r>
            <w:r>
              <w:rPr>
                <w:rFonts w:ascii="宋体;SimSun" w:hAnsi="宋体;SimSun" w:eastAsia="宋体;SimSun"/>
                <w:kern w:val="0"/>
                <w:sz w:val="20"/>
                <w:szCs w:val="20"/>
              </w:rPr>
              <w:t>日</w:t>
            </w:r>
          </w:p>
        </w:tc>
        <w:tc>
          <w:tcPr>
            <w:tcW w:w="582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eastAsia="宋体;SimSun"/>
                <w:kern w:val="0"/>
                <w:sz w:val="20"/>
                <w:szCs w:val="20"/>
                <w:highlight w:val="yellow"/>
              </w:rPr>
            </w:pPr>
            <w:r>
              <w:rPr>
                <w:rFonts w:ascii="宋体;SimSun" w:hAnsi="宋体;SimSun" w:eastAsia="宋体;SimSun"/>
                <w:kern w:val="0"/>
                <w:sz w:val="20"/>
                <w:szCs w:val="20"/>
              </w:rPr>
              <w:t>央行、金融监管总局发布《关于降低存量首套住房货款利率有关事项的通知》，符合条件的存量住房贷款可申请调整，调整后的利率不能低于原贷款发放时所在城市的首套房贷款利率政策下限。</w:t>
            </w:r>
          </w:p>
        </w:tc>
      </w:tr>
      <w:tr>
        <w:trPr/>
        <w:tc>
          <w:tcPr>
            <w:tcW w:w="99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360"/>
              <w:jc w:val="start"/>
              <w:textAlignment w:val="bottom"/>
              <w:rPr>
                <w:rFonts w:ascii="宋体;SimSun" w:hAnsi="宋体;SimSun" w:eastAsia="宋体;SimSun"/>
                <w:kern w:val="0"/>
                <w:sz w:val="20"/>
                <w:szCs w:val="20"/>
                <w:highlight w:val="yellow"/>
              </w:rPr>
            </w:pPr>
            <w:r>
              <w:rPr>
                <w:rFonts w:eastAsia="宋体;SimSun" w:ascii="宋体;SimSun" w:hAnsi="宋体;SimSun"/>
                <w:kern w:val="0"/>
                <w:sz w:val="20"/>
                <w:szCs w:val="20"/>
                <w:highlight w:val="yellow"/>
              </w:rPr>
            </w:r>
          </w:p>
        </w:tc>
        <w:tc>
          <w:tcPr>
            <w:tcW w:w="12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宋体;SimSun" w:hAnsi="宋体;SimSun" w:eastAsia="宋体;SimSun"/>
                <w:kern w:val="0"/>
                <w:sz w:val="20"/>
                <w:szCs w:val="20"/>
                <w:highlight w:val="yellow"/>
              </w:rPr>
            </w:pPr>
            <w:r>
              <w:rPr>
                <w:rFonts w:eastAsia="宋体;SimSun" w:ascii="宋体;SimSun" w:hAnsi="宋体;SimSun"/>
                <w:kern w:val="0"/>
                <w:sz w:val="20"/>
                <w:szCs w:val="20"/>
              </w:rPr>
              <w:t>2023</w:t>
            </w:r>
            <w:r>
              <w:rPr>
                <w:rFonts w:ascii="宋体;SimSun" w:hAnsi="宋体;SimSun" w:eastAsia="宋体;SimSun"/>
                <w:kern w:val="0"/>
                <w:sz w:val="20"/>
                <w:szCs w:val="20"/>
              </w:rPr>
              <w:t>年</w:t>
            </w:r>
            <w:r>
              <w:rPr>
                <w:rFonts w:eastAsia="宋体;SimSun" w:ascii="宋体;SimSun" w:hAnsi="宋体;SimSun"/>
                <w:kern w:val="0"/>
                <w:sz w:val="20"/>
                <w:szCs w:val="20"/>
              </w:rPr>
              <w:t>11</w:t>
            </w:r>
            <w:r>
              <w:rPr>
                <w:rFonts w:ascii="宋体;SimSun" w:hAnsi="宋体;SimSun" w:eastAsia="宋体;SimSun"/>
                <w:kern w:val="0"/>
                <w:sz w:val="20"/>
                <w:szCs w:val="20"/>
              </w:rPr>
              <w:t>月</w:t>
            </w:r>
            <w:r>
              <w:rPr>
                <w:rFonts w:eastAsia="宋体;SimSun" w:ascii="宋体;SimSun" w:hAnsi="宋体;SimSun"/>
                <w:kern w:val="0"/>
                <w:sz w:val="20"/>
                <w:szCs w:val="20"/>
              </w:rPr>
              <w:t>17</w:t>
            </w:r>
            <w:r>
              <w:rPr>
                <w:rFonts w:ascii="宋体;SimSun" w:hAnsi="宋体;SimSun" w:eastAsia="宋体;SimSun"/>
                <w:kern w:val="0"/>
                <w:sz w:val="20"/>
                <w:szCs w:val="20"/>
              </w:rPr>
              <w:t>日</w:t>
            </w:r>
          </w:p>
        </w:tc>
        <w:tc>
          <w:tcPr>
            <w:tcW w:w="582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eastAsia="宋体;SimSun"/>
                <w:kern w:val="0"/>
                <w:sz w:val="20"/>
                <w:szCs w:val="20"/>
                <w:highlight w:val="yellow"/>
              </w:rPr>
            </w:pPr>
            <w:r>
              <w:rPr>
                <w:rFonts w:ascii="宋体;SimSun" w:hAnsi="宋体;SimSun" w:eastAsia="宋体;SimSun"/>
                <w:kern w:val="0"/>
                <w:sz w:val="20"/>
                <w:szCs w:val="20"/>
              </w:rPr>
              <w:t>央行、金融监管总局、证监会举办金融机构座谈会强调一视同仁满足不同所有制房企合理融资需求，对正常经营的房企不惜贷、抽贷、断贷；继续用好“第二支箭”支持民营房企发债融资；支持房企通过资本市场合理股权融资，要继续配合地方政府和相关部门，坚持市场化，法治化原则，加大保交楼金融支持，推动行业并购重组；要积极服务保障性住房等“三大工程”建设，加快房地产金融供给侧改革，推动构建房地产发展新模式。</w:t>
            </w:r>
          </w:p>
        </w:tc>
      </w:tr>
      <w:tr>
        <w:trPr/>
        <w:tc>
          <w:tcPr>
            <w:tcW w:w="99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360"/>
              <w:jc w:val="start"/>
              <w:textAlignment w:val="bottom"/>
              <w:rPr>
                <w:rFonts w:ascii="宋体;SimSun" w:hAnsi="宋体;SimSun" w:eastAsia="宋体;SimSun"/>
                <w:kern w:val="0"/>
                <w:sz w:val="20"/>
                <w:szCs w:val="20"/>
                <w:highlight w:val="yellow"/>
              </w:rPr>
            </w:pPr>
            <w:r>
              <w:rPr>
                <w:rFonts w:eastAsia="宋体;SimSun" w:ascii="宋体;SimSun" w:hAnsi="宋体;SimSun"/>
                <w:kern w:val="0"/>
                <w:sz w:val="20"/>
                <w:szCs w:val="20"/>
                <w:highlight w:val="yellow"/>
              </w:rPr>
            </w:r>
          </w:p>
        </w:tc>
        <w:tc>
          <w:tcPr>
            <w:tcW w:w="12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宋体;SimSun" w:hAnsi="宋体;SimSun" w:eastAsia="宋体;SimSun"/>
                <w:kern w:val="0"/>
                <w:sz w:val="20"/>
                <w:szCs w:val="20"/>
                <w:highlight w:val="yellow"/>
              </w:rPr>
            </w:pPr>
            <w:r>
              <w:rPr>
                <w:rFonts w:eastAsia="宋体;SimSun" w:ascii="宋体;SimSun" w:hAnsi="宋体;SimSun"/>
                <w:kern w:val="0"/>
                <w:sz w:val="20"/>
                <w:szCs w:val="20"/>
              </w:rPr>
              <w:t>2023</w:t>
            </w:r>
            <w:r>
              <w:rPr>
                <w:rFonts w:ascii="宋体;SimSun" w:hAnsi="宋体;SimSun" w:eastAsia="宋体;SimSun"/>
                <w:kern w:val="0"/>
                <w:sz w:val="20"/>
                <w:szCs w:val="20"/>
              </w:rPr>
              <w:t>年</w:t>
            </w:r>
            <w:r>
              <w:rPr>
                <w:rFonts w:eastAsia="宋体;SimSun" w:ascii="宋体;SimSun" w:hAnsi="宋体;SimSun"/>
                <w:kern w:val="0"/>
                <w:sz w:val="20"/>
                <w:szCs w:val="20"/>
              </w:rPr>
              <w:t>11</w:t>
            </w:r>
            <w:r>
              <w:rPr>
                <w:rFonts w:ascii="宋体;SimSun" w:hAnsi="宋体;SimSun" w:eastAsia="宋体;SimSun"/>
                <w:kern w:val="0"/>
                <w:sz w:val="20"/>
                <w:szCs w:val="20"/>
              </w:rPr>
              <w:t>月</w:t>
            </w:r>
            <w:r>
              <w:rPr>
                <w:rFonts w:eastAsia="宋体;SimSun" w:ascii="宋体;SimSun" w:hAnsi="宋体;SimSun"/>
                <w:kern w:val="0"/>
                <w:sz w:val="20"/>
                <w:szCs w:val="20"/>
              </w:rPr>
              <w:t>27</w:t>
            </w:r>
            <w:r>
              <w:rPr>
                <w:rFonts w:ascii="宋体;SimSun" w:hAnsi="宋体;SimSun" w:eastAsia="宋体;SimSun"/>
                <w:kern w:val="0"/>
                <w:sz w:val="20"/>
                <w:szCs w:val="20"/>
              </w:rPr>
              <w:t>日</w:t>
            </w:r>
          </w:p>
        </w:tc>
        <w:tc>
          <w:tcPr>
            <w:tcW w:w="582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eastAsia="宋体;SimSun"/>
                <w:kern w:val="0"/>
                <w:sz w:val="20"/>
                <w:szCs w:val="20"/>
                <w:highlight w:val="yellow"/>
              </w:rPr>
            </w:pPr>
            <w:r>
              <w:rPr>
                <w:rFonts w:ascii="宋体;SimSun" w:hAnsi="宋体;SimSun" w:eastAsia="宋体;SimSun"/>
                <w:kern w:val="0"/>
                <w:sz w:val="20"/>
                <w:szCs w:val="20"/>
              </w:rPr>
              <w:t>央行、金融监管总局等八部门联合印发《关于强化金融支持举措助力民营经济发展壮大的通知》：鼓励主办银行和银团贷款牵头银行积极发挥牵头协调作用，对暂时遇到困难但产品有市场、项目有发展前景、技术有市场竞争力的民营企业，按市场化原则提前对接接续融资需求，不盲目停贷、压贷、抽贷、断贷。抓好《关于做好当前金融支持房地产市场平稳健康发展工作的通知》</w:t>
            </w:r>
            <w:r>
              <w:rPr>
                <w:rFonts w:eastAsia="宋体;SimSun" w:ascii="宋体;SimSun" w:hAnsi="宋体;SimSun"/>
                <w:kern w:val="0"/>
                <w:sz w:val="20"/>
                <w:szCs w:val="20"/>
              </w:rPr>
              <w:t>(</w:t>
            </w:r>
            <w:r>
              <w:rPr>
                <w:rFonts w:ascii="宋体;SimSun" w:hAnsi="宋体;SimSun" w:eastAsia="宋体;SimSun"/>
                <w:kern w:val="0"/>
                <w:sz w:val="20"/>
                <w:szCs w:val="20"/>
              </w:rPr>
              <w:t>银发〔</w:t>
            </w:r>
            <w:r>
              <w:rPr>
                <w:rFonts w:eastAsia="宋体;SimSun" w:ascii="宋体;SimSun" w:hAnsi="宋体;SimSun"/>
                <w:kern w:val="0"/>
                <w:sz w:val="20"/>
                <w:szCs w:val="20"/>
              </w:rPr>
              <w:t>2022</w:t>
            </w:r>
            <w:r>
              <w:rPr>
                <w:rFonts w:ascii="宋体;SimSun" w:hAnsi="宋体;SimSun" w:eastAsia="宋体;SimSun"/>
                <w:kern w:val="0"/>
                <w:sz w:val="20"/>
                <w:szCs w:val="20"/>
              </w:rPr>
              <w:t>〕</w:t>
            </w:r>
            <w:r>
              <w:rPr>
                <w:rFonts w:eastAsia="宋体;SimSun" w:ascii="宋体;SimSun" w:hAnsi="宋体;SimSun"/>
                <w:kern w:val="0"/>
                <w:sz w:val="20"/>
                <w:szCs w:val="20"/>
              </w:rPr>
              <w:t>254</w:t>
            </w:r>
            <w:r>
              <w:rPr>
                <w:rFonts w:ascii="宋体;SimSun" w:hAnsi="宋体;SimSun" w:eastAsia="宋体;SimSun"/>
                <w:kern w:val="0"/>
                <w:sz w:val="20"/>
                <w:szCs w:val="20"/>
              </w:rPr>
              <w:t>号文</w:t>
            </w:r>
            <w:r>
              <w:rPr>
                <w:rFonts w:eastAsia="宋体;SimSun" w:ascii="宋体;SimSun" w:hAnsi="宋体;SimSun"/>
                <w:kern w:val="0"/>
                <w:sz w:val="20"/>
                <w:szCs w:val="20"/>
              </w:rPr>
              <w:t>)</w:t>
            </w:r>
            <w:r>
              <w:rPr>
                <w:rFonts w:ascii="宋体;SimSun" w:hAnsi="宋体;SimSun" w:eastAsia="宋体;SimSun"/>
                <w:kern w:val="0"/>
                <w:sz w:val="20"/>
                <w:szCs w:val="20"/>
              </w:rPr>
              <w:t>等政策落实落地，保持信贷、债券等重点融资渠道稳定，合理满足民营房企金融需求。</w:t>
            </w:r>
          </w:p>
        </w:tc>
      </w:tr>
      <w:tr>
        <w:trPr/>
        <w:tc>
          <w:tcPr>
            <w:tcW w:w="99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360"/>
              <w:jc w:val="start"/>
              <w:textAlignment w:val="bottom"/>
              <w:rPr>
                <w:rFonts w:ascii="宋体;SimSun" w:hAnsi="宋体;SimSun" w:eastAsia="宋体;SimSun"/>
                <w:kern w:val="0"/>
                <w:sz w:val="20"/>
                <w:szCs w:val="20"/>
                <w:highlight w:val="yellow"/>
              </w:rPr>
            </w:pPr>
            <w:r>
              <w:rPr>
                <w:rFonts w:eastAsia="宋体;SimSun" w:ascii="宋体;SimSun" w:hAnsi="宋体;SimSun"/>
                <w:kern w:val="0"/>
                <w:sz w:val="20"/>
                <w:szCs w:val="20"/>
                <w:highlight w:val="yellow"/>
              </w:rPr>
            </w:r>
          </w:p>
        </w:tc>
        <w:tc>
          <w:tcPr>
            <w:tcW w:w="12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宋体;SimSun" w:hAnsi="宋体;SimSun" w:eastAsia="宋体;SimSun"/>
                <w:kern w:val="0"/>
                <w:sz w:val="20"/>
                <w:szCs w:val="20"/>
                <w:highlight w:val="yellow"/>
              </w:rPr>
            </w:pPr>
            <w:r>
              <w:rPr>
                <w:rFonts w:eastAsia="宋体;SimSun" w:ascii="宋体;SimSun" w:hAnsi="宋体;SimSun"/>
                <w:kern w:val="0"/>
                <w:sz w:val="20"/>
                <w:szCs w:val="20"/>
              </w:rPr>
              <w:t>2023</w:t>
            </w:r>
            <w:r>
              <w:rPr>
                <w:rFonts w:ascii="宋体;SimSun" w:hAnsi="宋体;SimSun" w:eastAsia="宋体;SimSun"/>
                <w:kern w:val="0"/>
                <w:sz w:val="20"/>
                <w:szCs w:val="20"/>
              </w:rPr>
              <w:t>年</w:t>
            </w:r>
            <w:r>
              <w:rPr>
                <w:rFonts w:eastAsia="宋体;SimSun" w:ascii="宋体;SimSun" w:hAnsi="宋体;SimSun"/>
                <w:kern w:val="0"/>
                <w:sz w:val="20"/>
                <w:szCs w:val="20"/>
              </w:rPr>
              <w:t>12</w:t>
            </w:r>
            <w:r>
              <w:rPr>
                <w:rFonts w:ascii="宋体;SimSun" w:hAnsi="宋体;SimSun" w:eastAsia="宋体;SimSun"/>
                <w:kern w:val="0"/>
                <w:sz w:val="20"/>
                <w:szCs w:val="20"/>
              </w:rPr>
              <w:t>月</w:t>
            </w:r>
            <w:r>
              <w:rPr>
                <w:rFonts w:eastAsia="宋体;SimSun" w:ascii="宋体;SimSun" w:hAnsi="宋体;SimSun"/>
                <w:kern w:val="0"/>
                <w:sz w:val="20"/>
                <w:szCs w:val="20"/>
              </w:rPr>
              <w:t>21-22</w:t>
            </w:r>
            <w:r>
              <w:rPr>
                <w:rFonts w:ascii="宋体;SimSun" w:hAnsi="宋体;SimSun" w:eastAsia="宋体;SimSun"/>
                <w:kern w:val="0"/>
                <w:sz w:val="20"/>
                <w:szCs w:val="20"/>
              </w:rPr>
              <w:t>日</w:t>
            </w:r>
          </w:p>
        </w:tc>
        <w:tc>
          <w:tcPr>
            <w:tcW w:w="582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eastAsia="宋体;SimSun"/>
                <w:kern w:val="0"/>
                <w:sz w:val="20"/>
                <w:szCs w:val="20"/>
                <w:highlight w:val="yellow"/>
              </w:rPr>
            </w:pPr>
            <w:r>
              <w:rPr>
                <w:rFonts w:ascii="宋体;SimSun" w:hAnsi="宋体;SimSun" w:eastAsia="宋体;SimSun"/>
                <w:kern w:val="0"/>
                <w:sz w:val="20"/>
                <w:szCs w:val="20"/>
              </w:rPr>
              <w:t>全国住房和城乡建设工作会议指出：</w:t>
            </w:r>
            <w:r>
              <w:rPr>
                <w:rFonts w:eastAsia="宋体;SimSun" w:ascii="宋体;SimSun" w:hAnsi="宋体;SimSun"/>
                <w:kern w:val="0"/>
                <w:sz w:val="20"/>
                <w:szCs w:val="20"/>
              </w:rPr>
              <w:t>2024</w:t>
            </w:r>
            <w:r>
              <w:rPr>
                <w:rFonts w:ascii="宋体;SimSun" w:hAnsi="宋体;SimSun" w:eastAsia="宋体;SimSun"/>
                <w:kern w:val="0"/>
                <w:sz w:val="20"/>
                <w:szCs w:val="20"/>
              </w:rPr>
              <w:t>年的工作要坚持稳中求进、以进促稳、先立后破，重点抓好</w:t>
            </w:r>
            <w:r>
              <w:rPr>
                <w:rFonts w:eastAsia="宋体;SimSun" w:ascii="宋体;SimSun" w:hAnsi="宋体;SimSun"/>
                <w:kern w:val="0"/>
                <w:sz w:val="20"/>
                <w:szCs w:val="20"/>
              </w:rPr>
              <w:t>4</w:t>
            </w:r>
            <w:r>
              <w:rPr>
                <w:rFonts w:ascii="宋体;SimSun" w:hAnsi="宋体;SimSun" w:eastAsia="宋体;SimSun"/>
                <w:kern w:val="0"/>
                <w:sz w:val="20"/>
                <w:szCs w:val="20"/>
              </w:rPr>
              <w:t>大板块</w:t>
            </w:r>
            <w:r>
              <w:rPr>
                <w:rFonts w:eastAsia="宋体;SimSun" w:ascii="宋体;SimSun" w:hAnsi="宋体;SimSun"/>
                <w:kern w:val="0"/>
                <w:sz w:val="20"/>
                <w:szCs w:val="20"/>
              </w:rPr>
              <w:t>18</w:t>
            </w:r>
            <w:r>
              <w:rPr>
                <w:rFonts w:ascii="宋体;SimSun" w:hAnsi="宋体;SimSun" w:eastAsia="宋体;SimSun"/>
                <w:kern w:val="0"/>
                <w:sz w:val="20"/>
                <w:szCs w:val="20"/>
              </w:rPr>
              <w:t>个方面工作；要坚持房子是用来住的、不是用来炒的定位，适应房地产市场供求关系发生重大变化新形势；稳定房地产市场，坚持因城施策、一城一策、精准施策，满足刚性和改善性住房需求，优化房地产政策，持续抓好保交楼保民生保稳定工作，稳妥处置房企风险，重拳整治房地产市场秩序；构建房地产发展新模式，建立“人、房、地、钱”要素联动的新机制，完善房屋从开发建设到维护使用的全生命周期基础性制度，实施好“三大工程”建设，加快解决新市民、青年人、农民工住房问题，下力气建设好房子，在住房领域创造一个新赛道。</w:t>
            </w:r>
          </w:p>
        </w:tc>
      </w:tr>
      <w:tr>
        <w:trPr/>
        <w:tc>
          <w:tcPr>
            <w:tcW w:w="99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360"/>
              <w:jc w:val="start"/>
              <w:textAlignment w:val="bottom"/>
              <w:rPr>
                <w:rFonts w:ascii="宋体;SimSun" w:hAnsi="宋体;SimSun" w:eastAsia="宋体;SimSun"/>
                <w:kern w:val="0"/>
                <w:sz w:val="20"/>
                <w:szCs w:val="20"/>
                <w:highlight w:val="yellow"/>
              </w:rPr>
            </w:pPr>
            <w:r>
              <w:rPr>
                <w:rFonts w:eastAsia="宋体;SimSun" w:ascii="宋体;SimSun" w:hAnsi="宋体;SimSun"/>
                <w:kern w:val="0"/>
                <w:sz w:val="20"/>
                <w:szCs w:val="20"/>
                <w:highlight w:val="yellow"/>
              </w:rPr>
            </w:r>
          </w:p>
        </w:tc>
        <w:tc>
          <w:tcPr>
            <w:tcW w:w="12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宋体;SimSun" w:hAnsi="宋体;SimSun" w:eastAsia="宋体;SimSun"/>
                <w:kern w:val="0"/>
                <w:sz w:val="20"/>
                <w:szCs w:val="20"/>
              </w:rPr>
            </w:pPr>
            <w:r>
              <w:rPr>
                <w:rFonts w:eastAsia="宋体;SimSun" w:ascii="宋体;SimSun" w:hAnsi="宋体;SimSun"/>
                <w:kern w:val="0"/>
                <w:sz w:val="20"/>
                <w:szCs w:val="20"/>
              </w:rPr>
              <w:t>2024</w:t>
            </w:r>
            <w:r>
              <w:rPr>
                <w:rFonts w:ascii="宋体;SimSun" w:hAnsi="宋体;SimSun" w:eastAsia="宋体;SimSun"/>
                <w:kern w:val="0"/>
                <w:sz w:val="20"/>
                <w:szCs w:val="20"/>
              </w:rPr>
              <w:t>年</w:t>
            </w:r>
            <w:r>
              <w:rPr>
                <w:rFonts w:eastAsia="宋体;SimSun" w:ascii="宋体;SimSun" w:hAnsi="宋体;SimSun"/>
                <w:kern w:val="0"/>
                <w:sz w:val="20"/>
                <w:szCs w:val="20"/>
              </w:rPr>
              <w:t>5</w:t>
            </w:r>
            <w:r>
              <w:rPr>
                <w:rFonts w:ascii="宋体;SimSun" w:hAnsi="宋体;SimSun" w:eastAsia="宋体;SimSun"/>
                <w:kern w:val="0"/>
                <w:sz w:val="20"/>
                <w:szCs w:val="20"/>
              </w:rPr>
              <w:t>月</w:t>
            </w:r>
            <w:r>
              <w:rPr>
                <w:rFonts w:eastAsia="宋体;SimSun" w:ascii="宋体;SimSun" w:hAnsi="宋体;SimSun"/>
                <w:kern w:val="0"/>
                <w:sz w:val="20"/>
                <w:szCs w:val="20"/>
              </w:rPr>
              <w:t>17</w:t>
            </w:r>
            <w:r>
              <w:rPr>
                <w:rFonts w:ascii="宋体;SimSun" w:hAnsi="宋体;SimSun" w:eastAsia="宋体;SimSun"/>
                <w:kern w:val="0"/>
                <w:sz w:val="20"/>
                <w:szCs w:val="20"/>
              </w:rPr>
              <w:t>日</w:t>
            </w:r>
          </w:p>
        </w:tc>
        <w:tc>
          <w:tcPr>
            <w:tcW w:w="582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eastAsia="宋体;SimSun"/>
                <w:kern w:val="0"/>
                <w:sz w:val="20"/>
                <w:szCs w:val="20"/>
              </w:rPr>
            </w:pPr>
            <w:r>
              <w:rPr>
                <w:rFonts w:ascii="宋体;SimSun" w:hAnsi="宋体;SimSun" w:eastAsia="宋体;SimSun"/>
                <w:kern w:val="0"/>
                <w:sz w:val="20"/>
                <w:szCs w:val="20"/>
              </w:rPr>
              <w:t>央行发布新政：</w:t>
            </w:r>
            <w:r>
              <w:rPr>
                <w:rFonts w:eastAsia="宋体;SimSun" w:ascii="宋体;SimSun" w:hAnsi="宋体;SimSun"/>
                <w:kern w:val="0"/>
                <w:sz w:val="20"/>
                <w:szCs w:val="20"/>
              </w:rPr>
              <w:t>5</w:t>
            </w:r>
            <w:r>
              <w:rPr>
                <w:rFonts w:ascii="宋体;SimSun" w:hAnsi="宋体;SimSun" w:eastAsia="宋体;SimSun"/>
                <w:kern w:val="0"/>
                <w:sz w:val="20"/>
                <w:szCs w:val="20"/>
              </w:rPr>
              <w:t>年以下（含</w:t>
            </w:r>
            <w:r>
              <w:rPr>
                <w:rFonts w:eastAsia="宋体;SimSun" w:ascii="宋体;SimSun" w:hAnsi="宋体;SimSun"/>
                <w:kern w:val="0"/>
                <w:sz w:val="20"/>
                <w:szCs w:val="20"/>
              </w:rPr>
              <w:t>5</w:t>
            </w:r>
            <w:r>
              <w:rPr>
                <w:rFonts w:ascii="宋体;SimSun" w:hAnsi="宋体;SimSun" w:eastAsia="宋体;SimSun"/>
                <w:kern w:val="0"/>
                <w:sz w:val="20"/>
                <w:szCs w:val="20"/>
              </w:rPr>
              <w:t>年）和</w:t>
            </w:r>
            <w:r>
              <w:rPr>
                <w:rFonts w:eastAsia="宋体;SimSun" w:ascii="宋体;SimSun" w:hAnsi="宋体;SimSun"/>
                <w:kern w:val="0"/>
                <w:sz w:val="20"/>
                <w:szCs w:val="20"/>
              </w:rPr>
              <w:t>5</w:t>
            </w:r>
            <w:r>
              <w:rPr>
                <w:rFonts w:ascii="宋体;SimSun" w:hAnsi="宋体;SimSun" w:eastAsia="宋体;SimSun"/>
                <w:kern w:val="0"/>
                <w:sz w:val="20"/>
                <w:szCs w:val="20"/>
              </w:rPr>
              <w:t>年以上首套个人住房公积金贷款利率分别调整为</w:t>
            </w:r>
            <w:r>
              <w:rPr>
                <w:rFonts w:eastAsia="宋体;SimSun" w:ascii="宋体;SimSun" w:hAnsi="宋体;SimSun"/>
                <w:kern w:val="0"/>
                <w:sz w:val="20"/>
                <w:szCs w:val="20"/>
              </w:rPr>
              <w:t>2.35%</w:t>
            </w:r>
            <w:r>
              <w:rPr>
                <w:rFonts w:ascii="宋体;SimSun" w:hAnsi="宋体;SimSun" w:eastAsia="宋体;SimSun"/>
                <w:kern w:val="0"/>
                <w:sz w:val="20"/>
                <w:szCs w:val="20"/>
              </w:rPr>
              <w:t>和</w:t>
            </w:r>
            <w:r>
              <w:rPr>
                <w:rFonts w:eastAsia="宋体;SimSun" w:ascii="宋体;SimSun" w:hAnsi="宋体;SimSun"/>
                <w:kern w:val="0"/>
                <w:sz w:val="20"/>
                <w:szCs w:val="20"/>
              </w:rPr>
              <w:t>2.85%</w:t>
            </w:r>
            <w:r>
              <w:rPr>
                <w:rFonts w:ascii="宋体;SimSun" w:hAnsi="宋体;SimSun" w:eastAsia="宋体;SimSun"/>
                <w:kern w:val="0"/>
                <w:sz w:val="20"/>
                <w:szCs w:val="20"/>
              </w:rPr>
              <w:t>；首套房最低首付款比例调整为不低于</w:t>
            </w:r>
            <w:r>
              <w:rPr>
                <w:rFonts w:eastAsia="宋体;SimSun" w:ascii="宋体;SimSun" w:hAnsi="宋体;SimSun"/>
                <w:kern w:val="0"/>
                <w:sz w:val="20"/>
                <w:szCs w:val="20"/>
              </w:rPr>
              <w:t>15%</w:t>
            </w:r>
            <w:r>
              <w:rPr>
                <w:rFonts w:ascii="宋体;SimSun" w:hAnsi="宋体;SimSun" w:eastAsia="宋体;SimSun"/>
                <w:kern w:val="0"/>
                <w:sz w:val="20"/>
                <w:szCs w:val="20"/>
              </w:rPr>
              <w:t>，二套不低于</w:t>
            </w:r>
            <w:r>
              <w:rPr>
                <w:rFonts w:eastAsia="宋体;SimSun" w:ascii="宋体;SimSun" w:hAnsi="宋体;SimSun"/>
                <w:kern w:val="0"/>
                <w:sz w:val="20"/>
                <w:szCs w:val="20"/>
              </w:rPr>
              <w:t>25%</w:t>
            </w:r>
            <w:r>
              <w:rPr>
                <w:rFonts w:ascii="宋体;SimSun" w:hAnsi="宋体;SimSun" w:eastAsia="宋体;SimSun"/>
                <w:kern w:val="0"/>
                <w:sz w:val="20"/>
                <w:szCs w:val="20"/>
              </w:rPr>
              <w:t>；取消全国层面首套住房和二套住房商业性个人住房贷款利率下限。</w:t>
            </w:r>
          </w:p>
        </w:tc>
      </w:tr>
      <w:tr>
        <w:trPr/>
        <w:tc>
          <w:tcPr>
            <w:tcW w:w="99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360"/>
              <w:jc w:val="start"/>
              <w:textAlignment w:val="bottom"/>
              <w:rPr>
                <w:rFonts w:ascii="宋体;SimSun" w:hAnsi="宋体;SimSun" w:eastAsia="宋体;SimSun"/>
                <w:kern w:val="0"/>
                <w:sz w:val="20"/>
                <w:szCs w:val="20"/>
              </w:rPr>
            </w:pPr>
            <w:r>
              <w:rPr>
                <w:rFonts w:eastAsia="宋体;SimSun" w:ascii="宋体;SimSun" w:hAnsi="宋体;SimSun"/>
                <w:kern w:val="0"/>
                <w:sz w:val="20"/>
                <w:szCs w:val="20"/>
              </w:rPr>
            </w:r>
          </w:p>
        </w:tc>
        <w:tc>
          <w:tcPr>
            <w:tcW w:w="12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宋体;SimSun" w:hAnsi="宋体;SimSun" w:eastAsia="宋体;SimSun"/>
                <w:sz w:val="20"/>
                <w:szCs w:val="20"/>
              </w:rPr>
            </w:pPr>
            <w:r>
              <w:rPr>
                <w:rFonts w:eastAsia="宋体;SimSun" w:ascii="宋体;SimSun" w:hAnsi="宋体;SimSun"/>
                <w:kern w:val="0"/>
                <w:sz w:val="20"/>
                <w:szCs w:val="20"/>
              </w:rPr>
              <w:t>2024</w:t>
            </w:r>
            <w:r>
              <w:rPr>
                <w:rFonts w:ascii="宋体;SimSun" w:hAnsi="宋体;SimSun" w:eastAsia="宋体;SimSun"/>
                <w:kern w:val="0"/>
                <w:sz w:val="20"/>
                <w:szCs w:val="20"/>
              </w:rPr>
              <w:t>年</w:t>
            </w:r>
            <w:r>
              <w:rPr>
                <w:rFonts w:eastAsia="宋体;SimSun" w:ascii="宋体;SimSun" w:hAnsi="宋体;SimSun"/>
                <w:kern w:val="0"/>
                <w:sz w:val="20"/>
                <w:szCs w:val="20"/>
              </w:rPr>
              <w:t>9</w:t>
            </w:r>
            <w:r>
              <w:rPr>
                <w:rFonts w:ascii="宋体;SimSun" w:hAnsi="宋体;SimSun" w:eastAsia="宋体;SimSun"/>
                <w:kern w:val="0"/>
                <w:sz w:val="20"/>
                <w:szCs w:val="20"/>
              </w:rPr>
              <w:t>月</w:t>
            </w:r>
            <w:r>
              <w:rPr>
                <w:rFonts w:eastAsia="宋体;SimSun" w:ascii="宋体;SimSun" w:hAnsi="宋体;SimSun"/>
                <w:kern w:val="0"/>
                <w:sz w:val="20"/>
                <w:szCs w:val="20"/>
              </w:rPr>
              <w:t>26</w:t>
            </w:r>
            <w:r>
              <w:rPr>
                <w:rFonts w:ascii="宋体;SimSun" w:hAnsi="宋体;SimSun" w:eastAsia="宋体;SimSun"/>
                <w:kern w:val="0"/>
                <w:sz w:val="20"/>
                <w:szCs w:val="20"/>
              </w:rPr>
              <w:t>日</w:t>
            </w:r>
          </w:p>
        </w:tc>
        <w:tc>
          <w:tcPr>
            <w:tcW w:w="582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eastAsia="宋体;SimSun"/>
                <w:kern w:val="0"/>
                <w:sz w:val="20"/>
                <w:szCs w:val="20"/>
              </w:rPr>
            </w:pPr>
            <w:r>
              <w:rPr>
                <w:rFonts w:ascii="宋体;SimSun" w:hAnsi="宋体;SimSun" w:eastAsia="宋体;SimSun"/>
                <w:kern w:val="0"/>
                <w:sz w:val="20"/>
                <w:szCs w:val="20"/>
              </w:rPr>
              <w:t>中共中央政治局召开会议，会议强调要促进房地产市场止跌回稳，对商品房建设要严控增量、优化存量、提高质量，加大“白名单”项目贷款投放力度，支持盘活存量闲置土地。调整住房限购政策，降低存量房贷利率，抓紧完善土地、财税、金融等政策，推动构建房地产发展新模式。</w:t>
            </w:r>
          </w:p>
        </w:tc>
      </w:tr>
      <w:tr>
        <w:trPr/>
        <w:tc>
          <w:tcPr>
            <w:tcW w:w="99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360"/>
              <w:jc w:val="start"/>
              <w:textAlignment w:val="bottom"/>
              <w:rPr>
                <w:rFonts w:ascii="宋体;SimSun" w:hAnsi="宋体;SimSun" w:eastAsia="宋体;SimSun"/>
                <w:kern w:val="0"/>
                <w:sz w:val="20"/>
                <w:szCs w:val="20"/>
              </w:rPr>
            </w:pPr>
            <w:r>
              <w:rPr>
                <w:rFonts w:eastAsia="宋体;SimSun" w:ascii="宋体;SimSun" w:hAnsi="宋体;SimSun"/>
                <w:kern w:val="0"/>
                <w:sz w:val="20"/>
                <w:szCs w:val="20"/>
              </w:rPr>
            </w:r>
          </w:p>
        </w:tc>
        <w:tc>
          <w:tcPr>
            <w:tcW w:w="12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宋体;SimSun" w:hAnsi="宋体;SimSun" w:eastAsia="宋体;SimSun"/>
                <w:kern w:val="0"/>
                <w:sz w:val="20"/>
                <w:szCs w:val="20"/>
              </w:rPr>
            </w:pPr>
            <w:r>
              <w:rPr>
                <w:rFonts w:eastAsia="宋体;SimSun" w:ascii="宋体;SimSun" w:hAnsi="宋体;SimSun"/>
                <w:kern w:val="0"/>
                <w:sz w:val="20"/>
                <w:szCs w:val="20"/>
              </w:rPr>
              <w:t>2024</w:t>
            </w:r>
            <w:r>
              <w:rPr>
                <w:rFonts w:ascii="宋体;SimSun" w:hAnsi="宋体;SimSun" w:eastAsia="宋体;SimSun"/>
                <w:kern w:val="0"/>
                <w:sz w:val="20"/>
                <w:szCs w:val="20"/>
              </w:rPr>
              <w:t>年</w:t>
            </w:r>
            <w:r>
              <w:rPr>
                <w:rFonts w:eastAsia="宋体;SimSun" w:ascii="宋体;SimSun" w:hAnsi="宋体;SimSun"/>
                <w:kern w:val="0"/>
                <w:sz w:val="20"/>
                <w:szCs w:val="20"/>
              </w:rPr>
              <w:t>11</w:t>
            </w:r>
            <w:r>
              <w:rPr>
                <w:rFonts w:ascii="宋体;SimSun" w:hAnsi="宋体;SimSun" w:eastAsia="宋体;SimSun"/>
                <w:kern w:val="0"/>
                <w:sz w:val="20"/>
                <w:szCs w:val="20"/>
              </w:rPr>
              <w:t>月</w:t>
            </w:r>
            <w:r>
              <w:rPr>
                <w:rFonts w:eastAsia="宋体;SimSun" w:ascii="宋体;SimSun" w:hAnsi="宋体;SimSun"/>
                <w:kern w:val="0"/>
                <w:sz w:val="20"/>
                <w:szCs w:val="20"/>
              </w:rPr>
              <w:t>13</w:t>
            </w:r>
            <w:r>
              <w:rPr>
                <w:rFonts w:ascii="宋体;SimSun" w:hAnsi="宋体;SimSun" w:eastAsia="宋体;SimSun"/>
                <w:kern w:val="0"/>
                <w:sz w:val="20"/>
                <w:szCs w:val="20"/>
              </w:rPr>
              <w:t>日</w:t>
            </w:r>
          </w:p>
        </w:tc>
        <w:tc>
          <w:tcPr>
            <w:tcW w:w="582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eastAsia="宋体;SimSun"/>
                <w:kern w:val="0"/>
                <w:sz w:val="20"/>
                <w:szCs w:val="20"/>
              </w:rPr>
            </w:pPr>
            <w:r>
              <w:rPr>
                <w:rFonts w:ascii="宋体;SimSun" w:hAnsi="宋体;SimSun" w:eastAsia="宋体;SimSun"/>
                <w:kern w:val="0"/>
                <w:sz w:val="20"/>
                <w:szCs w:val="20"/>
              </w:rPr>
              <w:t>财政部、税务总局、住房城乡建设部发布《关于促进房地产市场平稳健康发展有关税收政策的公告》，明确多项支持房地产市场发展的税收优惠政策。公告明确：加大住房交易环节契税优惠力度，积极支持居民刚性和改善性住房需求；降低土地增值税预征率下限，缓解房企财务困难。契税方面，将现行享受</w:t>
            </w:r>
            <w:r>
              <w:rPr>
                <w:rFonts w:eastAsia="宋体;SimSun" w:ascii="宋体;SimSun" w:hAnsi="宋体;SimSun"/>
                <w:kern w:val="0"/>
                <w:sz w:val="20"/>
                <w:szCs w:val="20"/>
              </w:rPr>
              <w:t>1%</w:t>
            </w:r>
            <w:r>
              <w:rPr>
                <w:rFonts w:ascii="宋体;SimSun" w:hAnsi="宋体;SimSun" w:eastAsia="宋体;SimSun"/>
                <w:kern w:val="0"/>
                <w:sz w:val="20"/>
                <w:szCs w:val="20"/>
              </w:rPr>
              <w:t>低税率优惠的面积标准由</w:t>
            </w:r>
            <w:r>
              <w:rPr>
                <w:rFonts w:eastAsia="宋体;SimSun" w:ascii="宋体;SimSun" w:hAnsi="宋体;SimSun"/>
                <w:kern w:val="0"/>
                <w:sz w:val="20"/>
                <w:szCs w:val="20"/>
              </w:rPr>
              <w:t>90</w:t>
            </w:r>
            <w:r>
              <w:rPr>
                <w:rFonts w:ascii="宋体;SimSun" w:hAnsi="宋体;SimSun" w:eastAsia="宋体;SimSun"/>
                <w:kern w:val="0"/>
                <w:sz w:val="20"/>
                <w:szCs w:val="20"/>
              </w:rPr>
              <w:t>平方米提高到</w:t>
            </w:r>
            <w:r>
              <w:rPr>
                <w:rFonts w:eastAsia="宋体;SimSun" w:ascii="宋体;SimSun" w:hAnsi="宋体;SimSun"/>
                <w:kern w:val="0"/>
                <w:sz w:val="20"/>
                <w:szCs w:val="20"/>
              </w:rPr>
              <w:t>140</w:t>
            </w:r>
            <w:r>
              <w:rPr>
                <w:rFonts w:ascii="宋体;SimSun" w:hAnsi="宋体;SimSun" w:eastAsia="宋体;SimSun"/>
                <w:kern w:val="0"/>
                <w:sz w:val="20"/>
                <w:szCs w:val="20"/>
              </w:rPr>
              <w:t>平方米，调整后在全国范围内，对个人购买家庭唯一住房和家庭第二套住房，只要面积不超过</w:t>
            </w:r>
            <w:r>
              <w:rPr>
                <w:rFonts w:eastAsia="宋体;SimSun" w:ascii="宋体;SimSun" w:hAnsi="宋体;SimSun"/>
                <w:kern w:val="0"/>
                <w:sz w:val="20"/>
                <w:szCs w:val="20"/>
              </w:rPr>
              <w:t>140</w:t>
            </w:r>
            <w:r>
              <w:rPr>
                <w:rFonts w:ascii="宋体;SimSun" w:hAnsi="宋体;SimSun" w:eastAsia="宋体;SimSun"/>
                <w:kern w:val="0"/>
                <w:sz w:val="20"/>
                <w:szCs w:val="20"/>
              </w:rPr>
              <w:t>平方米的，统一按</w:t>
            </w:r>
            <w:r>
              <w:rPr>
                <w:rFonts w:eastAsia="宋体;SimSun" w:ascii="宋体;SimSun" w:hAnsi="宋体;SimSun"/>
                <w:kern w:val="0"/>
                <w:sz w:val="20"/>
                <w:szCs w:val="20"/>
              </w:rPr>
              <w:t>1%</w:t>
            </w:r>
            <w:r>
              <w:rPr>
                <w:rFonts w:ascii="宋体;SimSun" w:hAnsi="宋体;SimSun" w:eastAsia="宋体;SimSun"/>
                <w:kern w:val="0"/>
                <w:sz w:val="20"/>
                <w:szCs w:val="20"/>
              </w:rPr>
              <w:t>的税率缴纳契税。土地增值税方面，将各地区土地增值税预征率下限统一降低</w:t>
            </w:r>
            <w:r>
              <w:rPr>
                <w:rFonts w:eastAsia="宋体;SimSun" w:ascii="宋体;SimSun" w:hAnsi="宋体;SimSun"/>
                <w:kern w:val="0"/>
                <w:sz w:val="20"/>
                <w:szCs w:val="20"/>
              </w:rPr>
              <w:t>0.5</w:t>
            </w:r>
            <w:r>
              <w:rPr>
                <w:rFonts w:ascii="宋体;SimSun" w:hAnsi="宋体;SimSun" w:eastAsia="宋体;SimSun"/>
                <w:kern w:val="0"/>
                <w:sz w:val="20"/>
                <w:szCs w:val="20"/>
              </w:rPr>
              <w:t>个百分点。</w:t>
            </w:r>
          </w:p>
        </w:tc>
      </w:tr>
      <w:tr>
        <w:trPr>
          <w:trHeight w:val="1040" w:hRule="atLeast"/>
        </w:trPr>
        <w:tc>
          <w:tcPr>
            <w:tcW w:w="999" w:type="dxa"/>
            <w:vMerge w:val="restart"/>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360"/>
              <w:jc w:val="center"/>
              <w:textAlignment w:val="bottom"/>
              <w:rPr>
                <w:rFonts w:ascii="宋体;SimSun" w:hAnsi="宋体;SimSun" w:eastAsia="宋体;SimSun"/>
                <w:b/>
                <w:kern w:val="0"/>
                <w:sz w:val="22"/>
              </w:rPr>
            </w:pPr>
            <w:r>
              <w:rPr>
                <w:rFonts w:ascii="宋体;SimSun" w:hAnsi="宋体;SimSun" w:eastAsia="宋体;SimSun"/>
                <w:b/>
                <w:kern w:val="0"/>
                <w:sz w:val="22"/>
              </w:rPr>
              <w:t>杭州调控政策</w:t>
            </w:r>
          </w:p>
        </w:tc>
        <w:tc>
          <w:tcPr>
            <w:tcW w:w="12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宋体;SimSun" w:hAnsi="宋体;SimSun" w:eastAsia="宋体;SimSun"/>
                <w:kern w:val="0"/>
                <w:sz w:val="20"/>
                <w:szCs w:val="20"/>
              </w:rPr>
            </w:pPr>
            <w:r>
              <w:rPr>
                <w:rFonts w:eastAsia="宋体;SimSun" w:ascii="宋体;SimSun" w:hAnsi="宋体;SimSun"/>
                <w:kern w:val="0"/>
                <w:sz w:val="20"/>
                <w:szCs w:val="20"/>
              </w:rPr>
              <w:t>2022</w:t>
            </w:r>
            <w:r>
              <w:rPr>
                <w:rFonts w:ascii="宋体;SimSun" w:hAnsi="宋体;SimSun" w:eastAsia="宋体;SimSun"/>
                <w:kern w:val="0"/>
                <w:sz w:val="20"/>
                <w:szCs w:val="20"/>
              </w:rPr>
              <w:t>年</w:t>
            </w:r>
            <w:r>
              <w:rPr>
                <w:rFonts w:eastAsia="宋体;SimSun" w:ascii="宋体;SimSun" w:hAnsi="宋体;SimSun"/>
                <w:kern w:val="0"/>
                <w:sz w:val="20"/>
                <w:szCs w:val="20"/>
              </w:rPr>
              <w:t>5</w:t>
            </w:r>
            <w:r>
              <w:rPr>
                <w:rFonts w:ascii="宋体;SimSun" w:hAnsi="宋体;SimSun" w:eastAsia="宋体;SimSun"/>
                <w:kern w:val="0"/>
                <w:sz w:val="20"/>
                <w:szCs w:val="20"/>
              </w:rPr>
              <w:t>月</w:t>
            </w:r>
            <w:r>
              <w:rPr>
                <w:rFonts w:eastAsia="宋体;SimSun" w:ascii="宋体;SimSun" w:hAnsi="宋体;SimSun"/>
                <w:kern w:val="0"/>
                <w:sz w:val="20"/>
                <w:szCs w:val="20"/>
              </w:rPr>
              <w:t>17</w:t>
            </w:r>
            <w:r>
              <w:rPr>
                <w:rFonts w:ascii="宋体;SimSun" w:hAnsi="宋体;SimSun" w:eastAsia="宋体;SimSun"/>
                <w:kern w:val="0"/>
                <w:sz w:val="20"/>
                <w:szCs w:val="20"/>
              </w:rPr>
              <w:t>日</w:t>
            </w:r>
          </w:p>
        </w:tc>
        <w:tc>
          <w:tcPr>
            <w:tcW w:w="582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eastAsia="宋体;SimSun"/>
                <w:kern w:val="0"/>
                <w:sz w:val="20"/>
                <w:szCs w:val="20"/>
              </w:rPr>
            </w:pPr>
            <w:r>
              <w:rPr>
                <w:rFonts w:ascii="宋体;SimSun" w:hAnsi="宋体;SimSun" w:eastAsia="宋体;SimSun"/>
                <w:kern w:val="0"/>
                <w:sz w:val="20"/>
                <w:szCs w:val="20"/>
              </w:rPr>
              <w:t>杭州市房地产市场平稳健康发展领导小组办公室发布《关于进一步促进房地产市场平稳健康发展的通知》，通知指出：在本市限购范围内购买二手住房，落户本市未满</w:t>
            </w:r>
            <w:r>
              <w:rPr>
                <w:rFonts w:eastAsia="宋体;SimSun" w:ascii="宋体;SimSun" w:hAnsi="宋体;SimSun"/>
                <w:kern w:val="0"/>
                <w:sz w:val="20"/>
                <w:szCs w:val="20"/>
              </w:rPr>
              <w:t>5</w:t>
            </w:r>
            <w:r>
              <w:rPr>
                <w:rFonts w:ascii="宋体;SimSun" w:hAnsi="宋体;SimSun" w:eastAsia="宋体;SimSun"/>
                <w:kern w:val="0"/>
                <w:sz w:val="20"/>
                <w:szCs w:val="20"/>
              </w:rPr>
              <w:t>年的户籍家庭无社保缴纳要求，非本市户籍家庭需在购房之日前</w:t>
            </w:r>
            <w:r>
              <w:rPr>
                <w:rFonts w:eastAsia="宋体;SimSun" w:ascii="宋体;SimSun" w:hAnsi="宋体;SimSun"/>
                <w:kern w:val="0"/>
                <w:sz w:val="20"/>
                <w:szCs w:val="20"/>
              </w:rPr>
              <w:t>1</w:t>
            </w:r>
            <w:r>
              <w:rPr>
                <w:rFonts w:ascii="宋体;SimSun" w:hAnsi="宋体;SimSun" w:eastAsia="宋体;SimSun"/>
                <w:kern w:val="0"/>
                <w:sz w:val="20"/>
                <w:szCs w:val="20"/>
              </w:rPr>
              <w:t>年起已在本市限购范围内连续缴纳城镇社保或个人所得税满</w:t>
            </w:r>
            <w:r>
              <w:rPr>
                <w:rFonts w:eastAsia="宋体;SimSun" w:ascii="宋体;SimSun" w:hAnsi="宋体;SimSun"/>
                <w:kern w:val="0"/>
                <w:sz w:val="20"/>
                <w:szCs w:val="20"/>
              </w:rPr>
              <w:t>12</w:t>
            </w:r>
            <w:r>
              <w:rPr>
                <w:rFonts w:ascii="宋体;SimSun" w:hAnsi="宋体;SimSun" w:eastAsia="宋体;SimSun"/>
                <w:kern w:val="0"/>
                <w:sz w:val="20"/>
                <w:szCs w:val="20"/>
              </w:rPr>
              <w:t>个月；进一步完善税收调节：本市限购范围内，个人转让家庭唯一住房，增值税征免年限由</w:t>
            </w:r>
            <w:r>
              <w:rPr>
                <w:rFonts w:eastAsia="宋体;SimSun" w:ascii="宋体;SimSun" w:hAnsi="宋体;SimSun"/>
                <w:kern w:val="0"/>
                <w:sz w:val="20"/>
                <w:szCs w:val="20"/>
              </w:rPr>
              <w:t>5</w:t>
            </w:r>
            <w:r>
              <w:rPr>
                <w:rFonts w:ascii="宋体;SimSun" w:hAnsi="宋体;SimSun" w:eastAsia="宋体;SimSun"/>
                <w:kern w:val="0"/>
                <w:sz w:val="20"/>
                <w:szCs w:val="20"/>
              </w:rPr>
              <w:t>年调整到</w:t>
            </w:r>
            <w:r>
              <w:rPr>
                <w:rFonts w:eastAsia="宋体;SimSun" w:ascii="宋体;SimSun" w:hAnsi="宋体;SimSun"/>
                <w:kern w:val="0"/>
                <w:sz w:val="20"/>
                <w:szCs w:val="20"/>
              </w:rPr>
              <w:t>2</w:t>
            </w:r>
            <w:r>
              <w:rPr>
                <w:rFonts w:ascii="宋体;SimSun" w:hAnsi="宋体;SimSun" w:eastAsia="宋体;SimSun"/>
                <w:kern w:val="0"/>
                <w:sz w:val="20"/>
                <w:szCs w:val="20"/>
              </w:rPr>
              <w:t>年；更好满足三孩家庭购房需求：符合条件的三孩家庭，在本市限购范围内限购的住房套数增加</w:t>
            </w:r>
            <w:r>
              <w:rPr>
                <w:rFonts w:eastAsia="宋体;SimSun" w:ascii="宋体;SimSun" w:hAnsi="宋体;SimSun"/>
                <w:kern w:val="0"/>
                <w:sz w:val="20"/>
                <w:szCs w:val="20"/>
              </w:rPr>
              <w:t>1</w:t>
            </w:r>
            <w:r>
              <w:rPr>
                <w:rFonts w:ascii="宋体;SimSun" w:hAnsi="宋体;SimSun" w:eastAsia="宋体;SimSun"/>
                <w:kern w:val="0"/>
                <w:sz w:val="20"/>
                <w:szCs w:val="20"/>
              </w:rPr>
              <w:t>套，报名参加新建商品住房公开摇号销售时，参照“无房家庭”优先摇号。</w:t>
            </w:r>
          </w:p>
        </w:tc>
      </w:tr>
      <w:tr>
        <w:trPr/>
        <w:tc>
          <w:tcPr>
            <w:tcW w:w="99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360"/>
              <w:jc w:val="start"/>
              <w:textAlignment w:val="bottom"/>
              <w:rPr>
                <w:rFonts w:ascii="宋体;SimSun" w:hAnsi="宋体;SimSun" w:eastAsia="宋体;SimSun"/>
                <w:kern w:val="0"/>
                <w:sz w:val="20"/>
                <w:szCs w:val="20"/>
              </w:rPr>
            </w:pPr>
            <w:r>
              <w:rPr>
                <w:rFonts w:eastAsia="宋体;SimSun" w:ascii="宋体;SimSun" w:hAnsi="宋体;SimSun"/>
                <w:kern w:val="0"/>
                <w:sz w:val="20"/>
                <w:szCs w:val="20"/>
              </w:rPr>
            </w:r>
          </w:p>
        </w:tc>
        <w:tc>
          <w:tcPr>
            <w:tcW w:w="12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宋体;SimSun" w:hAnsi="宋体;SimSun" w:eastAsia="宋体;SimSun"/>
                <w:kern w:val="0"/>
                <w:sz w:val="20"/>
                <w:szCs w:val="20"/>
              </w:rPr>
            </w:pPr>
            <w:r>
              <w:rPr>
                <w:rFonts w:eastAsia="宋体;SimSun" w:ascii="宋体;SimSun" w:hAnsi="宋体;SimSun"/>
                <w:kern w:val="0"/>
                <w:sz w:val="20"/>
                <w:szCs w:val="20"/>
              </w:rPr>
              <w:t>2022</w:t>
            </w:r>
            <w:r>
              <w:rPr>
                <w:rFonts w:ascii="宋体;SimSun" w:hAnsi="宋体;SimSun" w:eastAsia="宋体;SimSun"/>
                <w:kern w:val="0"/>
                <w:sz w:val="20"/>
                <w:szCs w:val="20"/>
              </w:rPr>
              <w:t>年</w:t>
            </w:r>
            <w:r>
              <w:rPr>
                <w:rFonts w:eastAsia="宋体;SimSun" w:ascii="宋体;SimSun" w:hAnsi="宋体;SimSun"/>
                <w:kern w:val="0"/>
                <w:sz w:val="20"/>
                <w:szCs w:val="20"/>
              </w:rPr>
              <w:t>8</w:t>
            </w:r>
            <w:r>
              <w:rPr>
                <w:rFonts w:ascii="宋体;SimSun" w:hAnsi="宋体;SimSun" w:eastAsia="宋体;SimSun"/>
                <w:kern w:val="0"/>
                <w:sz w:val="20"/>
                <w:szCs w:val="20"/>
              </w:rPr>
              <w:t>月</w:t>
            </w:r>
            <w:r>
              <w:rPr>
                <w:rFonts w:eastAsia="宋体;SimSun" w:ascii="宋体;SimSun" w:hAnsi="宋体;SimSun"/>
                <w:kern w:val="0"/>
                <w:sz w:val="20"/>
                <w:szCs w:val="20"/>
              </w:rPr>
              <w:t>1</w:t>
            </w:r>
            <w:r>
              <w:rPr>
                <w:rFonts w:ascii="宋体;SimSun" w:hAnsi="宋体;SimSun" w:eastAsia="宋体;SimSun"/>
                <w:kern w:val="0"/>
                <w:sz w:val="20"/>
                <w:szCs w:val="20"/>
              </w:rPr>
              <w:t>日</w:t>
            </w:r>
          </w:p>
        </w:tc>
        <w:tc>
          <w:tcPr>
            <w:tcW w:w="582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eastAsia="宋体;SimSun"/>
                <w:kern w:val="0"/>
                <w:sz w:val="20"/>
                <w:szCs w:val="20"/>
              </w:rPr>
            </w:pPr>
            <w:r>
              <w:rPr>
                <w:rFonts w:ascii="宋体;SimSun" w:hAnsi="宋体;SimSun" w:eastAsia="宋体;SimSun"/>
                <w:kern w:val="0"/>
                <w:sz w:val="20"/>
                <w:szCs w:val="20"/>
              </w:rPr>
              <w:t>杭州市出台三孩家庭住房公积金优惠政策，三孩家庭购买首套普通自住住房且首次申请住房公积金贷款的，贷款额度可按家庭当期最高贷款限额上浮</w:t>
            </w:r>
            <w:r>
              <w:rPr>
                <w:rFonts w:eastAsia="宋体;SimSun" w:ascii="宋体;SimSun" w:hAnsi="宋体;SimSun"/>
                <w:kern w:val="0"/>
                <w:sz w:val="20"/>
                <w:szCs w:val="20"/>
              </w:rPr>
              <w:t>20%</w:t>
            </w:r>
            <w:r>
              <w:rPr>
                <w:rFonts w:ascii="宋体;SimSun" w:hAnsi="宋体;SimSun" w:eastAsia="宋体;SimSun"/>
                <w:kern w:val="0"/>
                <w:sz w:val="20"/>
                <w:szCs w:val="20"/>
              </w:rPr>
              <w:t>确定；三孩家庭无房租赁住房提取住房公积金的，提取限额按规定额度标准上浮</w:t>
            </w:r>
            <w:r>
              <w:rPr>
                <w:rFonts w:eastAsia="宋体;SimSun" w:ascii="宋体;SimSun" w:hAnsi="宋体;SimSun"/>
                <w:kern w:val="0"/>
                <w:sz w:val="20"/>
                <w:szCs w:val="20"/>
              </w:rPr>
              <w:t>50%</w:t>
            </w:r>
            <w:r>
              <w:rPr>
                <w:rFonts w:ascii="宋体;SimSun" w:hAnsi="宋体;SimSun" w:eastAsia="宋体;SimSun"/>
                <w:kern w:val="0"/>
                <w:sz w:val="20"/>
                <w:szCs w:val="20"/>
              </w:rPr>
              <w:t>确定。</w:t>
            </w:r>
          </w:p>
        </w:tc>
      </w:tr>
      <w:tr>
        <w:trPr/>
        <w:tc>
          <w:tcPr>
            <w:tcW w:w="99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360"/>
              <w:jc w:val="start"/>
              <w:textAlignment w:val="bottom"/>
              <w:rPr>
                <w:rFonts w:ascii="宋体;SimSun" w:hAnsi="宋体;SimSun" w:eastAsia="宋体;SimSun"/>
                <w:kern w:val="0"/>
                <w:sz w:val="20"/>
                <w:szCs w:val="20"/>
              </w:rPr>
            </w:pPr>
            <w:r>
              <w:rPr>
                <w:rFonts w:eastAsia="宋体;SimSun" w:ascii="宋体;SimSun" w:hAnsi="宋体;SimSun"/>
                <w:kern w:val="0"/>
                <w:sz w:val="20"/>
                <w:szCs w:val="20"/>
              </w:rPr>
            </w:r>
          </w:p>
        </w:tc>
        <w:tc>
          <w:tcPr>
            <w:tcW w:w="12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宋体;SimSun" w:hAnsi="宋体;SimSun" w:eastAsia="宋体;SimSun"/>
                <w:kern w:val="0"/>
                <w:sz w:val="20"/>
                <w:szCs w:val="20"/>
              </w:rPr>
            </w:pPr>
            <w:r>
              <w:rPr>
                <w:rFonts w:eastAsia="宋体;SimSun" w:ascii="宋体;SimSun" w:hAnsi="宋体;SimSun"/>
                <w:kern w:val="0"/>
                <w:sz w:val="20"/>
                <w:szCs w:val="20"/>
              </w:rPr>
              <w:t>2023</w:t>
            </w:r>
            <w:r>
              <w:rPr>
                <w:rFonts w:ascii="宋体;SimSun" w:hAnsi="宋体;SimSun" w:eastAsia="宋体;SimSun"/>
                <w:kern w:val="0"/>
                <w:sz w:val="20"/>
                <w:szCs w:val="20"/>
              </w:rPr>
              <w:t>年</w:t>
            </w:r>
            <w:r>
              <w:rPr>
                <w:rFonts w:eastAsia="宋体;SimSun" w:ascii="宋体;SimSun" w:hAnsi="宋体;SimSun"/>
                <w:kern w:val="0"/>
                <w:sz w:val="20"/>
                <w:szCs w:val="20"/>
              </w:rPr>
              <w:t>4</w:t>
            </w:r>
            <w:r>
              <w:rPr>
                <w:rFonts w:ascii="宋体;SimSun" w:hAnsi="宋体;SimSun" w:eastAsia="宋体;SimSun"/>
                <w:kern w:val="0"/>
                <w:sz w:val="20"/>
                <w:szCs w:val="20"/>
              </w:rPr>
              <w:t>月</w:t>
            </w:r>
            <w:r>
              <w:rPr>
                <w:rFonts w:eastAsia="宋体;SimSun" w:ascii="宋体;SimSun" w:hAnsi="宋体;SimSun"/>
                <w:kern w:val="0"/>
                <w:sz w:val="20"/>
                <w:szCs w:val="20"/>
              </w:rPr>
              <w:t>14</w:t>
            </w:r>
            <w:r>
              <w:rPr>
                <w:rFonts w:ascii="宋体;SimSun" w:hAnsi="宋体;SimSun" w:eastAsia="宋体;SimSun"/>
                <w:kern w:val="0"/>
                <w:sz w:val="20"/>
                <w:szCs w:val="20"/>
              </w:rPr>
              <w:t>日</w:t>
            </w:r>
          </w:p>
        </w:tc>
        <w:tc>
          <w:tcPr>
            <w:tcW w:w="582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eastAsia="宋体;SimSun"/>
                <w:kern w:val="0"/>
                <w:sz w:val="20"/>
                <w:szCs w:val="20"/>
              </w:rPr>
            </w:pPr>
            <w:r>
              <w:rPr>
                <w:rFonts w:ascii="宋体;SimSun" w:hAnsi="宋体;SimSun" w:eastAsia="宋体;SimSun"/>
                <w:kern w:val="0"/>
                <w:sz w:val="20"/>
                <w:szCs w:val="20"/>
              </w:rPr>
              <w:t>杭州出台《关于进一步深化户籍制度改革的实施意见》，进一步放宽落户政策、优化居住证政策。</w:t>
            </w:r>
          </w:p>
        </w:tc>
      </w:tr>
      <w:tr>
        <w:trPr/>
        <w:tc>
          <w:tcPr>
            <w:tcW w:w="99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360"/>
              <w:jc w:val="start"/>
              <w:textAlignment w:val="bottom"/>
              <w:rPr>
                <w:rFonts w:ascii="宋体;SimSun" w:hAnsi="宋体;SimSun" w:eastAsia="宋体;SimSun"/>
                <w:kern w:val="0"/>
                <w:sz w:val="20"/>
                <w:szCs w:val="20"/>
              </w:rPr>
            </w:pPr>
            <w:r>
              <w:rPr>
                <w:rFonts w:eastAsia="宋体;SimSun" w:ascii="宋体;SimSun" w:hAnsi="宋体;SimSun"/>
                <w:kern w:val="0"/>
                <w:sz w:val="20"/>
                <w:szCs w:val="20"/>
              </w:rPr>
            </w:r>
          </w:p>
        </w:tc>
        <w:tc>
          <w:tcPr>
            <w:tcW w:w="12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宋体;SimSun" w:hAnsi="宋体;SimSun" w:eastAsia="宋体;SimSun"/>
                <w:kern w:val="0"/>
                <w:sz w:val="20"/>
                <w:szCs w:val="20"/>
              </w:rPr>
            </w:pPr>
            <w:r>
              <w:rPr>
                <w:rFonts w:eastAsia="宋体;SimSun" w:ascii="宋体;SimSun" w:hAnsi="宋体;SimSun"/>
                <w:kern w:val="0"/>
                <w:sz w:val="20"/>
                <w:szCs w:val="20"/>
              </w:rPr>
              <w:t>2023</w:t>
            </w:r>
            <w:r>
              <w:rPr>
                <w:rFonts w:ascii="宋体;SimSun" w:hAnsi="宋体;SimSun" w:eastAsia="宋体;SimSun"/>
                <w:kern w:val="0"/>
                <w:sz w:val="20"/>
                <w:szCs w:val="20"/>
              </w:rPr>
              <w:t>年</w:t>
            </w:r>
            <w:r>
              <w:rPr>
                <w:rFonts w:eastAsia="宋体;SimSun" w:ascii="宋体;SimSun" w:hAnsi="宋体;SimSun"/>
                <w:kern w:val="0"/>
                <w:sz w:val="20"/>
                <w:szCs w:val="20"/>
              </w:rPr>
              <w:t>8</w:t>
            </w:r>
            <w:r>
              <w:rPr>
                <w:rFonts w:ascii="宋体;SimSun" w:hAnsi="宋体;SimSun" w:eastAsia="宋体;SimSun"/>
                <w:kern w:val="0"/>
                <w:sz w:val="20"/>
                <w:szCs w:val="20"/>
              </w:rPr>
              <w:t>月</w:t>
            </w:r>
            <w:r>
              <w:rPr>
                <w:rFonts w:eastAsia="宋体;SimSun" w:ascii="宋体;SimSun" w:hAnsi="宋体;SimSun"/>
                <w:kern w:val="0"/>
                <w:sz w:val="20"/>
                <w:szCs w:val="20"/>
              </w:rPr>
              <w:t>25</w:t>
            </w:r>
            <w:r>
              <w:rPr>
                <w:rFonts w:ascii="宋体;SimSun" w:hAnsi="宋体;SimSun" w:eastAsia="宋体;SimSun"/>
                <w:kern w:val="0"/>
                <w:sz w:val="20"/>
                <w:szCs w:val="20"/>
              </w:rPr>
              <w:t>日</w:t>
            </w:r>
          </w:p>
        </w:tc>
        <w:tc>
          <w:tcPr>
            <w:tcW w:w="582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eastAsia="宋体;SimSun"/>
                <w:kern w:val="0"/>
                <w:sz w:val="20"/>
                <w:szCs w:val="20"/>
              </w:rPr>
            </w:pPr>
            <w:r>
              <w:rPr>
                <w:rFonts w:ascii="宋体;SimSun" w:hAnsi="宋体;SimSun" w:eastAsia="宋体;SimSun"/>
                <w:kern w:val="0"/>
                <w:sz w:val="20"/>
                <w:szCs w:val="20"/>
              </w:rPr>
              <w:t>住房城乡建设部、中国人民银行、金融监管总局联合印发了《关于优化个人住房贷款中住房套数认定标准的通知》，推动落实购买首套房贷款“认房不用认贷”政策措施。杭州市此次调整从</w:t>
            </w:r>
            <w:r>
              <w:rPr>
                <w:rFonts w:eastAsia="宋体;SimSun" w:ascii="宋体;SimSun" w:hAnsi="宋体;SimSun"/>
                <w:kern w:val="0"/>
                <w:sz w:val="20"/>
                <w:szCs w:val="20"/>
              </w:rPr>
              <w:t xml:space="preserve">2023 </w:t>
            </w:r>
            <w:r>
              <w:rPr>
                <w:rFonts w:ascii="宋体;SimSun" w:hAnsi="宋体;SimSun" w:eastAsia="宋体;SimSun"/>
                <w:kern w:val="0"/>
                <w:sz w:val="20"/>
                <w:szCs w:val="20"/>
              </w:rPr>
              <w:t>年</w:t>
            </w:r>
            <w:r>
              <w:rPr>
                <w:rFonts w:eastAsia="宋体;SimSun" w:ascii="宋体;SimSun" w:hAnsi="宋体;SimSun"/>
                <w:kern w:val="0"/>
                <w:sz w:val="20"/>
                <w:szCs w:val="20"/>
              </w:rPr>
              <w:t>9</w:t>
            </w:r>
            <w:r>
              <w:rPr>
                <w:rFonts w:ascii="宋体;SimSun" w:hAnsi="宋体;SimSun" w:eastAsia="宋体;SimSun"/>
                <w:kern w:val="0"/>
                <w:sz w:val="20"/>
                <w:szCs w:val="20"/>
              </w:rPr>
              <w:t>月</w:t>
            </w:r>
            <w:r>
              <w:rPr>
                <w:rFonts w:eastAsia="宋体;SimSun" w:ascii="宋体;SimSun" w:hAnsi="宋体;SimSun"/>
                <w:kern w:val="0"/>
                <w:sz w:val="20"/>
                <w:szCs w:val="20"/>
              </w:rPr>
              <w:t>5</w:t>
            </w:r>
            <w:r>
              <w:rPr>
                <w:rFonts w:ascii="宋体;SimSun" w:hAnsi="宋体;SimSun" w:eastAsia="宋体;SimSun"/>
                <w:kern w:val="0"/>
                <w:sz w:val="20"/>
                <w:szCs w:val="20"/>
              </w:rPr>
              <w:t>日起实施，以房屋合同网签备案时间为准。</w:t>
            </w:r>
          </w:p>
        </w:tc>
      </w:tr>
      <w:tr>
        <w:trPr/>
        <w:tc>
          <w:tcPr>
            <w:tcW w:w="99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360"/>
              <w:jc w:val="start"/>
              <w:textAlignment w:val="bottom"/>
              <w:rPr>
                <w:rFonts w:ascii="宋体;SimSun" w:hAnsi="宋体;SimSun" w:eastAsia="宋体;SimSun"/>
                <w:kern w:val="0"/>
                <w:sz w:val="20"/>
                <w:szCs w:val="20"/>
              </w:rPr>
            </w:pPr>
            <w:r>
              <w:rPr>
                <w:rFonts w:eastAsia="宋体;SimSun" w:ascii="宋体;SimSun" w:hAnsi="宋体;SimSun"/>
                <w:kern w:val="0"/>
                <w:sz w:val="20"/>
                <w:szCs w:val="20"/>
              </w:rPr>
            </w:r>
          </w:p>
        </w:tc>
        <w:tc>
          <w:tcPr>
            <w:tcW w:w="12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宋体;SimSun" w:hAnsi="宋体;SimSun" w:eastAsia="宋体;SimSun"/>
                <w:kern w:val="0"/>
                <w:sz w:val="20"/>
                <w:szCs w:val="20"/>
              </w:rPr>
            </w:pPr>
            <w:r>
              <w:rPr>
                <w:rFonts w:eastAsia="宋体;SimSun" w:ascii="宋体;SimSun" w:hAnsi="宋体;SimSun"/>
                <w:kern w:val="0"/>
                <w:sz w:val="20"/>
                <w:szCs w:val="20"/>
              </w:rPr>
              <w:t>2023</w:t>
            </w:r>
            <w:r>
              <w:rPr>
                <w:rFonts w:ascii="宋体;SimSun" w:hAnsi="宋体;SimSun" w:eastAsia="宋体;SimSun"/>
                <w:kern w:val="0"/>
                <w:sz w:val="20"/>
                <w:szCs w:val="20"/>
              </w:rPr>
              <w:t>年</w:t>
            </w:r>
            <w:r>
              <w:rPr>
                <w:rFonts w:eastAsia="宋体;SimSun" w:ascii="宋体;SimSun" w:hAnsi="宋体;SimSun"/>
                <w:kern w:val="0"/>
                <w:sz w:val="20"/>
                <w:szCs w:val="20"/>
              </w:rPr>
              <w:t>10</w:t>
            </w:r>
            <w:r>
              <w:rPr>
                <w:rFonts w:ascii="宋体;SimSun" w:hAnsi="宋体;SimSun" w:eastAsia="宋体;SimSun"/>
                <w:kern w:val="0"/>
                <w:sz w:val="20"/>
                <w:szCs w:val="20"/>
              </w:rPr>
              <w:t>月</w:t>
            </w:r>
            <w:r>
              <w:rPr>
                <w:rFonts w:eastAsia="宋体;SimSun" w:ascii="宋体;SimSun" w:hAnsi="宋体;SimSun"/>
                <w:kern w:val="0"/>
                <w:sz w:val="20"/>
                <w:szCs w:val="20"/>
              </w:rPr>
              <w:t>16</w:t>
            </w:r>
            <w:r>
              <w:rPr>
                <w:rFonts w:ascii="宋体;SimSun" w:hAnsi="宋体;SimSun" w:eastAsia="宋体;SimSun"/>
                <w:kern w:val="0"/>
                <w:sz w:val="20"/>
                <w:szCs w:val="20"/>
              </w:rPr>
              <w:t>日</w:t>
            </w:r>
          </w:p>
        </w:tc>
        <w:tc>
          <w:tcPr>
            <w:tcW w:w="582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eastAsia="宋体;SimSun"/>
                <w:kern w:val="0"/>
                <w:sz w:val="20"/>
                <w:szCs w:val="20"/>
              </w:rPr>
            </w:pPr>
            <w:r>
              <w:rPr>
                <w:rFonts w:ascii="宋体;SimSun" w:hAnsi="宋体;SimSun" w:eastAsia="宋体;SimSun"/>
                <w:kern w:val="0"/>
                <w:sz w:val="20"/>
                <w:szCs w:val="20"/>
              </w:rPr>
              <w:t>杭州市房地产市场平稳健康发展领导小组办公室发布《关于优化调整房地产市场调控措施的通知》，新政主要内容如下：限购范围缩减为上城区、拱墅区、西湖区、滨江区主城四区；本市户籍可在限购区域买</w:t>
            </w:r>
            <w:r>
              <w:rPr>
                <w:rFonts w:eastAsia="宋体;SimSun" w:ascii="宋体;SimSun" w:hAnsi="宋体;SimSun"/>
                <w:kern w:val="0"/>
                <w:sz w:val="20"/>
                <w:szCs w:val="20"/>
              </w:rPr>
              <w:t>2</w:t>
            </w:r>
            <w:r>
              <w:rPr>
                <w:rFonts w:ascii="宋体;SimSun" w:hAnsi="宋体;SimSun" w:eastAsia="宋体;SimSun"/>
                <w:kern w:val="0"/>
                <w:sz w:val="20"/>
                <w:szCs w:val="20"/>
              </w:rPr>
              <w:t>套，非本市户籍可在限购区购买</w:t>
            </w:r>
            <w:r>
              <w:rPr>
                <w:rFonts w:eastAsia="宋体;SimSun" w:ascii="宋体;SimSun" w:hAnsi="宋体;SimSun"/>
                <w:kern w:val="0"/>
                <w:sz w:val="20"/>
                <w:szCs w:val="20"/>
              </w:rPr>
              <w:t>1</w:t>
            </w:r>
            <w:r>
              <w:rPr>
                <w:rFonts w:ascii="宋体;SimSun" w:hAnsi="宋体;SimSun" w:eastAsia="宋体;SimSun"/>
                <w:kern w:val="0"/>
                <w:sz w:val="20"/>
                <w:szCs w:val="20"/>
              </w:rPr>
              <w:t>套（只要有社保或个税记录），限购区域和非限购区域单独计算；法拍房不限购；贷款年限延长，房龄</w:t>
            </w:r>
            <w:r>
              <w:rPr>
                <w:rFonts w:eastAsia="宋体;SimSun" w:ascii="宋体;SimSun" w:hAnsi="宋体;SimSun"/>
                <w:kern w:val="0"/>
                <w:sz w:val="20"/>
                <w:szCs w:val="20"/>
              </w:rPr>
              <w:t>+</w:t>
            </w:r>
            <w:r>
              <w:rPr>
                <w:rFonts w:ascii="宋体;SimSun" w:hAnsi="宋体;SimSun" w:eastAsia="宋体;SimSun"/>
                <w:kern w:val="0"/>
                <w:sz w:val="20"/>
                <w:szCs w:val="20"/>
              </w:rPr>
              <w:t>贷龄由不超过</w:t>
            </w:r>
            <w:r>
              <w:rPr>
                <w:rFonts w:eastAsia="宋体;SimSun" w:ascii="宋体;SimSun" w:hAnsi="宋体;SimSun"/>
                <w:kern w:val="0"/>
                <w:sz w:val="20"/>
                <w:szCs w:val="20"/>
              </w:rPr>
              <w:t>50</w:t>
            </w:r>
            <w:r>
              <w:rPr>
                <w:rFonts w:ascii="宋体;SimSun" w:hAnsi="宋体;SimSun" w:eastAsia="宋体;SimSun"/>
                <w:kern w:val="0"/>
                <w:sz w:val="20"/>
                <w:szCs w:val="20"/>
              </w:rPr>
              <w:t>年延长至不超过</w:t>
            </w:r>
            <w:r>
              <w:rPr>
                <w:rFonts w:eastAsia="宋体;SimSun" w:ascii="宋体;SimSun" w:hAnsi="宋体;SimSun"/>
                <w:kern w:val="0"/>
                <w:sz w:val="20"/>
                <w:szCs w:val="20"/>
              </w:rPr>
              <w:t>70</w:t>
            </w:r>
            <w:r>
              <w:rPr>
                <w:rFonts w:ascii="宋体;SimSun" w:hAnsi="宋体;SimSun" w:eastAsia="宋体;SimSun"/>
                <w:kern w:val="0"/>
                <w:sz w:val="20"/>
                <w:szCs w:val="20"/>
              </w:rPr>
              <w:t>年。</w:t>
            </w:r>
          </w:p>
        </w:tc>
      </w:tr>
      <w:tr>
        <w:trPr/>
        <w:tc>
          <w:tcPr>
            <w:tcW w:w="99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360"/>
              <w:jc w:val="start"/>
              <w:textAlignment w:val="bottom"/>
              <w:rPr>
                <w:rFonts w:ascii="宋体;SimSun" w:hAnsi="宋体;SimSun" w:eastAsia="宋体;SimSun"/>
                <w:kern w:val="0"/>
                <w:sz w:val="20"/>
                <w:szCs w:val="20"/>
              </w:rPr>
            </w:pPr>
            <w:r>
              <w:rPr>
                <w:rFonts w:eastAsia="宋体;SimSun" w:ascii="宋体;SimSun" w:hAnsi="宋体;SimSun"/>
                <w:kern w:val="0"/>
                <w:sz w:val="20"/>
                <w:szCs w:val="20"/>
              </w:rPr>
            </w:r>
          </w:p>
        </w:tc>
        <w:tc>
          <w:tcPr>
            <w:tcW w:w="12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宋体;SimSun" w:hAnsi="宋体;SimSun" w:eastAsia="宋体;SimSun"/>
                <w:kern w:val="0"/>
                <w:sz w:val="20"/>
                <w:szCs w:val="20"/>
              </w:rPr>
            </w:pPr>
            <w:r>
              <w:rPr>
                <w:rFonts w:eastAsia="宋体;SimSun" w:ascii="宋体;SimSun" w:hAnsi="宋体;SimSun"/>
                <w:kern w:val="0"/>
                <w:sz w:val="20"/>
                <w:szCs w:val="20"/>
              </w:rPr>
              <w:t>2024</w:t>
            </w:r>
            <w:r>
              <w:rPr>
                <w:rFonts w:ascii="宋体;SimSun" w:hAnsi="宋体;SimSun" w:eastAsia="宋体;SimSun"/>
                <w:kern w:val="0"/>
                <w:sz w:val="20"/>
                <w:szCs w:val="20"/>
              </w:rPr>
              <w:t>年</w:t>
            </w:r>
            <w:r>
              <w:rPr>
                <w:rFonts w:eastAsia="宋体;SimSun" w:ascii="宋体;SimSun" w:hAnsi="宋体;SimSun"/>
                <w:kern w:val="0"/>
                <w:sz w:val="20"/>
                <w:szCs w:val="20"/>
              </w:rPr>
              <w:t>3</w:t>
            </w:r>
            <w:r>
              <w:rPr>
                <w:rFonts w:ascii="宋体;SimSun" w:hAnsi="宋体;SimSun" w:eastAsia="宋体;SimSun"/>
                <w:kern w:val="0"/>
                <w:sz w:val="20"/>
                <w:szCs w:val="20"/>
              </w:rPr>
              <w:t>月</w:t>
            </w:r>
            <w:r>
              <w:rPr>
                <w:rFonts w:eastAsia="宋体;SimSun" w:ascii="宋体;SimSun" w:hAnsi="宋体;SimSun"/>
                <w:kern w:val="0"/>
                <w:sz w:val="20"/>
                <w:szCs w:val="20"/>
              </w:rPr>
              <w:t>14</w:t>
            </w:r>
            <w:r>
              <w:rPr>
                <w:rFonts w:ascii="宋体;SimSun" w:hAnsi="宋体;SimSun" w:eastAsia="宋体;SimSun"/>
                <w:kern w:val="0"/>
                <w:sz w:val="20"/>
                <w:szCs w:val="20"/>
              </w:rPr>
              <w:t>日</w:t>
            </w:r>
          </w:p>
        </w:tc>
        <w:tc>
          <w:tcPr>
            <w:tcW w:w="582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ascii="宋体;SimSun" w:hAnsi="宋体;SimSun" w:eastAsia="宋体;SimSun"/>
                <w:kern w:val="0"/>
                <w:sz w:val="20"/>
                <w:szCs w:val="20"/>
              </w:rPr>
              <w:t>杭州市房地产市场平稳健康发展领导小组办公室发布《关于进一步优化房地产市场调控措施的通知》，要求加大规划建设保障性住房力度，加快房源筹建，</w:t>
            </w:r>
            <w:r>
              <w:rPr>
                <w:rFonts w:eastAsia="宋体;SimSun" w:ascii="宋体;SimSun" w:hAnsi="宋体;SimSun"/>
                <w:kern w:val="0"/>
                <w:sz w:val="20"/>
                <w:szCs w:val="20"/>
              </w:rPr>
              <w:t>2024</w:t>
            </w:r>
            <w:r>
              <w:rPr>
                <w:rFonts w:ascii="宋体;SimSun" w:hAnsi="宋体;SimSun" w:eastAsia="宋体;SimSun"/>
                <w:kern w:val="0"/>
                <w:sz w:val="20"/>
                <w:szCs w:val="20"/>
              </w:rPr>
              <w:t>年开工建设配售型保障性住房不少于</w:t>
            </w:r>
            <w:r>
              <w:rPr>
                <w:rFonts w:eastAsia="宋体;SimSun" w:ascii="宋体;SimSun" w:hAnsi="宋体;SimSun"/>
                <w:kern w:val="0"/>
                <w:sz w:val="20"/>
                <w:szCs w:val="20"/>
              </w:rPr>
              <w:t>6000</w:t>
            </w:r>
            <w:r>
              <w:rPr>
                <w:rFonts w:ascii="宋体;SimSun" w:hAnsi="宋体;SimSun" w:eastAsia="宋体;SimSun"/>
                <w:kern w:val="0"/>
                <w:sz w:val="20"/>
                <w:szCs w:val="20"/>
              </w:rPr>
              <w:t>套，着力解决工薪收入群体住房困难；明确优化二手住房限购政策，在本市范围内购买二手住房，不再审核购房人资格；同时明确优化增值税征免年限，本市范围内个人出售住房的增值税征免年限统一调整为</w:t>
            </w:r>
            <w:r>
              <w:rPr>
                <w:rFonts w:eastAsia="宋体;SimSun" w:ascii="宋体;SimSun" w:hAnsi="宋体;SimSun"/>
                <w:kern w:val="0"/>
                <w:sz w:val="20"/>
                <w:szCs w:val="20"/>
              </w:rPr>
              <w:t>2</w:t>
            </w:r>
            <w:r>
              <w:rPr>
                <w:rFonts w:ascii="宋体;SimSun" w:hAnsi="宋体;SimSun" w:eastAsia="宋体;SimSun"/>
                <w:kern w:val="0"/>
                <w:sz w:val="20"/>
                <w:szCs w:val="20"/>
              </w:rPr>
              <w:t>年；要求继续加大推进城市有机更新力度，优化房屋征迁补偿安置方式，满足多样化安置需求；强调加快建立健全房地产融资协调机制，一视同仁满足不同所有制房企合理融资需求，全力支持房地产在建项目融资和建设交付，保障购房人合法权益。</w:t>
            </w:r>
          </w:p>
        </w:tc>
      </w:tr>
      <w:tr>
        <w:trPr/>
        <w:tc>
          <w:tcPr>
            <w:tcW w:w="99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360"/>
              <w:jc w:val="start"/>
              <w:textAlignment w:val="bottom"/>
              <w:rPr>
                <w:rFonts w:ascii="宋体;SimSun" w:hAnsi="宋体;SimSun" w:eastAsia="宋体;SimSun"/>
                <w:kern w:val="0"/>
                <w:sz w:val="20"/>
                <w:szCs w:val="20"/>
              </w:rPr>
            </w:pPr>
            <w:r>
              <w:rPr>
                <w:rFonts w:eastAsia="宋体;SimSun" w:ascii="宋体;SimSun" w:hAnsi="宋体;SimSun"/>
                <w:kern w:val="0"/>
                <w:sz w:val="20"/>
                <w:szCs w:val="20"/>
              </w:rPr>
            </w:r>
          </w:p>
        </w:tc>
        <w:tc>
          <w:tcPr>
            <w:tcW w:w="12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宋体;SimSun" w:hAnsi="宋体;SimSun" w:eastAsia="宋体;SimSun"/>
                <w:kern w:val="0"/>
                <w:sz w:val="20"/>
                <w:szCs w:val="20"/>
              </w:rPr>
            </w:pPr>
            <w:r>
              <w:rPr>
                <w:rFonts w:eastAsia="宋体;SimSun" w:ascii="宋体;SimSun" w:hAnsi="宋体;SimSun"/>
                <w:kern w:val="0"/>
                <w:sz w:val="20"/>
                <w:szCs w:val="20"/>
              </w:rPr>
              <w:t>2024</w:t>
            </w:r>
            <w:r>
              <w:rPr>
                <w:rFonts w:ascii="宋体;SimSun" w:hAnsi="宋体;SimSun" w:eastAsia="宋体;SimSun"/>
                <w:kern w:val="0"/>
                <w:sz w:val="20"/>
                <w:szCs w:val="20"/>
              </w:rPr>
              <w:t>年</w:t>
            </w:r>
            <w:r>
              <w:rPr>
                <w:rFonts w:eastAsia="宋体;SimSun" w:ascii="宋体;SimSun" w:hAnsi="宋体;SimSun"/>
                <w:kern w:val="0"/>
                <w:sz w:val="20"/>
                <w:szCs w:val="20"/>
              </w:rPr>
              <w:t>5</w:t>
            </w:r>
            <w:r>
              <w:rPr>
                <w:rFonts w:ascii="宋体;SimSun" w:hAnsi="宋体;SimSun" w:eastAsia="宋体;SimSun"/>
                <w:kern w:val="0"/>
                <w:sz w:val="20"/>
                <w:szCs w:val="20"/>
              </w:rPr>
              <w:t>月</w:t>
            </w:r>
            <w:r>
              <w:rPr>
                <w:rFonts w:eastAsia="宋体;SimSun" w:ascii="宋体;SimSun" w:hAnsi="宋体;SimSun"/>
                <w:kern w:val="0"/>
                <w:sz w:val="20"/>
                <w:szCs w:val="20"/>
              </w:rPr>
              <w:t>9</w:t>
            </w:r>
            <w:r>
              <w:rPr>
                <w:rFonts w:ascii="宋体;SimSun" w:hAnsi="宋体;SimSun" w:eastAsia="宋体;SimSun"/>
                <w:kern w:val="0"/>
                <w:sz w:val="20"/>
                <w:szCs w:val="20"/>
              </w:rPr>
              <w:t>日</w:t>
            </w:r>
          </w:p>
        </w:tc>
        <w:tc>
          <w:tcPr>
            <w:tcW w:w="582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eastAsia="宋体;SimSun"/>
                <w:kern w:val="0"/>
                <w:sz w:val="20"/>
                <w:szCs w:val="20"/>
              </w:rPr>
            </w:pPr>
            <w:r>
              <w:rPr>
                <w:rFonts w:ascii="宋体;SimSun" w:hAnsi="宋体;SimSun" w:eastAsia="宋体;SimSun"/>
                <w:kern w:val="0"/>
                <w:sz w:val="20"/>
                <w:szCs w:val="20"/>
              </w:rPr>
              <w:t>杭州市房地产市场平稳健康发展领导小组办公室发布《关于优化调整房地产市场调控政策的通知》，提出科学编制住房发展规划、优化住宅用地供应、全面取消住房限购、优化公证摇号销售、加强住房信贷支持、优化积分落户政策、推动高品质住宅供应七条措施。</w:t>
            </w:r>
          </w:p>
        </w:tc>
      </w:tr>
      <w:tr>
        <w:trPr/>
        <w:tc>
          <w:tcPr>
            <w:tcW w:w="99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360"/>
              <w:jc w:val="start"/>
              <w:textAlignment w:val="bottom"/>
              <w:rPr>
                <w:rFonts w:ascii="宋体;SimSun" w:hAnsi="宋体;SimSun" w:eastAsia="宋体;SimSun"/>
                <w:kern w:val="0"/>
                <w:sz w:val="20"/>
                <w:szCs w:val="20"/>
              </w:rPr>
            </w:pPr>
            <w:r>
              <w:rPr>
                <w:rFonts w:eastAsia="宋体;SimSun" w:ascii="宋体;SimSun" w:hAnsi="宋体;SimSun"/>
                <w:kern w:val="0"/>
                <w:sz w:val="20"/>
                <w:szCs w:val="20"/>
              </w:rPr>
            </w:r>
          </w:p>
        </w:tc>
        <w:tc>
          <w:tcPr>
            <w:tcW w:w="12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宋体;SimSun" w:hAnsi="宋体;SimSun" w:eastAsia="宋体;SimSun"/>
                <w:kern w:val="0"/>
                <w:sz w:val="20"/>
                <w:szCs w:val="20"/>
              </w:rPr>
            </w:pPr>
            <w:r>
              <w:rPr>
                <w:rFonts w:eastAsia="宋体;SimSun" w:ascii="宋体;SimSun" w:hAnsi="宋体;SimSun"/>
                <w:kern w:val="0"/>
                <w:sz w:val="20"/>
                <w:szCs w:val="20"/>
              </w:rPr>
              <w:t>2024</w:t>
            </w:r>
            <w:r>
              <w:rPr>
                <w:rFonts w:ascii="宋体;SimSun" w:hAnsi="宋体;SimSun" w:eastAsia="宋体;SimSun"/>
                <w:kern w:val="0"/>
                <w:sz w:val="20"/>
                <w:szCs w:val="20"/>
              </w:rPr>
              <w:t>年</w:t>
            </w:r>
            <w:r>
              <w:rPr>
                <w:rFonts w:eastAsia="宋体;SimSun" w:ascii="宋体;SimSun" w:hAnsi="宋体;SimSun"/>
                <w:kern w:val="0"/>
                <w:sz w:val="20"/>
                <w:szCs w:val="20"/>
              </w:rPr>
              <w:t>5</w:t>
            </w:r>
            <w:r>
              <w:rPr>
                <w:rFonts w:ascii="宋体;SimSun" w:hAnsi="宋体;SimSun" w:eastAsia="宋体;SimSun"/>
                <w:kern w:val="0"/>
                <w:sz w:val="20"/>
                <w:szCs w:val="20"/>
              </w:rPr>
              <w:t>月</w:t>
            </w:r>
            <w:r>
              <w:rPr>
                <w:rFonts w:eastAsia="宋体;SimSun" w:ascii="宋体;SimSun" w:hAnsi="宋体;SimSun"/>
                <w:kern w:val="0"/>
                <w:sz w:val="20"/>
                <w:szCs w:val="20"/>
              </w:rPr>
              <w:t>17</w:t>
            </w:r>
            <w:r>
              <w:rPr>
                <w:rFonts w:ascii="宋体;SimSun" w:hAnsi="宋体;SimSun" w:eastAsia="宋体;SimSun"/>
                <w:kern w:val="0"/>
                <w:sz w:val="20"/>
                <w:szCs w:val="20"/>
              </w:rPr>
              <w:t>日</w:t>
            </w:r>
          </w:p>
        </w:tc>
        <w:tc>
          <w:tcPr>
            <w:tcW w:w="582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ascii="宋体;SimSun" w:hAnsi="宋体;SimSun" w:eastAsia="宋体;SimSun"/>
                <w:kern w:val="0"/>
                <w:sz w:val="20"/>
                <w:szCs w:val="20"/>
              </w:rPr>
              <w:t>杭州市发布《杭州住房公积金管理委员会关于调整住房公积金贷款家庭住房套数认定标准有关政策的通知》</w:t>
            </w:r>
            <w:r>
              <w:rPr>
                <w:rFonts w:eastAsia="宋体;SimSun" w:ascii="宋体;SimSun" w:hAnsi="宋体;SimSun"/>
                <w:kern w:val="0"/>
                <w:sz w:val="20"/>
                <w:szCs w:val="20"/>
              </w:rPr>
              <w:t>,</w:t>
            </w:r>
            <w:r>
              <w:rPr>
                <w:rFonts w:ascii="宋体;SimSun" w:hAnsi="宋体;SimSun" w:eastAsia="宋体;SimSun"/>
                <w:kern w:val="0"/>
                <w:sz w:val="20"/>
                <w:szCs w:val="20"/>
              </w:rPr>
              <w:t>家庭住房套数以购房所在地房产管理部门出具的查询结果或认定证明为准；住房公积金贷款首套房、二套房政策根据家庭住房套数和住房公积金贷款情况认定，住房公积金贷款情况以住建部住房公积金监管服务平台查询结果为准；同时符合“职工家庭在所购住房所购区、县（市）无住房，或仅有</w:t>
            </w:r>
            <w:r>
              <w:rPr>
                <w:rFonts w:eastAsia="宋体;SimSun" w:ascii="宋体;SimSun" w:hAnsi="宋体;SimSun"/>
                <w:kern w:val="0"/>
                <w:sz w:val="20"/>
                <w:szCs w:val="20"/>
              </w:rPr>
              <w:t>1</w:t>
            </w:r>
            <w:r>
              <w:rPr>
                <w:rFonts w:ascii="宋体;SimSun" w:hAnsi="宋体;SimSun" w:eastAsia="宋体;SimSun"/>
                <w:kern w:val="0"/>
                <w:sz w:val="20"/>
                <w:szCs w:val="20"/>
              </w:rPr>
              <w:t>套住房且已在杭州市二手房监管服务平台挂牌出售的”和“职工家庭无住房公积金贷款记录”两个条件的可认定为首套房。自</w:t>
            </w:r>
            <w:r>
              <w:rPr>
                <w:rFonts w:eastAsia="宋体;SimSun" w:ascii="宋体;SimSun" w:hAnsi="宋体;SimSun"/>
                <w:kern w:val="0"/>
                <w:sz w:val="20"/>
                <w:szCs w:val="20"/>
              </w:rPr>
              <w:t>2024</w:t>
            </w:r>
            <w:r>
              <w:rPr>
                <w:rFonts w:ascii="宋体;SimSun" w:hAnsi="宋体;SimSun" w:eastAsia="宋体;SimSun"/>
                <w:kern w:val="0"/>
                <w:sz w:val="20"/>
                <w:szCs w:val="20"/>
              </w:rPr>
              <w:t>年</w:t>
            </w:r>
            <w:r>
              <w:rPr>
                <w:rFonts w:eastAsia="宋体;SimSun" w:ascii="宋体;SimSun" w:hAnsi="宋体;SimSun"/>
                <w:kern w:val="0"/>
                <w:sz w:val="20"/>
                <w:szCs w:val="20"/>
              </w:rPr>
              <w:t>5</w:t>
            </w:r>
            <w:r>
              <w:rPr>
                <w:rFonts w:ascii="宋体;SimSun" w:hAnsi="宋体;SimSun" w:eastAsia="宋体;SimSun"/>
                <w:kern w:val="0"/>
                <w:sz w:val="20"/>
                <w:szCs w:val="20"/>
              </w:rPr>
              <w:t>月</w:t>
            </w:r>
            <w:r>
              <w:rPr>
                <w:rFonts w:eastAsia="宋体;SimSun" w:ascii="宋体;SimSun" w:hAnsi="宋体;SimSun"/>
                <w:kern w:val="0"/>
                <w:sz w:val="20"/>
                <w:szCs w:val="20"/>
              </w:rPr>
              <w:t>18</w:t>
            </w:r>
            <w:r>
              <w:rPr>
                <w:rFonts w:ascii="宋体;SimSun" w:hAnsi="宋体;SimSun" w:eastAsia="宋体;SimSun"/>
                <w:kern w:val="0"/>
                <w:sz w:val="20"/>
                <w:szCs w:val="20"/>
              </w:rPr>
              <w:t>日起，下调个人住房公积金贷款利率</w:t>
            </w:r>
            <w:r>
              <w:rPr>
                <w:rFonts w:eastAsia="宋体;SimSun" w:ascii="宋体;SimSun" w:hAnsi="宋体;SimSun"/>
                <w:kern w:val="0"/>
                <w:sz w:val="20"/>
                <w:szCs w:val="20"/>
              </w:rPr>
              <w:t>25</w:t>
            </w:r>
            <w:r>
              <w:rPr>
                <w:rFonts w:ascii="宋体;SimSun" w:hAnsi="宋体;SimSun" w:eastAsia="宋体;SimSun"/>
                <w:kern w:val="0"/>
                <w:sz w:val="20"/>
                <w:szCs w:val="20"/>
              </w:rPr>
              <w:t>个基点，</w:t>
            </w:r>
            <w:r>
              <w:rPr>
                <w:rFonts w:eastAsia="宋体;SimSun" w:ascii="宋体;SimSun" w:hAnsi="宋体;SimSun"/>
                <w:kern w:val="0"/>
                <w:sz w:val="20"/>
                <w:szCs w:val="20"/>
              </w:rPr>
              <w:t>5</w:t>
            </w:r>
            <w:r>
              <w:rPr>
                <w:rFonts w:ascii="宋体;SimSun" w:hAnsi="宋体;SimSun" w:eastAsia="宋体;SimSun"/>
                <w:kern w:val="0"/>
                <w:sz w:val="20"/>
                <w:szCs w:val="20"/>
              </w:rPr>
              <w:t>年以下（含</w:t>
            </w:r>
            <w:r>
              <w:rPr>
                <w:rFonts w:eastAsia="宋体;SimSun" w:ascii="宋体;SimSun" w:hAnsi="宋体;SimSun"/>
                <w:kern w:val="0"/>
                <w:sz w:val="20"/>
                <w:szCs w:val="20"/>
              </w:rPr>
              <w:t>5</w:t>
            </w:r>
            <w:r>
              <w:rPr>
                <w:rFonts w:ascii="宋体;SimSun" w:hAnsi="宋体;SimSun" w:eastAsia="宋体;SimSun"/>
                <w:kern w:val="0"/>
                <w:sz w:val="20"/>
                <w:szCs w:val="20"/>
              </w:rPr>
              <w:t>年）和</w:t>
            </w:r>
            <w:r>
              <w:rPr>
                <w:rFonts w:eastAsia="宋体;SimSun" w:ascii="宋体;SimSun" w:hAnsi="宋体;SimSun"/>
                <w:kern w:val="0"/>
                <w:sz w:val="20"/>
                <w:szCs w:val="20"/>
              </w:rPr>
              <w:t>5</w:t>
            </w:r>
            <w:r>
              <w:rPr>
                <w:rFonts w:ascii="宋体;SimSun" w:hAnsi="宋体;SimSun" w:eastAsia="宋体;SimSun"/>
                <w:kern w:val="0"/>
                <w:sz w:val="20"/>
                <w:szCs w:val="20"/>
              </w:rPr>
              <w:t>年以上首套个人住房公积金贷款利率分别调整为</w:t>
            </w:r>
            <w:r>
              <w:rPr>
                <w:rFonts w:eastAsia="宋体;SimSun" w:ascii="宋体;SimSun" w:hAnsi="宋体;SimSun"/>
                <w:kern w:val="0"/>
                <w:sz w:val="20"/>
                <w:szCs w:val="20"/>
              </w:rPr>
              <w:t>2.35%</w:t>
            </w:r>
            <w:r>
              <w:rPr>
                <w:rFonts w:ascii="宋体;SimSun" w:hAnsi="宋体;SimSun" w:eastAsia="宋体;SimSun"/>
                <w:kern w:val="0"/>
                <w:sz w:val="20"/>
                <w:szCs w:val="20"/>
              </w:rPr>
              <w:t>和</w:t>
            </w:r>
            <w:r>
              <w:rPr>
                <w:rFonts w:eastAsia="宋体;SimSun" w:ascii="宋体;SimSun" w:hAnsi="宋体;SimSun"/>
                <w:kern w:val="0"/>
                <w:sz w:val="20"/>
                <w:szCs w:val="20"/>
              </w:rPr>
              <w:t>2.85%</w:t>
            </w:r>
            <w:r>
              <w:rPr>
                <w:rFonts w:ascii="宋体;SimSun" w:hAnsi="宋体;SimSun" w:eastAsia="宋体;SimSun"/>
                <w:kern w:val="0"/>
                <w:sz w:val="20"/>
                <w:szCs w:val="20"/>
              </w:rPr>
              <w:t>，</w:t>
            </w:r>
            <w:r>
              <w:rPr>
                <w:rFonts w:eastAsia="宋体;SimSun" w:ascii="宋体;SimSun" w:hAnsi="宋体;SimSun"/>
                <w:kern w:val="0"/>
                <w:sz w:val="20"/>
                <w:szCs w:val="20"/>
              </w:rPr>
              <w:t>5</w:t>
            </w:r>
            <w:r>
              <w:rPr>
                <w:rFonts w:ascii="宋体;SimSun" w:hAnsi="宋体;SimSun" w:eastAsia="宋体;SimSun"/>
                <w:kern w:val="0"/>
                <w:sz w:val="20"/>
                <w:szCs w:val="20"/>
              </w:rPr>
              <w:t>年以下（含</w:t>
            </w:r>
            <w:r>
              <w:rPr>
                <w:rFonts w:eastAsia="宋体;SimSun" w:ascii="宋体;SimSun" w:hAnsi="宋体;SimSun"/>
                <w:kern w:val="0"/>
                <w:sz w:val="20"/>
                <w:szCs w:val="20"/>
              </w:rPr>
              <w:t>5</w:t>
            </w:r>
            <w:r>
              <w:rPr>
                <w:rFonts w:ascii="宋体;SimSun" w:hAnsi="宋体;SimSun" w:eastAsia="宋体;SimSun"/>
                <w:kern w:val="0"/>
                <w:sz w:val="20"/>
                <w:szCs w:val="20"/>
              </w:rPr>
              <w:t>年）和</w:t>
            </w:r>
            <w:r>
              <w:rPr>
                <w:rFonts w:eastAsia="宋体;SimSun" w:ascii="宋体;SimSun" w:hAnsi="宋体;SimSun"/>
                <w:kern w:val="0"/>
                <w:sz w:val="20"/>
                <w:szCs w:val="20"/>
              </w:rPr>
              <w:t>5</w:t>
            </w:r>
            <w:r>
              <w:rPr>
                <w:rFonts w:ascii="宋体;SimSun" w:hAnsi="宋体;SimSun" w:eastAsia="宋体;SimSun"/>
                <w:kern w:val="0"/>
                <w:sz w:val="20"/>
                <w:szCs w:val="20"/>
              </w:rPr>
              <w:t>年以上第二套个人住房公积金贷款利率分别调整为不低于</w:t>
            </w:r>
            <w:r>
              <w:rPr>
                <w:rFonts w:eastAsia="宋体;SimSun" w:ascii="宋体;SimSun" w:hAnsi="宋体;SimSun"/>
                <w:kern w:val="0"/>
                <w:sz w:val="20"/>
                <w:szCs w:val="20"/>
              </w:rPr>
              <w:t>2.775%</w:t>
            </w:r>
            <w:r>
              <w:rPr>
                <w:rFonts w:ascii="宋体;SimSun" w:hAnsi="宋体;SimSun" w:eastAsia="宋体;SimSun"/>
                <w:kern w:val="0"/>
                <w:sz w:val="20"/>
                <w:szCs w:val="20"/>
              </w:rPr>
              <w:t>和</w:t>
            </w:r>
            <w:r>
              <w:rPr>
                <w:rFonts w:eastAsia="宋体;SimSun" w:ascii="宋体;SimSun" w:hAnsi="宋体;SimSun"/>
                <w:kern w:val="0"/>
                <w:sz w:val="20"/>
                <w:szCs w:val="20"/>
              </w:rPr>
              <w:t>3.325%</w:t>
            </w:r>
            <w:r>
              <w:rPr>
                <w:rFonts w:ascii="宋体;SimSun" w:hAnsi="宋体;SimSun" w:eastAsia="宋体;SimSun"/>
                <w:kern w:val="0"/>
                <w:sz w:val="20"/>
                <w:szCs w:val="20"/>
              </w:rPr>
              <w:t>。</w:t>
            </w:r>
          </w:p>
        </w:tc>
      </w:tr>
      <w:tr>
        <w:trPr/>
        <w:tc>
          <w:tcPr>
            <w:tcW w:w="99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360"/>
              <w:jc w:val="start"/>
              <w:textAlignment w:val="bottom"/>
              <w:rPr>
                <w:rFonts w:ascii="宋体;SimSun" w:hAnsi="宋体;SimSun" w:eastAsia="宋体;SimSun"/>
                <w:i/>
                <w:i/>
                <w:kern w:val="0"/>
                <w:sz w:val="20"/>
                <w:szCs w:val="20"/>
              </w:rPr>
            </w:pPr>
            <w:r>
              <w:rPr>
                <w:rFonts w:eastAsia="宋体;SimSun" w:ascii="宋体;SimSun" w:hAnsi="宋体;SimSun"/>
                <w:i/>
                <w:kern w:val="0"/>
                <w:sz w:val="20"/>
                <w:szCs w:val="20"/>
              </w:rPr>
            </w:r>
          </w:p>
        </w:tc>
        <w:tc>
          <w:tcPr>
            <w:tcW w:w="12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ascii="宋体;SimSun" w:hAnsi="宋体;SimSun" w:eastAsia="宋体;SimSun"/>
                <w:kern w:val="0"/>
                <w:sz w:val="20"/>
                <w:szCs w:val="20"/>
              </w:rPr>
            </w:pPr>
            <w:r>
              <w:rPr>
                <w:rFonts w:eastAsia="宋体;SimSun" w:ascii="宋体;SimSun" w:hAnsi="宋体;SimSun"/>
                <w:kern w:val="0"/>
                <w:sz w:val="20"/>
                <w:szCs w:val="20"/>
              </w:rPr>
              <w:t>2024</w:t>
            </w:r>
            <w:r>
              <w:rPr>
                <w:rFonts w:ascii="宋体;SimSun" w:hAnsi="宋体;SimSun" w:eastAsia="宋体;SimSun"/>
                <w:kern w:val="0"/>
                <w:sz w:val="20"/>
                <w:szCs w:val="20"/>
              </w:rPr>
              <w:t>年</w:t>
            </w:r>
            <w:r>
              <w:rPr>
                <w:rFonts w:eastAsia="宋体;SimSun" w:ascii="宋体;SimSun" w:hAnsi="宋体;SimSun"/>
                <w:kern w:val="0"/>
                <w:sz w:val="20"/>
                <w:szCs w:val="20"/>
              </w:rPr>
              <w:t>8</w:t>
            </w:r>
            <w:r>
              <w:rPr>
                <w:rFonts w:ascii="宋体;SimSun" w:hAnsi="宋体;SimSun" w:eastAsia="宋体;SimSun"/>
                <w:kern w:val="0"/>
                <w:sz w:val="20"/>
                <w:szCs w:val="20"/>
              </w:rPr>
              <w:t>月</w:t>
            </w:r>
            <w:r>
              <w:rPr>
                <w:rFonts w:eastAsia="宋体;SimSun" w:ascii="宋体;SimSun" w:hAnsi="宋体;SimSun"/>
                <w:kern w:val="0"/>
                <w:sz w:val="20"/>
                <w:szCs w:val="20"/>
              </w:rPr>
              <w:t>8</w:t>
            </w:r>
            <w:r>
              <w:rPr>
                <w:rFonts w:ascii="宋体;SimSun" w:hAnsi="宋体;SimSun" w:eastAsia="宋体;SimSun"/>
                <w:kern w:val="0"/>
                <w:sz w:val="20"/>
                <w:szCs w:val="20"/>
              </w:rPr>
              <w:t>日</w:t>
            </w:r>
          </w:p>
        </w:tc>
        <w:tc>
          <w:tcPr>
            <w:tcW w:w="582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eastAsia="宋体;SimSun"/>
                <w:kern w:val="0"/>
                <w:sz w:val="20"/>
                <w:szCs w:val="20"/>
              </w:rPr>
            </w:pPr>
            <w:r>
              <w:rPr>
                <w:rFonts w:ascii="宋体;SimSun" w:hAnsi="宋体;SimSun" w:eastAsia="宋体;SimSun"/>
                <w:kern w:val="0"/>
                <w:sz w:val="20"/>
                <w:szCs w:val="20"/>
              </w:rPr>
              <w:t>萧山区发布《关于促进房地产市场健康平稳发展举措的通知》，通知内容有：优化公积金服务，在杭州市缴纳住房公积金的，可以购房人家庭为单位（包括直系亲属）申请提取住房公积金用于支付购房首付款；降低二手房交易成本，全面推行二手房交易“带押过户”和全程网办（掌办），协同区住建局、区税务局、公积金萧山分中心、公证、银行等部门及单位合力推广“带押过户”；加大购房支持力度，在萧山区部分区域范围内分区域发放购房消费券；鼓励房企给予团购优惠，</w:t>
            </w:r>
            <w:r>
              <w:rPr>
                <w:rFonts w:eastAsia="宋体;SimSun" w:ascii="宋体;SimSun" w:hAnsi="宋体;SimSun"/>
                <w:kern w:val="0"/>
                <w:sz w:val="20"/>
                <w:szCs w:val="20"/>
              </w:rPr>
              <w:t>2024</w:t>
            </w:r>
            <w:r>
              <w:rPr>
                <w:rFonts w:ascii="宋体;SimSun" w:hAnsi="宋体;SimSun" w:eastAsia="宋体;SimSun"/>
                <w:kern w:val="0"/>
                <w:sz w:val="20"/>
                <w:szCs w:val="20"/>
              </w:rPr>
              <w:t>年</w:t>
            </w:r>
            <w:r>
              <w:rPr>
                <w:rFonts w:eastAsia="宋体;SimSun" w:ascii="宋体;SimSun" w:hAnsi="宋体;SimSun"/>
                <w:kern w:val="0"/>
                <w:sz w:val="20"/>
                <w:szCs w:val="20"/>
              </w:rPr>
              <w:t>12</w:t>
            </w:r>
            <w:r>
              <w:rPr>
                <w:rFonts w:ascii="宋体;SimSun" w:hAnsi="宋体;SimSun" w:eastAsia="宋体;SimSun"/>
                <w:kern w:val="0"/>
                <w:sz w:val="20"/>
                <w:szCs w:val="20"/>
              </w:rPr>
              <w:t>月</w:t>
            </w:r>
            <w:r>
              <w:rPr>
                <w:rFonts w:eastAsia="宋体;SimSun" w:ascii="宋体;SimSun" w:hAnsi="宋体;SimSun"/>
                <w:kern w:val="0"/>
                <w:sz w:val="20"/>
                <w:szCs w:val="20"/>
              </w:rPr>
              <w:t>31</w:t>
            </w:r>
            <w:r>
              <w:rPr>
                <w:rFonts w:ascii="宋体;SimSun" w:hAnsi="宋体;SimSun" w:eastAsia="宋体;SimSun"/>
                <w:kern w:val="0"/>
                <w:sz w:val="20"/>
                <w:szCs w:val="20"/>
              </w:rPr>
              <w:t>日（含）之前，各机关、企业、事业单位组织职工在萧山区房地产单个项目团购</w:t>
            </w:r>
            <w:r>
              <w:rPr>
                <w:rFonts w:eastAsia="宋体;SimSun" w:ascii="宋体;SimSun" w:hAnsi="宋体;SimSun"/>
                <w:kern w:val="0"/>
                <w:sz w:val="20"/>
                <w:szCs w:val="20"/>
              </w:rPr>
              <w:t>5</w:t>
            </w:r>
            <w:r>
              <w:rPr>
                <w:rFonts w:ascii="宋体;SimSun" w:hAnsi="宋体;SimSun" w:eastAsia="宋体;SimSun"/>
                <w:kern w:val="0"/>
                <w:sz w:val="20"/>
                <w:szCs w:val="20"/>
              </w:rPr>
              <w:t>套及以上新建商品住宅的，鼓励房企给予团购优惠。</w:t>
            </w:r>
          </w:p>
        </w:tc>
      </w:tr>
      <w:tr>
        <w:trPr/>
        <w:tc>
          <w:tcPr>
            <w:tcW w:w="99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autoSpaceDE w:val="false"/>
              <w:snapToGrid w:val="false"/>
              <w:spacing w:lineRule="auto" w:line="360"/>
              <w:jc w:val="start"/>
              <w:textAlignment w:val="bottom"/>
              <w:rPr>
                <w:rFonts w:ascii="宋体;SimSun" w:hAnsi="宋体;SimSun" w:eastAsia="宋体;SimSun"/>
                <w:i/>
                <w:i/>
                <w:kern w:val="0"/>
                <w:sz w:val="20"/>
                <w:szCs w:val="20"/>
              </w:rPr>
            </w:pPr>
            <w:r>
              <w:rPr>
                <w:rFonts w:eastAsia="宋体;SimSun" w:ascii="宋体;SimSun" w:hAnsi="宋体;SimSun"/>
                <w:i/>
                <w:kern w:val="0"/>
                <w:sz w:val="20"/>
                <w:szCs w:val="20"/>
              </w:rPr>
            </w:r>
          </w:p>
        </w:tc>
        <w:tc>
          <w:tcPr>
            <w:tcW w:w="122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pPr>
            <w:r>
              <w:rPr>
                <w:rFonts w:eastAsia="宋体;SimSun" w:ascii="宋体;SimSun" w:hAnsi="宋体;SimSun"/>
                <w:kern w:val="0"/>
                <w:sz w:val="20"/>
                <w:szCs w:val="20"/>
              </w:rPr>
              <w:t>2024</w:t>
            </w:r>
            <w:r>
              <w:rPr>
                <w:rFonts w:ascii="宋体;SimSun" w:hAnsi="宋体;SimSun" w:eastAsia="宋体;SimSun"/>
                <w:kern w:val="0"/>
                <w:sz w:val="20"/>
                <w:szCs w:val="20"/>
              </w:rPr>
              <w:t>年</w:t>
            </w:r>
            <w:r>
              <w:rPr>
                <w:rFonts w:eastAsia="宋体;SimSun" w:ascii="宋体;SimSun" w:hAnsi="宋体;SimSun"/>
                <w:kern w:val="0"/>
                <w:sz w:val="20"/>
                <w:szCs w:val="20"/>
              </w:rPr>
              <w:t>10</w:t>
            </w:r>
            <w:r>
              <w:rPr>
                <w:rFonts w:ascii="宋体;SimSun" w:hAnsi="宋体;SimSun" w:eastAsia="宋体;SimSun"/>
                <w:kern w:val="0"/>
                <w:sz w:val="20"/>
                <w:szCs w:val="20"/>
              </w:rPr>
              <w:t>月</w:t>
            </w:r>
            <w:r>
              <w:rPr>
                <w:rFonts w:eastAsia="宋体;SimSun" w:ascii="宋体;SimSun" w:hAnsi="宋体;SimSun"/>
                <w:kern w:val="0"/>
                <w:sz w:val="20"/>
                <w:szCs w:val="20"/>
              </w:rPr>
              <w:t>9</w:t>
            </w:r>
            <w:r>
              <w:rPr>
                <w:rFonts w:ascii="宋体;SimSun" w:hAnsi="宋体;SimSun" w:eastAsia="宋体;SimSun"/>
                <w:kern w:val="0"/>
                <w:sz w:val="20"/>
                <w:szCs w:val="20"/>
              </w:rPr>
              <w:t>日</w:t>
            </w:r>
          </w:p>
        </w:tc>
        <w:tc>
          <w:tcPr>
            <w:tcW w:w="5820" w:type="dxa"/>
            <w:tcBorders>
              <w:top w:val="single" w:sz="4" w:space="0" w:color="000000"/>
              <w:start w:val="single" w:sz="4" w:space="0" w:color="000000"/>
              <w:bottom w:val="single" w:sz="4" w:space="0" w:color="000000"/>
              <w:end w:val="single" w:sz="4" w:space="0" w:color="000000"/>
            </w:tcBorders>
            <w:vAlign w:val="center"/>
          </w:tcPr>
          <w:p>
            <w:pPr>
              <w:pStyle w:val="Normal"/>
              <w:rPr>
                <w:rFonts w:ascii="宋体;SimSun" w:hAnsi="宋体;SimSun" w:eastAsia="宋体;SimSun"/>
                <w:kern w:val="0"/>
                <w:sz w:val="20"/>
                <w:szCs w:val="20"/>
              </w:rPr>
            </w:pPr>
            <w:r>
              <w:rPr>
                <w:rFonts w:ascii="宋体;SimSun" w:hAnsi="宋体;SimSun" w:eastAsia="宋体;SimSun"/>
                <w:kern w:val="0"/>
                <w:sz w:val="20"/>
                <w:szCs w:val="20"/>
              </w:rPr>
              <w:t>杭州市城乡建设管理高质量推进领导小组办公室发布《关于进一步优化调整我市房地产相关政策的通知》，推出落实国家住房信贷政策、优化住房公积金贷款政策、取消新出让用地限价措施、因地施策加大购房支持力度、加大房地产融资协调工作力度等五条措施。</w:t>
            </w:r>
          </w:p>
        </w:tc>
      </w:tr>
    </w:tbl>
    <w:p>
      <w:pPr>
        <w:pStyle w:val="Normal"/>
        <w:autoSpaceDE w:val="false"/>
        <w:snapToGrid w:val="false"/>
        <w:spacing w:lineRule="auto" w:line="360"/>
        <w:ind w:firstLine="560" w:end="0"/>
        <w:jc w:val="start"/>
        <w:textAlignment w:val="bottom"/>
        <w:rPr/>
      </w:pPr>
      <w:r>
        <w:rPr/>
        <w:t>3、杭州房地产市场整体分析</w:t>
      </w:r>
    </w:p>
    <w:p>
      <w:pPr>
        <w:pStyle w:val="Normal"/>
        <w:autoSpaceDE w:val="false"/>
        <w:snapToGrid w:val="false"/>
        <w:spacing w:lineRule="auto" w:line="360"/>
        <w:ind w:firstLine="560" w:end="0"/>
        <w:jc w:val="start"/>
        <w:textAlignment w:val="bottom"/>
        <w:rPr/>
      </w:pPr>
      <w:r>
        <w:rPr/>
        <w:t>（1）新建商品房市场总体运行情况</w:t>
      </w:r>
    </w:p>
    <w:p>
      <w:pPr>
        <w:pStyle w:val="Normal"/>
        <w:autoSpaceDE w:val="false"/>
        <w:snapToGrid w:val="false"/>
        <w:spacing w:lineRule="auto" w:line="360"/>
        <w:jc w:val="center"/>
        <w:textAlignment w:val="bottom"/>
        <w:rPr>
          <w:lang w:val="en-US" w:eastAsia="en-US"/>
        </w:rPr>
      </w:pPr>
      <w:r>
        <w:rPr>
          <w:lang w:val="en-US" w:eastAsia="en-US"/>
        </w:rPr>
        <w:drawing>
          <wp:inline distT="0" distB="0" distL="0" distR="0">
            <wp:extent cx="5277485" cy="2648585"/>
            <wp:effectExtent l="0" t="0" r="0" b="0"/>
            <wp:docPr id="26" name="图片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descr="" title=""/>
                    <pic:cNvPicPr>
                      <a:picLocks noChangeAspect="1" noChangeArrowheads="1"/>
                    </pic:cNvPicPr>
                  </pic:nvPicPr>
                  <pic:blipFill>
                    <a:blip r:embed="rId26"/>
                    <a:srcRect l="-7" t="-14" r="-7" b="-14"/>
                    <a:stretch>
                      <a:fillRect/>
                    </a:stretch>
                  </pic:blipFill>
                  <pic:spPr bwMode="auto">
                    <a:xfrm>
                      <a:off x="0" y="0"/>
                      <a:ext cx="5277485" cy="2648585"/>
                    </a:xfrm>
                    <a:prstGeom prst="rect">
                      <a:avLst/>
                    </a:prstGeom>
                  </pic:spPr>
                </pic:pic>
              </a:graphicData>
            </a:graphic>
          </wp:inline>
        </w:drawing>
      </w:r>
    </w:p>
    <w:p>
      <w:pPr>
        <w:pStyle w:val="Normal"/>
        <w:autoSpaceDE w:val="false"/>
        <w:snapToGrid w:val="false"/>
        <w:spacing w:lineRule="auto" w:line="360"/>
        <w:jc w:val="start"/>
        <w:textAlignment w:val="bottom"/>
        <w:rPr>
          <w:lang w:val="en-US" w:eastAsia="en-US"/>
        </w:rPr>
      </w:pPr>
      <w:r>
        <w:rPr>
          <w:lang w:val="en-US" w:eastAsia="en-US"/>
        </w:rPr>
        <w:drawing>
          <wp:inline distT="0" distB="0" distL="0" distR="0">
            <wp:extent cx="5048885" cy="2362835"/>
            <wp:effectExtent l="0" t="0" r="0" b="0"/>
            <wp:docPr id="27" name="图片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 title=""/>
                    <pic:cNvPicPr>
                      <a:picLocks noChangeAspect="1" noChangeArrowheads="1"/>
                    </pic:cNvPicPr>
                  </pic:nvPicPr>
                  <pic:blipFill>
                    <a:blip r:embed="rId27"/>
                    <a:srcRect l="-7" t="-15" r="-7" b="-15"/>
                    <a:stretch>
                      <a:fillRect/>
                    </a:stretch>
                  </pic:blipFill>
                  <pic:spPr bwMode="auto">
                    <a:xfrm>
                      <a:off x="0" y="0"/>
                      <a:ext cx="5048885" cy="2362835"/>
                    </a:xfrm>
                    <a:prstGeom prst="rect">
                      <a:avLst/>
                    </a:prstGeom>
                  </pic:spPr>
                </pic:pic>
              </a:graphicData>
            </a:graphic>
          </wp:inline>
        </w:drawing>
      </w:r>
    </w:p>
    <w:p>
      <w:pPr>
        <w:pStyle w:val="Normal"/>
        <w:autoSpaceDE w:val="false"/>
        <w:snapToGrid w:val="false"/>
        <w:spacing w:lineRule="auto" w:line="360"/>
        <w:ind w:firstLine="560" w:end="0"/>
        <w:jc w:val="start"/>
        <w:textAlignment w:val="bottom"/>
        <w:rPr/>
      </w:pPr>
      <w:r>
        <w:rPr/>
        <w:t>2024年杭州市区（含富阳区、临安区）新建商品房供应套数为53825套，环比下跌36.78%；成交套数为63324套，环比下跌36%；成交金额为2845.02亿元，环比下跌34.82%；成交均价为30061元/平方米</w:t>
      </w:r>
      <w:r>
        <w:rPr>
          <w:rFonts w:cs="仿宋_GB2312"/>
        </w:rPr>
        <w:t>，环比下跌</w:t>
      </w:r>
      <w:r>
        <w:rPr/>
        <w:t>5.36%。2024年年初市场启动较缓，“金三银四”的成交表现平平；随着“5.9”新政落地，购房需求快速释放，主城区的热门楼盘认购率大幅提升，市场逐渐回暖；2024年下半年新政助力购房成本下降，叠加核心区域优质项目入市，市场热度迅速攀升，销量显著回升。新建商品房价格整体较为平稳，部分高端楼盘价格小幅上扬；诸多郊区低总价项目为推动销售进程、加速资金回笼，纷纷加大优惠力度，以提升市场竞争力，促进房源去化。</w:t>
      </w:r>
    </w:p>
    <w:p>
      <w:pPr>
        <w:pStyle w:val="Normal"/>
        <w:autoSpaceDE w:val="false"/>
        <w:snapToGrid w:val="false"/>
        <w:spacing w:lineRule="auto" w:line="360"/>
        <w:ind w:firstLine="560" w:end="0"/>
        <w:jc w:val="start"/>
        <w:textAlignment w:val="bottom"/>
        <w:rPr/>
      </w:pPr>
      <w:r>
        <w:rPr/>
        <w:t>（2）二手房市场总体运行情况</w:t>
      </w:r>
    </w:p>
    <w:p>
      <w:pPr>
        <w:pStyle w:val="Normal"/>
        <w:jc w:val="center"/>
        <w:rPr>
          <w:lang w:val="en-US" w:eastAsia="en-US"/>
        </w:rPr>
      </w:pPr>
      <w:r>
        <w:rPr>
          <w:lang w:val="en-US" w:eastAsia="en-US"/>
        </w:rPr>
        <w:drawing>
          <wp:inline distT="0" distB="0" distL="0" distR="0">
            <wp:extent cx="5048885" cy="2829560"/>
            <wp:effectExtent l="0" t="0" r="0" b="0"/>
            <wp:docPr id="28"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 descr="" title=""/>
                    <pic:cNvPicPr>
                      <a:picLocks noChangeAspect="1" noChangeArrowheads="1"/>
                    </pic:cNvPicPr>
                  </pic:nvPicPr>
                  <pic:blipFill>
                    <a:blip r:embed="rId28"/>
                    <a:srcRect l="-7" t="-13" r="-7" b="-13"/>
                    <a:stretch>
                      <a:fillRect/>
                    </a:stretch>
                  </pic:blipFill>
                  <pic:spPr bwMode="auto">
                    <a:xfrm>
                      <a:off x="0" y="0"/>
                      <a:ext cx="5048885" cy="2829560"/>
                    </a:xfrm>
                    <a:prstGeom prst="rect">
                      <a:avLst/>
                    </a:prstGeom>
                  </pic:spPr>
                </pic:pic>
              </a:graphicData>
            </a:graphic>
          </wp:inline>
        </w:drawing>
      </w:r>
    </w:p>
    <w:p>
      <w:pPr>
        <w:pStyle w:val="Normal"/>
        <w:autoSpaceDE w:val="false"/>
        <w:snapToGrid w:val="false"/>
        <w:spacing w:lineRule="auto" w:line="360"/>
        <w:ind w:firstLine="560" w:end="0"/>
        <w:jc w:val="start"/>
        <w:textAlignment w:val="bottom"/>
        <w:rPr/>
      </w:pPr>
      <w:r>
        <w:rPr/>
        <w:t>2024年杭州市二手房市场在各项宽松政策的支持下，活跃度有显著提升。2024年杭州市区二手房成交量达到9.44万套，同比增加18.6%，创下近三年新高。2024年下半年二手房市场明显更为活跃，成交量达到5.09万套，高于上半年的4.35万套，环比增长约17%。尽管2024年杭州市二手房市场成交活跃度有所提升，但仍是“以价换量”；2024年二手住宅成交均价为31214元/平方米，同比2023年成交均价33542元/平方米下跌6.94%。</w:t>
      </w:r>
    </w:p>
    <w:p>
      <w:pPr>
        <w:pStyle w:val="Normal"/>
        <w:autoSpaceDE w:val="false"/>
        <w:snapToGrid w:val="false"/>
        <w:spacing w:lineRule="auto" w:line="360"/>
        <w:ind w:firstLine="560" w:end="0"/>
        <w:jc w:val="start"/>
        <w:textAlignment w:val="bottom"/>
        <w:rPr/>
      </w:pPr>
      <w:r>
        <w:rPr/>
        <w:t>具体来看，2024年1月份和2月份受春节假期影响，成交量较低；3月份因积压需求释放、学区房需求增加，以及“3.14”新政的影响，成交量升至8611套；4月份市场持续高位运行，核心区域的老旧小区成交活跃，达到8460套；5月份受“5.9”新政取消住房限购等政策的影响，成交量超过8000套；6月份成交量达到上半年最高成交量8852套。</w:t>
      </w:r>
    </w:p>
    <w:p>
      <w:pPr>
        <w:pStyle w:val="Normal"/>
        <w:autoSpaceDE w:val="false"/>
        <w:snapToGrid w:val="false"/>
        <w:spacing w:lineRule="auto" w:line="360"/>
        <w:ind w:firstLine="560" w:end="0"/>
        <w:jc w:val="start"/>
        <w:textAlignment w:val="bottom"/>
        <w:rPr/>
      </w:pPr>
      <w:r>
        <w:rPr/>
        <w:t>2024年7月份至9月份市场活跃度有所下降，成交量连续三个月环比下降，分别为8463套、6803套和6056套，但同比仍创同期新高；10月份在“10.9”新政取消限价、降低二套房首付比例和利率等政策的刺激推动下，成交量回升至9170套；11月份受“11.13”契税新政影响，二手房成交量突破1万套，时隔20个月后再次达到此水平；12月份受政策持续影响，成交量为9865套。</w:t>
      </w:r>
    </w:p>
    <w:p>
      <w:pPr>
        <w:pStyle w:val="Normal"/>
        <w:autoSpaceDE w:val="false"/>
        <w:snapToGrid w:val="false"/>
        <w:spacing w:lineRule="auto" w:line="360"/>
        <w:ind w:firstLine="560" w:end="0"/>
        <w:jc w:val="start"/>
        <w:textAlignment w:val="bottom"/>
        <w:rPr/>
      </w:pPr>
      <w:r>
        <w:rPr/>
        <w:t>总结来看，2024年杭州市二手房政策的宽松程度直接影响了市场活跃度和成交量的波动，市场经历了从年初的低谷，至年中政策刺激举措密集出台后形成高峰，市场热度随后出现阶段性降温，最后在年末新政影响下再度升温。</w:t>
      </w:r>
    </w:p>
    <w:p>
      <w:pPr>
        <w:pStyle w:val="Normal"/>
        <w:autoSpaceDE w:val="false"/>
        <w:snapToGrid w:val="false"/>
        <w:spacing w:lineRule="auto" w:line="360"/>
        <w:ind w:firstLine="560" w:end="0"/>
        <w:jc w:val="start"/>
        <w:textAlignment w:val="bottom"/>
        <w:rPr/>
      </w:pPr>
      <w:r>
        <w:rPr/>
        <w:t>（3）土地市场成交情况</w:t>
      </w:r>
    </w:p>
    <w:p>
      <w:pPr>
        <w:pStyle w:val="Normal"/>
        <w:autoSpaceDE w:val="false"/>
        <w:snapToGrid w:val="false"/>
        <w:spacing w:lineRule="auto" w:line="360"/>
        <w:jc w:val="start"/>
        <w:textAlignment w:val="bottom"/>
        <w:rPr>
          <w:lang w:val="en-US" w:eastAsia="en-US"/>
        </w:rPr>
      </w:pPr>
      <w:r>
        <w:rPr>
          <w:lang w:val="en-US" w:eastAsia="en-US"/>
        </w:rPr>
        <w:drawing>
          <wp:inline distT="0" distB="0" distL="0" distR="0">
            <wp:extent cx="5048885" cy="2343785"/>
            <wp:effectExtent l="0" t="0" r="0" b="0"/>
            <wp:docPr id="29" name="图片 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7" descr="" title=""/>
                    <pic:cNvPicPr>
                      <a:picLocks noChangeAspect="1" noChangeArrowheads="1"/>
                    </pic:cNvPicPr>
                  </pic:nvPicPr>
                  <pic:blipFill>
                    <a:blip r:embed="rId29"/>
                    <a:srcRect l="-7" t="-15" r="-7" b="-15"/>
                    <a:stretch>
                      <a:fillRect/>
                    </a:stretch>
                  </pic:blipFill>
                  <pic:spPr bwMode="auto">
                    <a:xfrm>
                      <a:off x="0" y="0"/>
                      <a:ext cx="5048885" cy="2343785"/>
                    </a:xfrm>
                    <a:prstGeom prst="rect">
                      <a:avLst/>
                    </a:prstGeom>
                  </pic:spPr>
                </pic:pic>
              </a:graphicData>
            </a:graphic>
          </wp:inline>
        </w:drawing>
      </w:r>
    </w:p>
    <w:p>
      <w:pPr>
        <w:pStyle w:val="Normal"/>
        <w:autoSpaceDE w:val="false"/>
        <w:snapToGrid w:val="false"/>
        <w:spacing w:lineRule="auto" w:line="360"/>
        <w:textAlignment w:val="bottom"/>
        <w:rPr>
          <w:lang w:val="en-US" w:eastAsia="en-US"/>
        </w:rPr>
      </w:pPr>
      <w:r>
        <w:rPr>
          <w:lang w:val="en-US" w:eastAsia="en-US"/>
        </w:rPr>
        <w:drawing>
          <wp:inline distT="0" distB="0" distL="0" distR="0">
            <wp:extent cx="5277485" cy="2820035"/>
            <wp:effectExtent l="0" t="0" r="0" b="0"/>
            <wp:docPr id="30" name="图片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descr="" title=""/>
                    <pic:cNvPicPr>
                      <a:picLocks noChangeAspect="1" noChangeArrowheads="1"/>
                    </pic:cNvPicPr>
                  </pic:nvPicPr>
                  <pic:blipFill>
                    <a:blip r:embed="rId30"/>
                    <a:srcRect l="-7" t="-13" r="-7" b="-13"/>
                    <a:stretch>
                      <a:fillRect/>
                    </a:stretch>
                  </pic:blipFill>
                  <pic:spPr bwMode="auto">
                    <a:xfrm>
                      <a:off x="0" y="0"/>
                      <a:ext cx="5277485" cy="2820035"/>
                    </a:xfrm>
                    <a:prstGeom prst="rect">
                      <a:avLst/>
                    </a:prstGeom>
                  </pic:spPr>
                </pic:pic>
              </a:graphicData>
            </a:graphic>
          </wp:inline>
        </w:drawing>
      </w:r>
    </w:p>
    <w:p>
      <w:pPr>
        <w:pStyle w:val="Normal"/>
        <w:autoSpaceDE w:val="false"/>
        <w:snapToGrid w:val="false"/>
        <w:spacing w:lineRule="auto" w:line="360"/>
        <w:ind w:firstLine="560" w:end="0"/>
        <w:jc w:val="start"/>
        <w:textAlignment w:val="bottom"/>
        <w:rPr/>
      </w:pPr>
      <w:r>
        <w:rPr/>
        <w:t>2024年杭州市区共计出让土地152宗（其中73宗涉宅用地，71宗商业用地，5宗加油站用地，2宗其他用地，1宗停车场用地），总出让面积404.76万平方米，总可建面积为878.15万平方米，总出让金额1342.47亿元，其中涉宅地成交金额1173.43亿元；总成交可建面积、涉宅地成交可建面积、总成交金额、涉宅地成交金额四个数据均为五年来最低。2024年杭州市区出让土地平均楼面价15287元/平方米，相比2023年下跌7.03%，其中涉宅地平均楼面价21407元/平方米。</w:t>
      </w:r>
    </w:p>
    <w:p>
      <w:pPr>
        <w:pStyle w:val="Normal"/>
        <w:autoSpaceDE w:val="false"/>
        <w:snapToGrid w:val="false"/>
        <w:spacing w:lineRule="auto" w:line="360"/>
        <w:ind w:firstLine="560" w:end="0"/>
        <w:jc w:val="start"/>
        <w:textAlignment w:val="bottom"/>
        <w:rPr/>
      </w:pPr>
      <w:r>
        <w:rPr/>
        <w:t>2024年上半年杭州市出台了一系列政策来刺激土地市场的健康发展，包括增加土地供应、优化拍卖规则以提高市场效率。土地供应加快，多个热点区域推出优质地块，吸引多家房企积极参与，部分核心区域出现高溢价成交，尤其是热点学区和地铁沿线地块；远郊区域竞争相对平淡，但部分板块因定位改善性需求，成交活跃度有所提高。</w:t>
      </w:r>
    </w:p>
    <w:p>
      <w:pPr>
        <w:pStyle w:val="Normal"/>
        <w:autoSpaceDE w:val="false"/>
        <w:snapToGrid w:val="false"/>
        <w:spacing w:lineRule="auto" w:line="360"/>
        <w:ind w:firstLine="560" w:end="0"/>
        <w:jc w:val="start"/>
        <w:textAlignment w:val="bottom"/>
        <w:rPr/>
      </w:pPr>
      <w:r>
        <w:rPr/>
        <w:t>2024年下半年杭州市土地市场呈现出活跃度降低、交易热度减退的冷却态势，成交量和供应量环比均下降。在高地价压力下房企较为谨慎，多数地块以中低溢价成交；远郊地块流拍增多，溢价率持续走低。直至10月份出台了“不限制新房价格”政策后，市场活跃度有所回升，激发了部分房企的拿地积极性，部分核心区域的地块引发关注，溢价率有较大提升，但整体市场依旧较为理性。年末土地供应迎来小幅回升，成交总体表现平稳，核心区域热度回升，郊区及非核心区域地块的流拍现象尚未得到根本性改善，仍需进一步优化土地供应结构和完善市场机制，以提升地块吸引力和市场竞争力，促进土地资源的合理配置和高效利用。</w:t>
      </w:r>
    </w:p>
    <w:p>
      <w:pPr>
        <w:pStyle w:val="Normal"/>
        <w:autoSpaceDE w:val="false"/>
        <w:snapToGrid w:val="false"/>
        <w:spacing w:lineRule="auto" w:line="360"/>
        <w:ind w:firstLine="560" w:end="0"/>
        <w:jc w:val="start"/>
        <w:textAlignment w:val="bottom"/>
        <w:rPr/>
      </w:pPr>
      <w:r>
        <w:rPr/>
        <w:t>总体来看，2024年杭州市土地市场在政策导向、市场需求和经济环境的共同作用下，呈现出活跃而理性的状态。</w:t>
      </w:r>
    </w:p>
    <w:p>
      <w:pPr>
        <w:pStyle w:val="Normal"/>
        <w:autoSpaceDE w:val="false"/>
        <w:snapToGrid w:val="false"/>
        <w:spacing w:lineRule="auto" w:line="360"/>
        <w:ind w:end="0"/>
        <w:jc w:val="start"/>
        <w:textAlignment w:val="bottom"/>
        <w:rPr/>
      </w:pPr>
      <w:r>
        <w:rPr>
          <w:rFonts w:cs="仿宋_GB2312"/>
        </w:rPr>
        <w:t xml:space="preserve">    </w:t>
      </w:r>
      <w:r>
        <w:rPr/>
        <w:t>4、杭州市住宅房地产市场过去、现在、未来状况</w:t>
      </w:r>
    </w:p>
    <w:p>
      <w:pPr>
        <w:pStyle w:val="Normal"/>
        <w:autoSpaceDE w:val="false"/>
        <w:snapToGrid w:val="false"/>
        <w:spacing w:lineRule="auto" w:line="360"/>
        <w:ind w:firstLine="560" w:end="0"/>
        <w:jc w:val="start"/>
        <w:textAlignment w:val="bottom"/>
        <w:rPr/>
      </w:pPr>
      <w:r>
        <w:rPr/>
        <w:t>2021年上半年尽管在1月底和3月初颁布了一系列调控加码政策，市场活跃度依旧很高，市场量价同步上行；2021年下半年由于调控政策的持续加码，且受销售回款回流乏力以及房地产开发商的流动性危机的影响，极大地影响了新房市场的交易信心，房地产市场行情发生了“由热突转冷”的变动。2022年杭州市房地产市场新政频出，限购逐步松绑，从上半年的“落户就能买二手房”，到下半年多区镇街“1个月社保买房”以及城西科创大走廊的“差异化购房”，调控越来越精准，房地产市场特征仍是冷热分化，各种利好突出、发展成熟的板块持续向好，而发展尚未成熟的远郊板块成交依旧下行。2023年年初杭州市受益于疫情管控全面解绑，加上降低利率、调控政策持续优化等外部利好因素刺激，购房者积压的需求集中释放，市场出现了久违的小阳春行情，成交量持续走高；但进入第二季度，市场增长动能减弱，后继乏力；直至10月发布“杭六条”，市场热度重新回升，最终以“翘尾行情”结束。</w:t>
      </w:r>
    </w:p>
    <w:p>
      <w:pPr>
        <w:pStyle w:val="Normal"/>
        <w:autoSpaceDE w:val="false"/>
        <w:snapToGrid w:val="false"/>
        <w:spacing w:lineRule="auto" w:line="360"/>
        <w:ind w:firstLine="560" w:end="0"/>
        <w:jc w:val="start"/>
        <w:textAlignment w:val="bottom"/>
        <w:rPr/>
      </w:pPr>
      <w:r>
        <w:rPr/>
        <w:t>2024年杭州市区二手房成交量达到9.44万套，同比增加18.6%，创下近三年新高；二手住宅成交均价为31214元/平方米，同比2023年均价33542元/平方米下跌6.94%。2024年杭州市房地产市场呈现明显的政策驱动特征，上半年的1月份和2月份受春节假期影响，成交量较低；3月份因积压需求释放、学区房需求增加及“3.14”新政影响，成交量显著上升；4月份市场持续高位运行，核心区域老旧小区成交活跃；5月份受“5.9”新政取消住房限购政策等影响，成交量维持高位；6月份达到上半年峰值。下半年的7月份至9月份市场活跃度回落，成交量连续环比下降，但同比仍创新高；10月份在“10.9”新政取消限价、降低二套房首付比例和利率等政策刺激下，成交量回升；11月份受“11.13”契税新政影响，二手房成交量突破1万套，为近20个月首次；12月份政策效应延续，成交量保持高位。2024年杭州市房地产政策效果显著，市场波动与政策调整紧密相关。</w:t>
      </w:r>
    </w:p>
    <w:p>
      <w:pPr>
        <w:pStyle w:val="Normal"/>
        <w:autoSpaceDE w:val="false"/>
        <w:snapToGrid w:val="false"/>
        <w:spacing w:lineRule="auto" w:line="360"/>
        <w:ind w:firstLine="560" w:end="0"/>
        <w:textAlignment w:val="bottom"/>
        <w:rPr/>
      </w:pPr>
      <w:r>
        <w:rPr/>
        <w:t>2025年杭州市住宅房地产市场将延续2024年的调整态势，在政策支持和经济复苏的背景下，市场信心有望逐步修复，价格趋于稳定，将朝着更加健康、稳定的方向发展。</w:t>
      </w:r>
    </w:p>
    <w:p>
      <w:pPr>
        <w:pStyle w:val="Heading2"/>
        <w:keepNext w:val="true"/>
        <w:keepLines/>
        <w:spacing w:before="156" w:after="156"/>
        <w:ind w:hanging="0" w:start="0"/>
        <w:jc w:val="both"/>
        <w:rPr>
          <w:rFonts w:ascii="仿宋_GB2312" w:hAnsi="仿宋_GB2312" w:eastAsia="仿宋_GB2312" w:cs="宋体;SimSun"/>
          <w:kern w:val="2"/>
          <w:sz w:val="28"/>
        </w:rPr>
      </w:pPr>
      <w:bookmarkStart w:id="25" w:name="__RefHeading___Toc208393270"/>
      <w:r>
        <w:rPr>
          <w:rFonts w:ascii="仿宋_GB2312" w:hAnsi="仿宋_GB2312" w:cs="宋体;SimSun" w:eastAsia="仿宋_GB2312"/>
          <w:kern w:val="2"/>
          <w:sz w:val="28"/>
        </w:rPr>
        <w:t>五、最高最佳利用分析</w:t>
      </w:r>
      <w:bookmarkEnd w:id="25"/>
      <w:r>
        <w:rPr>
          <w:rFonts w:ascii="仿宋_GB2312" w:hAnsi="仿宋_GB2312" w:cs="宋体;SimSun" w:eastAsia="仿宋_GB2312"/>
          <w:kern w:val="2"/>
          <w:sz w:val="28"/>
        </w:rPr>
        <w:t xml:space="preserve"> </w:t>
      </w:r>
    </w:p>
    <w:p>
      <w:pPr>
        <w:pStyle w:val="Normal"/>
        <w:autoSpaceDE w:val="false"/>
        <w:snapToGrid w:val="false"/>
        <w:spacing w:lineRule="auto" w:line="360"/>
        <w:ind w:firstLine="560" w:end="0"/>
        <w:textAlignment w:val="bottom"/>
        <w:rPr/>
      </w:pPr>
      <w:r>
        <w:rPr/>
        <w:t>最高最佳利用是房地产在法律上允许，技术上可能、财务上可行并使价值最大化的合理、可能的利用，包括最佳的用途、规模和档次等。最高最佳利用原则要求评估价值应是估价对象在维持现状、更新改造、改变用途、改变规模、重新开发及它们的某种组合或其他特殊利用等各种可能的合法利用中，能使其价值最大化的利用的估价结果。它是以使估价对象获利最多的用途和开发强度来衡量，也就是说，在合法前提下能使房地产获利最大的使用方式，房地产价格受土地与建筑物组合状态、周围环境与建筑物用途组合状态的影响，两者的配合适当均衡时，房地产的效能便能高度发挥，达到最高最佳使用状态。估价对象地处{{房产地址}}，规划用途为</w:t>
      </w:r>
      <w:r>
        <w:rPr>
          <w:rStyle w:val="s7"/>
        </w:rPr>
        <w:t>住宅用途</w:t>
      </w:r>
      <w:r>
        <w:rPr/>
        <w:t>，根据对周边环境和房地产市场的调查和预期分析，估价对象产权登记用途为住宅用途，符合法律上允许前提；估价对象建筑结构、户型布局、设施设备等均适用住宅用途，符合技术上可能前提；估价对象按规划用途即住宅用途使用，能产生最高的经济收益，符合财务上可行前提，因此保持估价对象规划用途即住宅用途最为有利，并以此为前提考虑其规划及现状利用情况进行估价。</w:t>
      </w:r>
    </w:p>
    <w:p>
      <w:pPr>
        <w:pStyle w:val="Heading2"/>
        <w:keepNext w:val="true"/>
        <w:keepLines/>
        <w:spacing w:before="280" w:after="280"/>
        <w:ind w:hanging="0" w:start="0"/>
        <w:jc w:val="both"/>
        <w:rPr/>
      </w:pPr>
      <w:bookmarkStart w:id="26" w:name="__RefHeading___Toc208393271"/>
      <w:r>
        <w:rPr>
          <w:rFonts w:ascii="仿宋_GB2312" w:hAnsi="仿宋_GB2312" w:cs="宋体;SimSun" w:eastAsia="仿宋_GB2312"/>
          <w:kern w:val="2"/>
          <w:sz w:val="28"/>
        </w:rPr>
        <w:t>六、估价方法适用性分析</w:t>
      </w:r>
      <w:bookmarkEnd w:id="26"/>
      <w:r>
        <w:rPr>
          <w:b w:val="false"/>
        </w:rPr>
        <w:t xml:space="preserve"> </w:t>
      </w:r>
    </w:p>
    <w:p>
      <w:pPr>
        <w:pStyle w:val="Normal"/>
        <w:autoSpaceDE w:val="false"/>
        <w:snapToGrid w:val="false"/>
        <w:spacing w:lineRule="auto" w:line="360"/>
        <w:ind w:firstLine="560" w:end="0"/>
        <w:textAlignment w:val="bottom"/>
        <w:rPr>
          <w:szCs w:val="28"/>
          <w:shd w:fill="FFFFFF" w:val="clear"/>
        </w:rPr>
      </w:pPr>
      <w:r>
        <w:rPr>
          <w:szCs w:val="28"/>
          <w:shd w:fill="FFFFFF" w:val="clear"/>
        </w:rPr>
        <w:t>1、各种估价方法的适用性分析</w:t>
      </w:r>
    </w:p>
    <w:p>
      <w:pPr>
        <w:pStyle w:val="Normal"/>
        <w:snapToGrid w:val="false"/>
        <w:spacing w:lineRule="auto" w:line="360"/>
        <w:ind w:firstLine="560" w:end="0"/>
        <w:rPr/>
      </w:pPr>
      <w:r>
        <w:rPr/>
        <w:t>房地产估价的常用方法有比较法、收益法、假设开发法和成本法，</w:t>
      </w:r>
      <w:r>
        <w:rPr>
          <w:rFonts w:cs="仿宋_GB2312"/>
          <w:szCs w:val="28"/>
          <w:lang w:val="zh-CN"/>
        </w:rPr>
        <w:t>根据本估价项目的具体情况，对</w:t>
      </w:r>
      <w:r>
        <w:rPr/>
        <w:t>各种</w:t>
      </w:r>
      <w:r>
        <w:rPr>
          <w:rFonts w:cs="仿宋_GB2312"/>
          <w:szCs w:val="28"/>
          <w:lang w:val="zh-CN"/>
        </w:rPr>
        <w:t>方法的适用性分析如下：</w:t>
      </w:r>
    </w:p>
    <w:p>
      <w:pPr>
        <w:pStyle w:val="Normal"/>
        <w:snapToGrid w:val="false"/>
        <w:spacing w:lineRule="auto" w:line="360"/>
        <w:ind w:firstLine="560" w:end="0"/>
        <w:rPr>
          <w:rFonts w:cs="仿宋_GB2312"/>
          <w:szCs w:val="28"/>
          <w:lang w:val="zh-CN"/>
        </w:rPr>
      </w:pPr>
      <w:r>
        <w:rPr>
          <w:rFonts w:cs="仿宋_GB2312"/>
          <w:szCs w:val="28"/>
          <w:lang w:val="zh-CN"/>
        </w:rPr>
        <w:t>（1）比较法适用于同种类型的数量较多且经常发生交易的房地产。</w:t>
      </w:r>
      <w:r>
        <w:rPr/>
        <w:t>估价对象为住宅房地产，近期该区域内类似房地产的交易实例较多，根据估价规范，有条件选用比较法进行估价的，应以比较法为主要的估价方法，故本次评估选择使用比较法。</w:t>
      </w:r>
    </w:p>
    <w:p>
      <w:pPr>
        <w:pStyle w:val="Normal"/>
        <w:snapToGrid w:val="false"/>
        <w:spacing w:lineRule="auto" w:line="360"/>
        <w:ind w:firstLine="560" w:end="0"/>
        <w:rPr/>
      </w:pPr>
      <w:r>
        <w:rPr/>
        <w:t>（2）收益法适用于有经济收益或有潜在经济收益的房地产。估价对象为住宅房地产，租赁较为活跃，未来的收益和风险可以预测，故本次评估选择使用收益法。</w:t>
      </w:r>
    </w:p>
    <w:p>
      <w:pPr>
        <w:pStyle w:val="Normal"/>
        <w:snapToGrid w:val="false"/>
        <w:spacing w:lineRule="auto" w:line="360"/>
        <w:ind w:firstLine="560" w:end="0"/>
        <w:rPr/>
      </w:pPr>
      <w:r>
        <w:rPr>
          <w:rFonts w:cs="仿宋_GB2312"/>
          <w:szCs w:val="28"/>
          <w:lang w:val="zh-CN"/>
        </w:rPr>
        <w:t>（3）新开发的房地产、可以假设重新开发建设的现有房地产、在建工程、计划开发建设的房地产都可以采用成本法进行评估；对于很少发生交易而限制了比较法运用，又没有经济收益或没有潜在经济收益而限制了收益法运用的房地产特别适用成本法进行评估；有独特设计或者只针对特定使用者的特殊需要而开发建设的房地产，以及单纯的建筑物或者其装饰装修部分，通常也是采用成本法进行评估；成本法不适用于评估建筑物过于老旧的房地产的价值。估价对象为</w:t>
      </w:r>
      <w:r>
        <w:rPr/>
        <w:t>已建成的住宅房地产</w:t>
      </w:r>
      <w:r>
        <w:rPr>
          <w:rFonts w:cs="仿宋_GB2312"/>
          <w:szCs w:val="28"/>
          <w:lang w:val="zh-CN"/>
        </w:rPr>
        <w:t>，</w:t>
      </w:r>
      <w:r>
        <w:rPr/>
        <w:t>故本次评估</w:t>
      </w:r>
      <w:r>
        <w:rPr>
          <w:rFonts w:cs="仿宋_GB2312"/>
          <w:szCs w:val="28"/>
          <w:lang w:val="zh-CN"/>
        </w:rPr>
        <w:t>不适宜</w:t>
      </w:r>
      <w:r>
        <w:rPr/>
        <w:t>选择使用</w:t>
      </w:r>
      <w:r>
        <w:rPr>
          <w:rFonts w:cs="仿宋_GB2312"/>
          <w:szCs w:val="28"/>
          <w:lang w:val="zh-CN"/>
        </w:rPr>
        <w:t>成本法。</w:t>
      </w:r>
    </w:p>
    <w:p>
      <w:pPr>
        <w:pStyle w:val="Normal"/>
        <w:snapToGrid w:val="false"/>
        <w:spacing w:lineRule="auto" w:line="360"/>
        <w:ind w:firstLine="560" w:end="0"/>
        <w:rPr/>
      </w:pPr>
      <w:r>
        <w:rPr>
          <w:rFonts w:cs="仿宋_GB2312"/>
          <w:szCs w:val="28"/>
          <w:lang w:val="zh-CN"/>
        </w:rPr>
        <w:t>（4）凡是具有开发或再开发潜力并且其开发完成后的价值可采用比较法、收益法等方法求取的房地产都适用假设开发法进行评估。估价对象为</w:t>
      </w:r>
      <w:r>
        <w:rPr/>
        <w:t>已建成的住宅房地产</w:t>
      </w:r>
      <w:r>
        <w:rPr>
          <w:rFonts w:cs="仿宋_GB2312"/>
          <w:szCs w:val="28"/>
          <w:lang w:val="zh-CN"/>
        </w:rPr>
        <w:t>，</w:t>
      </w:r>
      <w:r>
        <w:rPr/>
        <w:t>故本次评估</w:t>
      </w:r>
      <w:r>
        <w:rPr>
          <w:rFonts w:cs="仿宋_GB2312"/>
          <w:szCs w:val="28"/>
          <w:lang w:val="zh-CN"/>
        </w:rPr>
        <w:t>不适宜</w:t>
      </w:r>
      <w:r>
        <w:rPr/>
        <w:t>选择使用</w:t>
      </w:r>
      <w:r>
        <w:rPr>
          <w:rFonts w:cs="仿宋_GB2312"/>
          <w:szCs w:val="28"/>
          <w:lang w:val="zh-CN"/>
        </w:rPr>
        <w:t>假设开发法。</w:t>
      </w:r>
    </w:p>
    <w:p>
      <w:pPr>
        <w:pStyle w:val="Normal"/>
        <w:snapToGrid w:val="false"/>
        <w:spacing w:lineRule="auto" w:line="360"/>
        <w:ind w:firstLine="560" w:end="0"/>
        <w:rPr/>
      </w:pPr>
      <w:r>
        <w:rPr>
          <w:rFonts w:cs="仿宋_GB2312"/>
          <w:szCs w:val="28"/>
          <w:lang w:val="zh-CN"/>
        </w:rPr>
        <w:t>2</w:t>
      </w:r>
      <w:r>
        <w:rPr>
          <w:spacing w:val="-4"/>
        </w:rPr>
        <w:t>、估价技术路线</w:t>
      </w:r>
    </w:p>
    <w:p>
      <w:pPr>
        <w:pStyle w:val="Normal"/>
        <w:snapToGrid w:val="false"/>
        <w:spacing w:lineRule="auto" w:line="360"/>
        <w:ind w:firstLine="560" w:end="0"/>
        <w:rPr>
          <w:rFonts w:cs="仿宋_GB2312"/>
          <w:szCs w:val="28"/>
          <w:lang w:val="zh-CN"/>
        </w:rPr>
      </w:pPr>
      <w:r>
        <w:rPr>
          <w:rFonts w:cs="仿宋_GB2312"/>
          <w:szCs w:val="28"/>
          <w:lang w:val="zh-CN"/>
        </w:rPr>
        <w:t>根据上述各种估价方法的适用性分析，本次估价采用比较法和收益法。</w:t>
      </w:r>
    </w:p>
    <w:p>
      <w:pPr>
        <w:pStyle w:val="Normal"/>
        <w:autoSpaceDE w:val="false"/>
        <w:snapToGrid w:val="false"/>
        <w:spacing w:lineRule="auto" w:line="360"/>
        <w:ind w:firstLine="560" w:end="0"/>
        <w:textAlignment w:val="bottom"/>
        <w:rPr/>
      </w:pPr>
      <w:r>
        <w:rPr/>
        <w:t>比较法是选取一定数量的可比实例，将它们与估价对象进行比较，根据其间的差异对可比实例成交价格进行处理后得到估价对象价值或价格的方法。</w:t>
      </w:r>
    </w:p>
    <w:p>
      <w:pPr>
        <w:pStyle w:val="Normal"/>
        <w:snapToGrid w:val="false"/>
        <w:spacing w:lineRule="auto" w:line="360"/>
        <w:ind w:firstLine="560" w:end="0"/>
        <w:rPr/>
      </w:pPr>
      <w:r>
        <w:rPr/>
        <w:t>收益法是预测估价对象的未来收益，利用报酬率或资本化率、收益乘数将未来收益转换为价值得到估价对象价值或价格的方法。</w:t>
      </w:r>
      <w:r>
        <w:rPr>
          <w:rFonts w:cs="仿宋_GB2312"/>
          <w:szCs w:val="28"/>
          <w:lang w:val="zh-CN"/>
        </w:rPr>
        <w:t>收益法分为报酬资本化法和直接资本化法。本次估价采用报酬资本化法。</w:t>
      </w:r>
    </w:p>
    <w:p>
      <w:pPr>
        <w:pStyle w:val="Normal"/>
        <w:autoSpaceDE w:val="false"/>
        <w:snapToGrid w:val="false"/>
        <w:spacing w:lineRule="auto" w:line="360"/>
        <w:ind w:firstLine="560" w:end="0"/>
        <w:textAlignment w:val="bottom"/>
        <w:rPr>
          <w:rFonts w:cs="仿宋_GB2312"/>
          <w:szCs w:val="28"/>
        </w:rPr>
      </w:pPr>
      <w:r>
        <w:rPr/>
        <w:t>报酬资本化法是预测估价对象未来各年的净收益，利用报酬率将其折现到价值时点后相加得到估价对象价值或价格的方法。</w:t>
      </w:r>
    </w:p>
    <w:p>
      <w:pPr>
        <w:pStyle w:val="Normal"/>
        <w:snapToGrid w:val="false"/>
        <w:spacing w:lineRule="auto" w:line="360"/>
        <w:ind w:firstLine="560" w:end="0"/>
        <w:rPr>
          <w:rFonts w:cs="仿宋_GB2312"/>
          <w:szCs w:val="28"/>
          <w:lang w:val="zh-CN"/>
        </w:rPr>
      </w:pPr>
      <w:r>
        <w:rPr>
          <w:rFonts w:cs="仿宋_GB2312"/>
          <w:szCs w:val="28"/>
          <w:lang w:val="zh-CN"/>
        </w:rPr>
        <w:t>具体步骤如下:</w:t>
      </w:r>
    </w:p>
    <w:p>
      <w:pPr>
        <w:pStyle w:val="Normal"/>
        <w:snapToGrid w:val="false"/>
        <w:spacing w:lineRule="auto" w:line="360"/>
        <w:ind w:firstLine="560" w:end="0"/>
        <w:rPr/>
      </w:pPr>
      <w:r>
        <w:rPr>
          <w:rFonts w:cs="仿宋_GB2312"/>
          <w:szCs w:val="28"/>
          <w:lang w:val="zh-CN"/>
        </w:rPr>
        <w:t>（1）</w:t>
      </w:r>
      <w:r>
        <w:rPr>
          <w:rFonts w:cs="仿宋_GB2312"/>
          <w:szCs w:val="28"/>
        </w:rPr>
        <w:t>选取与估价对象类似的三个可比实例，通过交易情况修正、市</w:t>
      </w:r>
      <w:r>
        <w:rPr/>
        <w:t>场状况调整、房地产状况调整等求取出估价对象的比较价值。</w:t>
      </w:r>
    </w:p>
    <w:p>
      <w:pPr>
        <w:pStyle w:val="Normal"/>
        <w:snapToGrid w:val="false"/>
        <w:spacing w:lineRule="auto" w:line="360"/>
        <w:ind w:firstLine="560" w:end="0"/>
        <w:rPr/>
      </w:pPr>
      <w:r>
        <w:rPr/>
        <w:t>（2）求取估价对象未来净收益，确定收益期，选用报酬率和公式求取出估价对象的收益价值。</w:t>
      </w:r>
    </w:p>
    <w:p>
      <w:pPr>
        <w:pStyle w:val="Normal"/>
        <w:snapToGrid w:val="false"/>
        <w:spacing w:lineRule="auto" w:line="360"/>
        <w:ind w:firstLine="560" w:end="0"/>
        <w:rPr/>
      </w:pPr>
      <w:r>
        <w:rPr/>
        <w:t>（3）综合两种方法的计算结果分析得出估价对象的市场价值。</w:t>
      </w:r>
    </w:p>
    <w:p>
      <w:pPr>
        <w:pStyle w:val="Heading2"/>
        <w:keepNext w:val="true"/>
        <w:keepLines/>
        <w:spacing w:before="156" w:after="156"/>
        <w:ind w:hanging="0" w:start="0"/>
        <w:jc w:val="both"/>
        <w:rPr>
          <w:rFonts w:ascii="仿宋_GB2312" w:hAnsi="仿宋_GB2312" w:eastAsia="仿宋_GB2312" w:cs="宋体;SimSun"/>
          <w:kern w:val="2"/>
          <w:sz w:val="28"/>
        </w:rPr>
      </w:pPr>
      <w:bookmarkStart w:id="27" w:name="__RefHeading___Toc208393272"/>
      <w:r>
        <w:rPr>
          <w:rFonts w:ascii="仿宋_GB2312" w:hAnsi="仿宋_GB2312" w:cs="宋体;SimSun" w:eastAsia="仿宋_GB2312"/>
          <w:kern w:val="2"/>
          <w:sz w:val="28"/>
        </w:rPr>
        <w:t>七、估价测算过程</w:t>
      </w:r>
      <w:bookmarkEnd w:id="27"/>
      <w:r>
        <w:rPr>
          <w:rFonts w:ascii="仿宋_GB2312" w:hAnsi="仿宋_GB2312" w:cs="宋体;SimSun" w:eastAsia="仿宋_GB2312"/>
          <w:kern w:val="2"/>
          <w:sz w:val="28"/>
        </w:rPr>
        <w:t xml:space="preserve"> </w:t>
      </w:r>
    </w:p>
    <w:p>
      <w:pPr>
        <w:pStyle w:val="Normal"/>
        <w:autoSpaceDE w:val="false"/>
        <w:snapToGrid w:val="false"/>
        <w:spacing w:lineRule="auto" w:line="360"/>
        <w:ind w:firstLine="562" w:end="0"/>
        <w:textAlignment w:val="bottom"/>
        <w:rPr>
          <w:b/>
        </w:rPr>
      </w:pPr>
      <w:r>
        <w:rPr>
          <w:rFonts w:cs="仿宋_GB2312"/>
          <w:b/>
        </w:rPr>
        <w:t>Ⅰ</w:t>
      </w:r>
      <w:r>
        <w:rPr>
          <w:b/>
        </w:rPr>
        <w:t>、比较法</w:t>
      </w:r>
    </w:p>
    <w:p>
      <w:pPr>
        <w:pStyle w:val="Normal"/>
        <w:autoSpaceDE w:val="false"/>
        <w:snapToGrid w:val="false"/>
        <w:spacing w:lineRule="auto" w:line="360"/>
        <w:ind w:firstLine="560" w:end="0"/>
        <w:textAlignment w:val="bottom"/>
        <w:rPr/>
      </w:pPr>
      <w:r>
        <w:rPr/>
        <w:t>比较法是在同一市场条件下，根据替代原则，将估价对象与可比实例进行比较，就影响价格的</w:t>
      </w:r>
      <w:r>
        <w:rPr>
          <w:rStyle w:val="basefactorname"/>
        </w:rPr>
        <w:t>交易情况、市场状况、</w:t>
      </w:r>
      <w:r>
        <w:rPr/>
        <w:t>区位状况、权益状况、实物状况</w:t>
      </w:r>
      <w:r>
        <w:rPr>
          <w:rStyle w:val="basefactorname"/>
        </w:rPr>
        <w:t>等进行修正调整，</w:t>
      </w:r>
      <w:r>
        <w:rPr/>
        <w:t>求取估价对象价值或价格的方法。</w:t>
      </w:r>
    </w:p>
    <w:p>
      <w:pPr>
        <w:pStyle w:val="Normal"/>
        <w:autoSpaceDE w:val="false"/>
        <w:snapToGrid w:val="false"/>
        <w:spacing w:lineRule="auto" w:line="360"/>
        <w:ind w:firstLine="560" w:end="0"/>
        <w:textAlignment w:val="bottom"/>
        <w:rPr/>
      </w:pPr>
      <w:r>
        <w:rPr/>
        <w:t>比准价格=可比实例成交价格×交易情况修正系数×市场状况调整系数×区位状况调整系数×权益状况调整系数×实物状况调整系数</w:t>
      </w:r>
    </w:p>
    <w:p>
      <w:pPr>
        <w:pStyle w:val="Normal"/>
        <w:snapToGrid w:val="false"/>
        <w:spacing w:lineRule="auto" w:line="360"/>
        <w:ind w:firstLine="560" w:end="0"/>
        <w:textAlignment w:val="bottom"/>
        <w:rPr/>
      </w:pPr>
      <w:r>
        <w:rPr/>
        <w:t>房地产总价=估价对象证载建筑面积×比准价格</w:t>
      </w:r>
    </w:p>
    <w:p>
      <w:pPr>
        <w:pStyle w:val="Normal"/>
        <w:snapToGrid w:val="false"/>
        <w:spacing w:lineRule="auto" w:line="360"/>
        <w:ind w:firstLine="560" w:end="0"/>
        <w:textAlignment w:val="bottom"/>
        <w:rPr/>
      </w:pPr>
      <w:r>
        <w:rPr/>
        <w:t>1、可比实例选择</w:t>
      </w:r>
    </w:p>
    <w:p>
      <w:pPr>
        <w:pStyle w:val="Normal"/>
        <w:snapToGrid w:val="false"/>
        <w:spacing w:lineRule="auto" w:line="360"/>
        <w:ind w:firstLine="560" w:end="0"/>
        <w:textAlignment w:val="bottom"/>
        <w:rPr/>
      </w:pPr>
      <w:r>
        <w:rPr/>
        <w:t>根据估价对象的具体情况，选择了可比实例1、可比实例2、可比实例3作为可比实例。</w:t>
      </w:r>
    </w:p>
    <w:p>
      <w:pPr>
        <w:pStyle w:val="Normal"/>
        <w:snapToGrid w:val="false"/>
        <w:spacing w:lineRule="auto" w:line="360"/>
        <w:ind w:firstLine="560" w:end="0"/>
        <w:textAlignment w:val="bottom"/>
        <w:rPr/>
      </w:pPr>
      <w:r>
        <w:rPr/>
        <w:t>2、比较因素选择</w:t>
      </w:r>
    </w:p>
    <w:p>
      <w:pPr>
        <w:pStyle w:val="Normal"/>
        <w:snapToGrid w:val="false"/>
        <w:spacing w:lineRule="auto" w:line="360"/>
        <w:ind w:firstLine="560" w:end="0"/>
        <w:textAlignment w:val="bottom"/>
        <w:rPr/>
      </w:pPr>
      <w:r>
        <w:rPr/>
        <w:t>根据估价对象的具体情况，影响估价对象价格的影响因素有基础设施、公共服务设施、交通状况、环境状况、区域规划、楼层、朝向等区位状况，土地用途、规划限制、他项权利状况等权益状况，楼盘品质、装修情况、位置景观等实物状况，评估时综合考虑估价对象相关价格影响因素并进行具体修正。</w:t>
      </w:r>
    </w:p>
    <w:p>
      <w:pPr>
        <w:pStyle w:val="Normal"/>
        <w:snapToGrid w:val="false"/>
        <w:spacing w:lineRule="auto" w:line="360"/>
        <w:ind w:firstLine="560" w:end="0"/>
        <w:textAlignment w:val="bottom"/>
        <w:rPr/>
      </w:pPr>
      <w:r>
        <w:rPr/>
        <w:t>3、比较因素条件说明</w:t>
      </w:r>
    </w:p>
    <w:tbl>
      <w:tblPr>
        <w:tblW w:w="8473" w:type="dxa"/>
        <w:jc w:val="start"/>
        <w:tblInd w:w="93" w:type="dxa"/>
        <w:tblLayout w:type="fixed"/>
        <w:tblCellMar>
          <w:top w:w="0" w:type="dxa"/>
          <w:start w:w="108" w:type="dxa"/>
          <w:bottom w:w="0" w:type="dxa"/>
          <w:end w:w="108" w:type="dxa"/>
        </w:tblCellMar>
      </w:tblPr>
      <w:tblGrid>
        <w:gridCol w:w="1033"/>
        <w:gridCol w:w="1392"/>
        <w:gridCol w:w="1512"/>
        <w:gridCol w:w="1512"/>
        <w:gridCol w:w="1512"/>
        <w:gridCol w:w="1512"/>
      </w:tblGrid>
      <w:tr>
        <w:trPr>
          <w:trHeight w:val="327" w:hRule="atLeast"/>
        </w:trPr>
        <w:tc>
          <w:tcPr>
            <w:tcW w:w="2425" w:type="dxa"/>
            <w:gridSpan w:val="2"/>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r>
          </w:p>
        </w:tc>
        <w:tc>
          <w:tcPr>
            <w:tcW w:w="151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可比实例</w:t>
            </w:r>
            <w:r>
              <w:rPr>
                <w:rFonts w:eastAsia="宋体;SimSun" w:ascii="宋体;SimSun" w:hAnsi="宋体;SimSun"/>
                <w:b/>
                <w:bCs/>
                <w:color w:val="000000"/>
                <w:kern w:val="0"/>
                <w:sz w:val="18"/>
                <w:szCs w:val="18"/>
              </w:rPr>
              <w:t>1</w:t>
            </w:r>
          </w:p>
        </w:tc>
        <w:tc>
          <w:tcPr>
            <w:tcW w:w="151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可比实例</w:t>
            </w:r>
            <w:r>
              <w:rPr>
                <w:rFonts w:eastAsia="宋体;SimSun" w:ascii="宋体;SimSun" w:hAnsi="宋体;SimSun"/>
                <w:b/>
                <w:bCs/>
                <w:color w:val="000000"/>
                <w:kern w:val="0"/>
                <w:sz w:val="18"/>
                <w:szCs w:val="18"/>
              </w:rPr>
              <w:t>2</w:t>
            </w:r>
          </w:p>
        </w:tc>
        <w:tc>
          <w:tcPr>
            <w:tcW w:w="151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可比实例</w:t>
            </w:r>
            <w:r>
              <w:rPr>
                <w:rFonts w:eastAsia="宋体;SimSun" w:ascii="宋体;SimSun" w:hAnsi="宋体;SimSun"/>
                <w:b/>
                <w:bCs/>
                <w:color w:val="000000"/>
                <w:kern w:val="0"/>
                <w:sz w:val="18"/>
                <w:szCs w:val="18"/>
              </w:rPr>
              <w:t>3</w:t>
            </w:r>
          </w:p>
        </w:tc>
        <w:tc>
          <w:tcPr>
            <w:tcW w:w="151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估价对象</w:t>
            </w:r>
          </w:p>
        </w:tc>
      </w:tr>
      <w:tr>
        <w:trPr>
          <w:trHeight w:val="879" w:hRule="atLeast"/>
        </w:trPr>
        <w:tc>
          <w:tcPr>
            <w:tcW w:w="2425" w:type="dxa"/>
            <w:gridSpan w:val="2"/>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位置</w:t>
            </w:r>
          </w:p>
        </w:tc>
        <w:tc>
          <w:tcPr>
            <w:tcW w:w="151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闲湖城山景湾</w:t>
            </w:r>
            <w:r>
              <w:rPr>
                <w:rFonts w:eastAsia="宋体;SimSun" w:ascii="宋体;SimSun" w:hAnsi="宋体;SimSun"/>
                <w:b/>
                <w:bCs/>
                <w:color w:val="000000"/>
                <w:kern w:val="0"/>
                <w:sz w:val="18"/>
                <w:szCs w:val="18"/>
              </w:rPr>
              <w:t>7</w:t>
            </w:r>
            <w:r>
              <w:rPr>
                <w:rFonts w:ascii="宋体;SimSun" w:hAnsi="宋体;SimSun" w:eastAsia="宋体;SimSun"/>
                <w:b/>
                <w:bCs/>
                <w:color w:val="000000"/>
                <w:kern w:val="0"/>
                <w:sz w:val="18"/>
                <w:szCs w:val="18"/>
              </w:rPr>
              <w:t>幢</w:t>
            </w:r>
            <w:r>
              <w:rPr>
                <w:rFonts w:eastAsia="宋体;SimSun" w:ascii="宋体;SimSun" w:hAnsi="宋体;SimSun"/>
                <w:b/>
                <w:bCs/>
                <w:color w:val="000000"/>
                <w:kern w:val="0"/>
                <w:sz w:val="18"/>
                <w:szCs w:val="18"/>
              </w:rPr>
              <w:t>1</w:t>
            </w:r>
            <w:r>
              <w:rPr>
                <w:rFonts w:ascii="宋体;SimSun" w:hAnsi="宋体;SimSun" w:eastAsia="宋体;SimSun"/>
                <w:b/>
                <w:bCs/>
                <w:color w:val="000000"/>
                <w:kern w:val="0"/>
                <w:sz w:val="18"/>
                <w:szCs w:val="18"/>
              </w:rPr>
              <w:t>单元第</w:t>
            </w:r>
            <w:r>
              <w:rPr>
                <w:rFonts w:eastAsia="宋体;SimSun" w:ascii="宋体;SimSun" w:hAnsi="宋体;SimSun"/>
                <w:b/>
                <w:bCs/>
                <w:color w:val="000000"/>
                <w:kern w:val="0"/>
                <w:sz w:val="18"/>
                <w:szCs w:val="18"/>
              </w:rPr>
              <w:t>8</w:t>
            </w:r>
            <w:r>
              <w:rPr>
                <w:rFonts w:ascii="宋体;SimSun" w:hAnsi="宋体;SimSun" w:eastAsia="宋体;SimSun"/>
                <w:b/>
                <w:bCs/>
                <w:color w:val="000000"/>
                <w:kern w:val="0"/>
                <w:sz w:val="18"/>
                <w:szCs w:val="18"/>
              </w:rPr>
              <w:t>层</w:t>
            </w:r>
          </w:p>
        </w:tc>
        <w:tc>
          <w:tcPr>
            <w:tcW w:w="151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闲湖城山景湾</w:t>
            </w:r>
            <w:r>
              <w:rPr>
                <w:rFonts w:eastAsia="宋体;SimSun" w:ascii="宋体;SimSun" w:hAnsi="宋体;SimSun"/>
                <w:b/>
                <w:bCs/>
                <w:color w:val="000000"/>
                <w:kern w:val="0"/>
                <w:sz w:val="18"/>
                <w:szCs w:val="18"/>
              </w:rPr>
              <w:t>2</w:t>
            </w:r>
            <w:r>
              <w:rPr>
                <w:rFonts w:ascii="宋体;SimSun" w:hAnsi="宋体;SimSun" w:eastAsia="宋体;SimSun"/>
                <w:b/>
                <w:bCs/>
                <w:color w:val="000000"/>
                <w:kern w:val="0"/>
                <w:sz w:val="18"/>
                <w:szCs w:val="18"/>
              </w:rPr>
              <w:t>幢</w:t>
            </w:r>
            <w:r>
              <w:rPr>
                <w:rFonts w:eastAsia="宋体;SimSun" w:ascii="宋体;SimSun" w:hAnsi="宋体;SimSun"/>
                <w:b/>
                <w:bCs/>
                <w:color w:val="000000"/>
                <w:kern w:val="0"/>
                <w:sz w:val="18"/>
                <w:szCs w:val="18"/>
              </w:rPr>
              <w:t>1</w:t>
            </w:r>
            <w:r>
              <w:rPr>
                <w:rFonts w:ascii="宋体;SimSun" w:hAnsi="宋体;SimSun" w:eastAsia="宋体;SimSun"/>
                <w:b/>
                <w:bCs/>
                <w:color w:val="000000"/>
                <w:kern w:val="0"/>
                <w:sz w:val="18"/>
                <w:szCs w:val="18"/>
              </w:rPr>
              <w:t>单元第</w:t>
            </w:r>
            <w:r>
              <w:rPr>
                <w:rFonts w:eastAsia="宋体;SimSun" w:ascii="宋体;SimSun" w:hAnsi="宋体;SimSun"/>
                <w:b/>
                <w:bCs/>
                <w:color w:val="000000"/>
                <w:kern w:val="0"/>
                <w:sz w:val="18"/>
                <w:szCs w:val="18"/>
              </w:rPr>
              <w:t>20</w:t>
            </w:r>
            <w:r>
              <w:rPr>
                <w:rFonts w:ascii="宋体;SimSun" w:hAnsi="宋体;SimSun" w:eastAsia="宋体;SimSun"/>
                <w:b/>
                <w:bCs/>
                <w:color w:val="000000"/>
                <w:kern w:val="0"/>
                <w:sz w:val="18"/>
                <w:szCs w:val="18"/>
              </w:rPr>
              <w:t>层</w:t>
            </w:r>
          </w:p>
        </w:tc>
        <w:tc>
          <w:tcPr>
            <w:tcW w:w="151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闲湖城山景湾</w:t>
            </w:r>
            <w:r>
              <w:rPr>
                <w:rFonts w:eastAsia="宋体;SimSun" w:ascii="宋体;SimSun" w:hAnsi="宋体;SimSun"/>
                <w:b/>
                <w:bCs/>
                <w:color w:val="000000"/>
                <w:kern w:val="0"/>
                <w:sz w:val="18"/>
                <w:szCs w:val="18"/>
              </w:rPr>
              <w:t>4</w:t>
            </w:r>
            <w:r>
              <w:rPr>
                <w:rFonts w:ascii="宋体;SimSun" w:hAnsi="宋体;SimSun" w:eastAsia="宋体;SimSun"/>
                <w:b/>
                <w:bCs/>
                <w:color w:val="000000"/>
                <w:kern w:val="0"/>
                <w:sz w:val="18"/>
                <w:szCs w:val="18"/>
              </w:rPr>
              <w:t>幢</w:t>
            </w:r>
            <w:r>
              <w:rPr>
                <w:rFonts w:eastAsia="宋体;SimSun" w:ascii="宋体;SimSun" w:hAnsi="宋体;SimSun"/>
                <w:b/>
                <w:bCs/>
                <w:color w:val="000000"/>
                <w:kern w:val="0"/>
                <w:sz w:val="18"/>
                <w:szCs w:val="18"/>
              </w:rPr>
              <w:t>1</w:t>
            </w:r>
            <w:r>
              <w:rPr>
                <w:rFonts w:ascii="宋体;SimSun" w:hAnsi="宋体;SimSun" w:eastAsia="宋体;SimSun"/>
                <w:b/>
                <w:bCs/>
                <w:color w:val="000000"/>
                <w:kern w:val="0"/>
                <w:sz w:val="18"/>
                <w:szCs w:val="18"/>
              </w:rPr>
              <w:t>单元第</w:t>
            </w:r>
            <w:r>
              <w:rPr>
                <w:rFonts w:eastAsia="宋体;SimSun" w:ascii="宋体;SimSun" w:hAnsi="宋体;SimSun"/>
                <w:b/>
                <w:bCs/>
                <w:color w:val="000000"/>
                <w:kern w:val="0"/>
                <w:sz w:val="18"/>
                <w:szCs w:val="18"/>
              </w:rPr>
              <w:t>23</w:t>
            </w:r>
            <w:r>
              <w:rPr>
                <w:rFonts w:ascii="宋体;SimSun" w:hAnsi="宋体;SimSun" w:eastAsia="宋体;SimSun"/>
                <w:b/>
                <w:bCs/>
                <w:color w:val="000000"/>
                <w:kern w:val="0"/>
                <w:sz w:val="18"/>
                <w:szCs w:val="18"/>
              </w:rPr>
              <w:t>层</w:t>
            </w:r>
          </w:p>
        </w:tc>
        <w:tc>
          <w:tcPr>
            <w:tcW w:w="151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杭州市余杭区闲林街道闲湖城山景湾</w:t>
            </w:r>
            <w:r>
              <w:rPr>
                <w:rFonts w:eastAsia="宋体;SimSun" w:ascii="宋体;SimSun" w:hAnsi="宋体;SimSun"/>
                <w:b/>
                <w:bCs/>
                <w:color w:val="000000"/>
                <w:kern w:val="0"/>
                <w:sz w:val="18"/>
                <w:szCs w:val="18"/>
              </w:rPr>
              <w:t>3</w:t>
            </w:r>
            <w:r>
              <w:rPr>
                <w:rFonts w:ascii="宋体;SimSun" w:hAnsi="宋体;SimSun" w:eastAsia="宋体;SimSun"/>
                <w:b/>
                <w:bCs/>
                <w:color w:val="000000"/>
                <w:kern w:val="0"/>
                <w:sz w:val="18"/>
                <w:szCs w:val="18"/>
              </w:rPr>
              <w:t>幢</w:t>
            </w:r>
            <w:r>
              <w:rPr>
                <w:rFonts w:eastAsia="宋体;SimSun" w:ascii="宋体;SimSun" w:hAnsi="宋体;SimSun"/>
                <w:b/>
                <w:bCs/>
                <w:color w:val="000000"/>
                <w:kern w:val="0"/>
                <w:sz w:val="18"/>
                <w:szCs w:val="18"/>
              </w:rPr>
              <w:t>2</w:t>
            </w:r>
            <w:r>
              <w:rPr>
                <w:rFonts w:ascii="宋体;SimSun" w:hAnsi="宋体;SimSun" w:eastAsia="宋体;SimSun"/>
                <w:b/>
                <w:bCs/>
                <w:color w:val="000000"/>
                <w:kern w:val="0"/>
                <w:sz w:val="18"/>
                <w:szCs w:val="18"/>
              </w:rPr>
              <w:t>单元</w:t>
            </w:r>
            <w:r>
              <w:rPr>
                <w:rFonts w:eastAsia="宋体;SimSun" w:ascii="宋体;SimSun" w:hAnsi="宋体;SimSun"/>
                <w:b/>
                <w:bCs/>
                <w:color w:val="000000"/>
                <w:kern w:val="0"/>
                <w:sz w:val="18"/>
                <w:szCs w:val="18"/>
              </w:rPr>
              <w:t>601</w:t>
            </w:r>
            <w:r>
              <w:rPr>
                <w:rFonts w:ascii="宋体;SimSun" w:hAnsi="宋体;SimSun" w:eastAsia="宋体;SimSun"/>
                <w:b/>
                <w:bCs/>
                <w:color w:val="000000"/>
                <w:kern w:val="0"/>
                <w:sz w:val="18"/>
                <w:szCs w:val="18"/>
              </w:rPr>
              <w:t>室</w:t>
            </w:r>
          </w:p>
        </w:tc>
      </w:tr>
      <w:tr>
        <w:trPr>
          <w:trHeight w:val="327" w:hRule="atLeast"/>
        </w:trPr>
        <w:tc>
          <w:tcPr>
            <w:tcW w:w="2425" w:type="dxa"/>
            <w:gridSpan w:val="2"/>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成交价格（元</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17902</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16972</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18719</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待估</w:t>
            </w:r>
          </w:p>
        </w:tc>
      </w:tr>
      <w:tr>
        <w:trPr>
          <w:trHeight w:val="327" w:hRule="atLeast"/>
        </w:trPr>
        <w:tc>
          <w:tcPr>
            <w:tcW w:w="2425" w:type="dxa"/>
            <w:gridSpan w:val="2"/>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交易情况</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正常</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正常</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正常</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正常</w:t>
            </w:r>
          </w:p>
        </w:tc>
      </w:tr>
      <w:tr>
        <w:trPr>
          <w:trHeight w:val="327" w:hRule="atLeast"/>
        </w:trPr>
        <w:tc>
          <w:tcPr>
            <w:tcW w:w="2425" w:type="dxa"/>
            <w:gridSpan w:val="2"/>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成交日期</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2025/3/23</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2025/3/21</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2025/2/26</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2025/9/8</w:t>
            </w:r>
          </w:p>
        </w:tc>
      </w:tr>
      <w:tr>
        <w:trPr>
          <w:trHeight w:val="327" w:hRule="atLeast"/>
        </w:trPr>
        <w:tc>
          <w:tcPr>
            <w:tcW w:w="1033" w:type="dxa"/>
            <w:vMerge w:val="restart"/>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区位状况</w:t>
            </w:r>
          </w:p>
        </w:tc>
        <w:tc>
          <w:tcPr>
            <w:tcW w:w="139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基础设施</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完善</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完善</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完善</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完善</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公共服务设施</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齐全</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齐全</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齐全</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齐全</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交通状况</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较便捷</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较便捷</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较便捷</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较便捷</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环境状况</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一般</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一般</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一般</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一般</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区域规划</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较好</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较好</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较好</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较好</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楼层</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8F</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20F</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23F</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{{所在楼层}}F/{{总层数}}F</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朝向</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南，中间套</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南，中间套</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南，中间套</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南，中间套</w:t>
            </w:r>
          </w:p>
        </w:tc>
      </w:tr>
      <w:tr>
        <w:trPr>
          <w:trHeight w:val="327" w:hRule="atLeast"/>
        </w:trPr>
        <w:tc>
          <w:tcPr>
            <w:tcW w:w="1033" w:type="dxa"/>
            <w:vMerge w:val="restart"/>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权益状况</w:t>
            </w:r>
          </w:p>
        </w:tc>
        <w:tc>
          <w:tcPr>
            <w:tcW w:w="139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土地用途</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住宅</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住宅</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住宅</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住宅</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规划限制</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无</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无</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无</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无</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他项权利状况</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无</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无</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无</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有</w:t>
            </w:r>
          </w:p>
        </w:tc>
      </w:tr>
      <w:tr>
        <w:trPr>
          <w:trHeight w:val="327" w:hRule="atLeast"/>
        </w:trPr>
        <w:tc>
          <w:tcPr>
            <w:tcW w:w="1033" w:type="dxa"/>
            <w:vMerge w:val="restart"/>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实物状况</w:t>
            </w:r>
          </w:p>
        </w:tc>
        <w:tc>
          <w:tcPr>
            <w:tcW w:w="139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楼盘品质</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较好</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较好</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较好</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较好</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装修情况</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中等装修</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简单装修</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中等装修</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中等装修</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位置景观</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较好</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较好</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较好</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较好</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通风采光</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较好</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较好</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较好</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较好</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空间布局</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较合理</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较合理</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较合理</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较合理</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房屋建筑面积</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88.26</w:t>
            </w:r>
            <w:r>
              <w:rPr>
                <w:rFonts w:ascii="宋体;SimSun" w:hAnsi="宋体;SimSun" w:eastAsia="宋体;SimSun"/>
                <w:color w:val="000000"/>
                <w:kern w:val="0"/>
                <w:sz w:val="18"/>
                <w:szCs w:val="18"/>
              </w:rPr>
              <w:t>平方米</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88.38</w:t>
            </w:r>
            <w:r>
              <w:rPr>
                <w:rFonts w:ascii="宋体;SimSun" w:hAnsi="宋体;SimSun" w:eastAsia="宋体;SimSun"/>
                <w:color w:val="000000"/>
                <w:kern w:val="0"/>
                <w:sz w:val="18"/>
                <w:szCs w:val="18"/>
              </w:rPr>
              <w:t>平方米</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88.68</w:t>
            </w:r>
            <w:r>
              <w:rPr>
                <w:rFonts w:ascii="宋体;SimSun" w:hAnsi="宋体;SimSun" w:eastAsia="宋体;SimSun"/>
                <w:color w:val="000000"/>
                <w:kern w:val="0"/>
                <w:sz w:val="18"/>
                <w:szCs w:val="18"/>
              </w:rPr>
              <w:t>平方米</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{{建筑面积}}</w:t>
            </w:r>
            <w:r>
              <w:rPr>
                <w:rFonts w:ascii="宋体;SimSun" w:hAnsi="宋体;SimSun" w:eastAsia="宋体;SimSun"/>
                <w:color w:val="000000"/>
                <w:kern w:val="0"/>
                <w:sz w:val="18"/>
                <w:szCs w:val="18"/>
              </w:rPr>
              <w:t>平方米</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安静程度</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安静</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安静</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安静</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安静</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建筑结构</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钢混</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钢混</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钢混</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钢混</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建成年份</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2020</w:t>
            </w:r>
            <w:r>
              <w:rPr>
                <w:rFonts w:ascii="宋体;SimSun" w:hAnsi="宋体;SimSun" w:eastAsia="宋体;SimSun"/>
                <w:color w:val="000000"/>
                <w:kern w:val="0"/>
                <w:sz w:val="18"/>
                <w:szCs w:val="18"/>
              </w:rPr>
              <w:t>年</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2020</w:t>
            </w:r>
            <w:r>
              <w:rPr>
                <w:rFonts w:ascii="宋体;SimSun" w:hAnsi="宋体;SimSun" w:eastAsia="宋体;SimSun"/>
                <w:color w:val="000000"/>
                <w:kern w:val="0"/>
                <w:sz w:val="18"/>
                <w:szCs w:val="18"/>
              </w:rPr>
              <w:t>年</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2020</w:t>
            </w:r>
            <w:r>
              <w:rPr>
                <w:rFonts w:ascii="宋体;SimSun" w:hAnsi="宋体;SimSun" w:eastAsia="宋体;SimSun"/>
                <w:color w:val="000000"/>
                <w:kern w:val="0"/>
                <w:sz w:val="18"/>
                <w:szCs w:val="18"/>
              </w:rPr>
              <w:t>年</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2020</w:t>
            </w:r>
            <w:r>
              <w:rPr>
                <w:rFonts w:ascii="宋体;SimSun" w:hAnsi="宋体;SimSun" w:eastAsia="宋体;SimSun"/>
                <w:color w:val="000000"/>
                <w:kern w:val="0"/>
                <w:sz w:val="18"/>
                <w:szCs w:val="18"/>
              </w:rPr>
              <w:t>年</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物业管理</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一般</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一般</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一般</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一般</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地形地势</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平坦</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平坦</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平坦</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平坦</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地质土壤</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较好</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较好</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较好</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较好</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开发程度</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较高</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较高</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较高</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较高</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宗地形状</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规则</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规则</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规则</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规则</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其他</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无</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无</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无</w:t>
            </w:r>
          </w:p>
        </w:tc>
        <w:tc>
          <w:tcPr>
            <w:tcW w:w="1512" w:type="dxa"/>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无</w:t>
            </w:r>
          </w:p>
        </w:tc>
      </w:tr>
    </w:tbl>
    <w:p>
      <w:pPr>
        <w:pStyle w:val="Normal"/>
        <w:snapToGrid w:val="false"/>
        <w:spacing w:lineRule="auto" w:line="360"/>
        <w:ind w:firstLine="560" w:end="0"/>
        <w:textAlignment w:val="bottom"/>
        <w:rPr/>
      </w:pPr>
      <w:r>
        <w:rPr/>
        <w:t>4、编制比较因素条件指数表</w:t>
      </w:r>
    </w:p>
    <w:tbl>
      <w:tblPr>
        <w:tblW w:w="8473" w:type="dxa"/>
        <w:jc w:val="start"/>
        <w:tblInd w:w="93" w:type="dxa"/>
        <w:tblLayout w:type="fixed"/>
        <w:tblCellMar>
          <w:top w:w="0" w:type="dxa"/>
          <w:start w:w="108" w:type="dxa"/>
          <w:bottom w:w="0" w:type="dxa"/>
          <w:end w:w="108" w:type="dxa"/>
        </w:tblCellMar>
      </w:tblPr>
      <w:tblGrid>
        <w:gridCol w:w="1033"/>
        <w:gridCol w:w="1392"/>
        <w:gridCol w:w="1512"/>
        <w:gridCol w:w="1512"/>
        <w:gridCol w:w="1512"/>
        <w:gridCol w:w="1512"/>
      </w:tblGrid>
      <w:tr>
        <w:trPr>
          <w:trHeight w:val="327" w:hRule="atLeast"/>
        </w:trPr>
        <w:tc>
          <w:tcPr>
            <w:tcW w:w="2425" w:type="dxa"/>
            <w:gridSpan w:val="2"/>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r>
          </w:p>
        </w:tc>
        <w:tc>
          <w:tcPr>
            <w:tcW w:w="1512" w:type="dxa"/>
            <w:tcBorders>
              <w:top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可比实例</w:t>
            </w:r>
            <w:r>
              <w:rPr>
                <w:rFonts w:eastAsia="宋体;SimSun" w:ascii="宋体;SimSun" w:hAnsi="宋体;SimSun"/>
                <w:b/>
                <w:bCs/>
                <w:color w:val="000000"/>
                <w:kern w:val="0"/>
                <w:sz w:val="18"/>
                <w:szCs w:val="18"/>
              </w:rPr>
              <w:t>1</w:t>
            </w:r>
          </w:p>
        </w:tc>
        <w:tc>
          <w:tcPr>
            <w:tcW w:w="1512" w:type="dxa"/>
            <w:tcBorders>
              <w:top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可比实例</w:t>
            </w:r>
            <w:r>
              <w:rPr>
                <w:rFonts w:eastAsia="宋体;SimSun" w:ascii="宋体;SimSun" w:hAnsi="宋体;SimSun"/>
                <w:b/>
                <w:bCs/>
                <w:color w:val="000000"/>
                <w:kern w:val="0"/>
                <w:sz w:val="18"/>
                <w:szCs w:val="18"/>
              </w:rPr>
              <w:t>2</w:t>
            </w:r>
          </w:p>
        </w:tc>
        <w:tc>
          <w:tcPr>
            <w:tcW w:w="1512" w:type="dxa"/>
            <w:tcBorders>
              <w:top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可比实例</w:t>
            </w:r>
            <w:r>
              <w:rPr>
                <w:rFonts w:eastAsia="宋体;SimSun" w:ascii="宋体;SimSun" w:hAnsi="宋体;SimSun"/>
                <w:b/>
                <w:bCs/>
                <w:color w:val="000000"/>
                <w:kern w:val="0"/>
                <w:sz w:val="18"/>
                <w:szCs w:val="18"/>
              </w:rPr>
              <w:t>3</w:t>
            </w:r>
          </w:p>
        </w:tc>
        <w:tc>
          <w:tcPr>
            <w:tcW w:w="1512" w:type="dxa"/>
            <w:tcBorders>
              <w:top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估价对象</w:t>
            </w:r>
          </w:p>
        </w:tc>
      </w:tr>
      <w:tr>
        <w:trPr>
          <w:trHeight w:val="879" w:hRule="atLeast"/>
        </w:trPr>
        <w:tc>
          <w:tcPr>
            <w:tcW w:w="2425" w:type="dxa"/>
            <w:gridSpan w:val="2"/>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位置</w:t>
            </w:r>
          </w:p>
        </w:tc>
        <w:tc>
          <w:tcPr>
            <w:tcW w:w="151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闲湖城山景湾</w:t>
            </w:r>
            <w:r>
              <w:rPr>
                <w:rFonts w:eastAsia="宋体;SimSun" w:ascii="宋体;SimSun" w:hAnsi="宋体;SimSun"/>
                <w:b/>
                <w:bCs/>
                <w:color w:val="000000"/>
                <w:kern w:val="0"/>
                <w:sz w:val="18"/>
                <w:szCs w:val="18"/>
              </w:rPr>
              <w:t>7</w:t>
            </w:r>
            <w:r>
              <w:rPr>
                <w:rFonts w:ascii="宋体;SimSun" w:hAnsi="宋体;SimSun" w:eastAsia="宋体;SimSun"/>
                <w:b/>
                <w:bCs/>
                <w:color w:val="000000"/>
                <w:kern w:val="0"/>
                <w:sz w:val="18"/>
                <w:szCs w:val="18"/>
              </w:rPr>
              <w:t>幢</w:t>
            </w:r>
            <w:r>
              <w:rPr>
                <w:rFonts w:eastAsia="宋体;SimSun" w:ascii="宋体;SimSun" w:hAnsi="宋体;SimSun"/>
                <w:b/>
                <w:bCs/>
                <w:color w:val="000000"/>
                <w:kern w:val="0"/>
                <w:sz w:val="18"/>
                <w:szCs w:val="18"/>
              </w:rPr>
              <w:t>1</w:t>
            </w:r>
            <w:r>
              <w:rPr>
                <w:rFonts w:ascii="宋体;SimSun" w:hAnsi="宋体;SimSun" w:eastAsia="宋体;SimSun"/>
                <w:b/>
                <w:bCs/>
                <w:color w:val="000000"/>
                <w:kern w:val="0"/>
                <w:sz w:val="18"/>
                <w:szCs w:val="18"/>
              </w:rPr>
              <w:t>单元第</w:t>
            </w:r>
            <w:r>
              <w:rPr>
                <w:rFonts w:eastAsia="宋体;SimSun" w:ascii="宋体;SimSun" w:hAnsi="宋体;SimSun"/>
                <w:b/>
                <w:bCs/>
                <w:color w:val="000000"/>
                <w:kern w:val="0"/>
                <w:sz w:val="18"/>
                <w:szCs w:val="18"/>
              </w:rPr>
              <w:t>8</w:t>
            </w:r>
            <w:r>
              <w:rPr>
                <w:rFonts w:ascii="宋体;SimSun" w:hAnsi="宋体;SimSun" w:eastAsia="宋体;SimSun"/>
                <w:b/>
                <w:bCs/>
                <w:color w:val="000000"/>
                <w:kern w:val="0"/>
                <w:sz w:val="18"/>
                <w:szCs w:val="18"/>
              </w:rPr>
              <w:t>层</w:t>
            </w:r>
          </w:p>
        </w:tc>
        <w:tc>
          <w:tcPr>
            <w:tcW w:w="151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闲湖城山景湾</w:t>
            </w:r>
            <w:r>
              <w:rPr>
                <w:rFonts w:eastAsia="宋体;SimSun" w:ascii="宋体;SimSun" w:hAnsi="宋体;SimSun"/>
                <w:b/>
                <w:bCs/>
                <w:color w:val="000000"/>
                <w:kern w:val="0"/>
                <w:sz w:val="18"/>
                <w:szCs w:val="18"/>
              </w:rPr>
              <w:t>2</w:t>
            </w:r>
            <w:r>
              <w:rPr>
                <w:rFonts w:ascii="宋体;SimSun" w:hAnsi="宋体;SimSun" w:eastAsia="宋体;SimSun"/>
                <w:b/>
                <w:bCs/>
                <w:color w:val="000000"/>
                <w:kern w:val="0"/>
                <w:sz w:val="18"/>
                <w:szCs w:val="18"/>
              </w:rPr>
              <w:t>幢</w:t>
            </w:r>
            <w:r>
              <w:rPr>
                <w:rFonts w:eastAsia="宋体;SimSun" w:ascii="宋体;SimSun" w:hAnsi="宋体;SimSun"/>
                <w:b/>
                <w:bCs/>
                <w:color w:val="000000"/>
                <w:kern w:val="0"/>
                <w:sz w:val="18"/>
                <w:szCs w:val="18"/>
              </w:rPr>
              <w:t>1</w:t>
            </w:r>
            <w:r>
              <w:rPr>
                <w:rFonts w:ascii="宋体;SimSun" w:hAnsi="宋体;SimSun" w:eastAsia="宋体;SimSun"/>
                <w:b/>
                <w:bCs/>
                <w:color w:val="000000"/>
                <w:kern w:val="0"/>
                <w:sz w:val="18"/>
                <w:szCs w:val="18"/>
              </w:rPr>
              <w:t>单元第</w:t>
            </w:r>
            <w:r>
              <w:rPr>
                <w:rFonts w:eastAsia="宋体;SimSun" w:ascii="宋体;SimSun" w:hAnsi="宋体;SimSun"/>
                <w:b/>
                <w:bCs/>
                <w:color w:val="000000"/>
                <w:kern w:val="0"/>
                <w:sz w:val="18"/>
                <w:szCs w:val="18"/>
              </w:rPr>
              <w:t>20</w:t>
            </w:r>
            <w:r>
              <w:rPr>
                <w:rFonts w:ascii="宋体;SimSun" w:hAnsi="宋体;SimSun" w:eastAsia="宋体;SimSun"/>
                <w:b/>
                <w:bCs/>
                <w:color w:val="000000"/>
                <w:kern w:val="0"/>
                <w:sz w:val="18"/>
                <w:szCs w:val="18"/>
              </w:rPr>
              <w:t>层</w:t>
            </w:r>
          </w:p>
        </w:tc>
        <w:tc>
          <w:tcPr>
            <w:tcW w:w="151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闲湖城山景湾</w:t>
            </w:r>
            <w:r>
              <w:rPr>
                <w:rFonts w:eastAsia="宋体;SimSun" w:ascii="宋体;SimSun" w:hAnsi="宋体;SimSun"/>
                <w:b/>
                <w:bCs/>
                <w:color w:val="000000"/>
                <w:kern w:val="0"/>
                <w:sz w:val="18"/>
                <w:szCs w:val="18"/>
              </w:rPr>
              <w:t>4</w:t>
            </w:r>
            <w:r>
              <w:rPr>
                <w:rFonts w:ascii="宋体;SimSun" w:hAnsi="宋体;SimSun" w:eastAsia="宋体;SimSun"/>
                <w:b/>
                <w:bCs/>
                <w:color w:val="000000"/>
                <w:kern w:val="0"/>
                <w:sz w:val="18"/>
                <w:szCs w:val="18"/>
              </w:rPr>
              <w:t>幢</w:t>
            </w:r>
            <w:r>
              <w:rPr>
                <w:rFonts w:eastAsia="宋体;SimSun" w:ascii="宋体;SimSun" w:hAnsi="宋体;SimSun"/>
                <w:b/>
                <w:bCs/>
                <w:color w:val="000000"/>
                <w:kern w:val="0"/>
                <w:sz w:val="18"/>
                <w:szCs w:val="18"/>
              </w:rPr>
              <w:t>1</w:t>
            </w:r>
            <w:r>
              <w:rPr>
                <w:rFonts w:ascii="宋体;SimSun" w:hAnsi="宋体;SimSun" w:eastAsia="宋体;SimSun"/>
                <w:b/>
                <w:bCs/>
                <w:color w:val="000000"/>
                <w:kern w:val="0"/>
                <w:sz w:val="18"/>
                <w:szCs w:val="18"/>
              </w:rPr>
              <w:t>单元第</w:t>
            </w:r>
            <w:r>
              <w:rPr>
                <w:rFonts w:eastAsia="宋体;SimSun" w:ascii="宋体;SimSun" w:hAnsi="宋体;SimSun"/>
                <w:b/>
                <w:bCs/>
                <w:color w:val="000000"/>
                <w:kern w:val="0"/>
                <w:sz w:val="18"/>
                <w:szCs w:val="18"/>
              </w:rPr>
              <w:t>23</w:t>
            </w:r>
            <w:r>
              <w:rPr>
                <w:rFonts w:ascii="宋体;SimSun" w:hAnsi="宋体;SimSun" w:eastAsia="宋体;SimSun"/>
                <w:b/>
                <w:bCs/>
                <w:color w:val="000000"/>
                <w:kern w:val="0"/>
                <w:sz w:val="18"/>
                <w:szCs w:val="18"/>
              </w:rPr>
              <w:t>层</w:t>
            </w:r>
          </w:p>
        </w:tc>
        <w:tc>
          <w:tcPr>
            <w:tcW w:w="151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杭州市余杭区闲林街道闲湖城山景湾</w:t>
            </w:r>
            <w:r>
              <w:rPr>
                <w:rFonts w:eastAsia="宋体;SimSun" w:ascii="宋体;SimSun" w:hAnsi="宋体;SimSun"/>
                <w:b/>
                <w:bCs/>
                <w:color w:val="000000"/>
                <w:kern w:val="0"/>
                <w:sz w:val="18"/>
                <w:szCs w:val="18"/>
              </w:rPr>
              <w:t>3</w:t>
            </w:r>
            <w:r>
              <w:rPr>
                <w:rFonts w:ascii="宋体;SimSun" w:hAnsi="宋体;SimSun" w:eastAsia="宋体;SimSun"/>
                <w:b/>
                <w:bCs/>
                <w:color w:val="000000"/>
                <w:kern w:val="0"/>
                <w:sz w:val="18"/>
                <w:szCs w:val="18"/>
              </w:rPr>
              <w:t>幢</w:t>
            </w:r>
            <w:r>
              <w:rPr>
                <w:rFonts w:eastAsia="宋体;SimSun" w:ascii="宋体;SimSun" w:hAnsi="宋体;SimSun"/>
                <w:b/>
                <w:bCs/>
                <w:color w:val="000000"/>
                <w:kern w:val="0"/>
                <w:sz w:val="18"/>
                <w:szCs w:val="18"/>
              </w:rPr>
              <w:t>2</w:t>
            </w:r>
            <w:r>
              <w:rPr>
                <w:rFonts w:ascii="宋体;SimSun" w:hAnsi="宋体;SimSun" w:eastAsia="宋体;SimSun"/>
                <w:b/>
                <w:bCs/>
                <w:color w:val="000000"/>
                <w:kern w:val="0"/>
                <w:sz w:val="18"/>
                <w:szCs w:val="18"/>
              </w:rPr>
              <w:t>单元</w:t>
            </w:r>
            <w:r>
              <w:rPr>
                <w:rFonts w:eastAsia="宋体;SimSun" w:ascii="宋体;SimSun" w:hAnsi="宋体;SimSun"/>
                <w:b/>
                <w:bCs/>
                <w:color w:val="000000"/>
                <w:kern w:val="0"/>
                <w:sz w:val="18"/>
                <w:szCs w:val="18"/>
              </w:rPr>
              <w:t>601</w:t>
            </w:r>
            <w:r>
              <w:rPr>
                <w:rFonts w:ascii="宋体;SimSun" w:hAnsi="宋体;SimSun" w:eastAsia="宋体;SimSun"/>
                <w:b/>
                <w:bCs/>
                <w:color w:val="000000"/>
                <w:kern w:val="0"/>
                <w:sz w:val="18"/>
                <w:szCs w:val="18"/>
              </w:rPr>
              <w:t>室</w:t>
            </w:r>
          </w:p>
        </w:tc>
      </w:tr>
      <w:tr>
        <w:trPr>
          <w:trHeight w:val="327" w:hRule="atLeast"/>
        </w:trPr>
        <w:tc>
          <w:tcPr>
            <w:tcW w:w="2425" w:type="dxa"/>
            <w:gridSpan w:val="2"/>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成交价格（元</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17902</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16972</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18719</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ascii="宋体;SimSun" w:hAnsi="宋体;SimSun" w:eastAsia="宋体;SimSun"/>
                <w:color w:val="000000"/>
                <w:kern w:val="0"/>
                <w:sz w:val="18"/>
                <w:szCs w:val="18"/>
              </w:rPr>
              <w:t>待估</w:t>
            </w:r>
          </w:p>
        </w:tc>
      </w:tr>
      <w:tr>
        <w:trPr>
          <w:trHeight w:val="327" w:hRule="atLeast"/>
        </w:trPr>
        <w:tc>
          <w:tcPr>
            <w:tcW w:w="2425" w:type="dxa"/>
            <w:gridSpan w:val="2"/>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交易情况</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2425" w:type="dxa"/>
            <w:gridSpan w:val="2"/>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成交日期</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restart"/>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区位状况</w:t>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基础设施</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公共服务设施</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交通状况</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环境状况</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区域规划</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楼层</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t>101</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t>104</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t>105</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朝向</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restart"/>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权益状况</w:t>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土地用途</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规划限制</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他项权利状况</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restart"/>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实物状况</w:t>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楼盘品质</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装修情况</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t>97</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位置景观</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通风采光</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空间布局</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房屋建筑面积</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安静程度</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建筑结构</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建成年份</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物业管理</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地形地势</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地质土壤</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开发程度</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宗地形状</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其他</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1512" w:type="dxa"/>
            <w:tcBorders>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bl>
    <w:p>
      <w:pPr>
        <w:pStyle w:val="Normal"/>
        <w:snapToGrid w:val="false"/>
        <w:spacing w:lineRule="auto" w:line="360"/>
        <w:ind w:firstLine="560" w:end="0"/>
        <w:textAlignment w:val="bottom"/>
        <w:rPr/>
      </w:pPr>
      <w:r>
        <w:rPr/>
        <w:t>5、比较因素修正</w:t>
      </w:r>
    </w:p>
    <w:p>
      <w:pPr>
        <w:pStyle w:val="Normal"/>
        <w:snapToGrid w:val="false"/>
        <w:spacing w:lineRule="auto" w:line="360"/>
        <w:ind w:firstLine="560" w:end="0"/>
        <w:textAlignment w:val="bottom"/>
        <w:rPr/>
      </w:pPr>
      <w:r>
        <w:rPr/>
        <w:t>在比较因素条件指数表的基础上，将估价对象的因素条件与比较实例的因素条件进行比较，得到各因素修正系数，并计算出比准价格。</w:t>
      </w:r>
    </w:p>
    <w:tbl>
      <w:tblPr>
        <w:tblW w:w="8545" w:type="dxa"/>
        <w:jc w:val="start"/>
        <w:tblInd w:w="93" w:type="dxa"/>
        <w:tblLayout w:type="fixed"/>
        <w:tblCellMar>
          <w:top w:w="0" w:type="dxa"/>
          <w:start w:w="108" w:type="dxa"/>
          <w:bottom w:w="0" w:type="dxa"/>
          <w:end w:w="108" w:type="dxa"/>
        </w:tblCellMar>
      </w:tblPr>
      <w:tblGrid>
        <w:gridCol w:w="1033"/>
        <w:gridCol w:w="1392"/>
        <w:gridCol w:w="792"/>
        <w:gridCol w:w="432"/>
        <w:gridCol w:w="864"/>
        <w:gridCol w:w="792"/>
        <w:gridCol w:w="432"/>
        <w:gridCol w:w="792"/>
        <w:gridCol w:w="792"/>
        <w:gridCol w:w="432"/>
        <w:gridCol w:w="792"/>
      </w:tblGrid>
      <w:tr>
        <w:trPr>
          <w:trHeight w:val="327" w:hRule="atLeast"/>
        </w:trPr>
        <w:tc>
          <w:tcPr>
            <w:tcW w:w="2425" w:type="dxa"/>
            <w:gridSpan w:val="2"/>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r>
          </w:p>
        </w:tc>
        <w:tc>
          <w:tcPr>
            <w:tcW w:w="2088" w:type="dxa"/>
            <w:gridSpan w:val="3"/>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可比实例</w:t>
            </w:r>
            <w:r>
              <w:rPr>
                <w:rFonts w:eastAsia="宋体;SimSun" w:ascii="宋体;SimSun" w:hAnsi="宋体;SimSun"/>
                <w:b/>
                <w:bCs/>
                <w:color w:val="000000"/>
                <w:kern w:val="0"/>
                <w:sz w:val="18"/>
                <w:szCs w:val="18"/>
              </w:rPr>
              <w:t>1</w:t>
            </w:r>
          </w:p>
        </w:tc>
        <w:tc>
          <w:tcPr>
            <w:tcW w:w="2016" w:type="dxa"/>
            <w:gridSpan w:val="3"/>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可比实例</w:t>
            </w:r>
            <w:r>
              <w:rPr>
                <w:rFonts w:eastAsia="宋体;SimSun" w:ascii="宋体;SimSun" w:hAnsi="宋体;SimSun"/>
                <w:b/>
                <w:bCs/>
                <w:color w:val="000000"/>
                <w:kern w:val="0"/>
                <w:sz w:val="18"/>
                <w:szCs w:val="18"/>
              </w:rPr>
              <w:t>2</w:t>
            </w:r>
          </w:p>
        </w:tc>
        <w:tc>
          <w:tcPr>
            <w:tcW w:w="2016" w:type="dxa"/>
            <w:gridSpan w:val="3"/>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可比实例</w:t>
            </w:r>
            <w:r>
              <w:rPr>
                <w:rFonts w:eastAsia="宋体;SimSun" w:ascii="宋体;SimSun" w:hAnsi="宋体;SimSun"/>
                <w:b/>
                <w:bCs/>
                <w:color w:val="000000"/>
                <w:kern w:val="0"/>
                <w:sz w:val="18"/>
                <w:szCs w:val="18"/>
              </w:rPr>
              <w:t>3</w:t>
            </w:r>
          </w:p>
        </w:tc>
      </w:tr>
      <w:tr>
        <w:trPr>
          <w:trHeight w:val="879" w:hRule="atLeast"/>
        </w:trPr>
        <w:tc>
          <w:tcPr>
            <w:tcW w:w="2425" w:type="dxa"/>
            <w:gridSpan w:val="2"/>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位置</w:t>
            </w:r>
          </w:p>
        </w:tc>
        <w:tc>
          <w:tcPr>
            <w:tcW w:w="2088" w:type="dxa"/>
            <w:gridSpan w:val="3"/>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闲湖城山景湾</w:t>
            </w:r>
            <w:r>
              <w:rPr>
                <w:rFonts w:eastAsia="宋体;SimSun" w:ascii="宋体;SimSun" w:hAnsi="宋体;SimSun"/>
                <w:b/>
                <w:bCs/>
                <w:color w:val="000000"/>
                <w:kern w:val="0"/>
                <w:sz w:val="18"/>
                <w:szCs w:val="18"/>
              </w:rPr>
              <w:t>7</w:t>
            </w:r>
            <w:r>
              <w:rPr>
                <w:rFonts w:ascii="宋体;SimSun" w:hAnsi="宋体;SimSun" w:eastAsia="宋体;SimSun"/>
                <w:b/>
                <w:bCs/>
                <w:color w:val="000000"/>
                <w:kern w:val="0"/>
                <w:sz w:val="18"/>
                <w:szCs w:val="18"/>
              </w:rPr>
              <w:t>幢</w:t>
            </w:r>
            <w:r>
              <w:rPr>
                <w:rFonts w:eastAsia="宋体;SimSun" w:ascii="宋体;SimSun" w:hAnsi="宋体;SimSun"/>
                <w:b/>
                <w:bCs/>
                <w:color w:val="000000"/>
                <w:kern w:val="0"/>
                <w:sz w:val="18"/>
                <w:szCs w:val="18"/>
              </w:rPr>
              <w:t>1</w:t>
            </w:r>
            <w:r>
              <w:rPr>
                <w:rFonts w:ascii="宋体;SimSun" w:hAnsi="宋体;SimSun" w:eastAsia="宋体;SimSun"/>
                <w:b/>
                <w:bCs/>
                <w:color w:val="000000"/>
                <w:kern w:val="0"/>
                <w:sz w:val="18"/>
                <w:szCs w:val="18"/>
              </w:rPr>
              <w:t>单元第</w:t>
            </w:r>
            <w:r>
              <w:rPr>
                <w:rFonts w:eastAsia="宋体;SimSun" w:ascii="宋体;SimSun" w:hAnsi="宋体;SimSun"/>
                <w:b/>
                <w:bCs/>
                <w:color w:val="000000"/>
                <w:kern w:val="0"/>
                <w:sz w:val="18"/>
                <w:szCs w:val="18"/>
              </w:rPr>
              <w:t>8</w:t>
            </w:r>
            <w:r>
              <w:rPr>
                <w:rFonts w:ascii="宋体;SimSun" w:hAnsi="宋体;SimSun" w:eastAsia="宋体;SimSun"/>
                <w:b/>
                <w:bCs/>
                <w:color w:val="000000"/>
                <w:kern w:val="0"/>
                <w:sz w:val="18"/>
                <w:szCs w:val="18"/>
              </w:rPr>
              <w:t>层</w:t>
            </w:r>
          </w:p>
        </w:tc>
        <w:tc>
          <w:tcPr>
            <w:tcW w:w="2016" w:type="dxa"/>
            <w:gridSpan w:val="3"/>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闲湖城山景湾</w:t>
            </w:r>
            <w:r>
              <w:rPr>
                <w:rFonts w:eastAsia="宋体;SimSun" w:ascii="宋体;SimSun" w:hAnsi="宋体;SimSun"/>
                <w:b/>
                <w:bCs/>
                <w:color w:val="000000"/>
                <w:kern w:val="0"/>
                <w:sz w:val="18"/>
                <w:szCs w:val="18"/>
              </w:rPr>
              <w:t>2</w:t>
            </w:r>
            <w:r>
              <w:rPr>
                <w:rFonts w:ascii="宋体;SimSun" w:hAnsi="宋体;SimSun" w:eastAsia="宋体;SimSun"/>
                <w:b/>
                <w:bCs/>
                <w:color w:val="000000"/>
                <w:kern w:val="0"/>
                <w:sz w:val="18"/>
                <w:szCs w:val="18"/>
              </w:rPr>
              <w:t>幢</w:t>
            </w:r>
            <w:r>
              <w:rPr>
                <w:rFonts w:eastAsia="宋体;SimSun" w:ascii="宋体;SimSun" w:hAnsi="宋体;SimSun"/>
                <w:b/>
                <w:bCs/>
                <w:color w:val="000000"/>
                <w:kern w:val="0"/>
                <w:sz w:val="18"/>
                <w:szCs w:val="18"/>
              </w:rPr>
              <w:t>1</w:t>
            </w:r>
            <w:r>
              <w:rPr>
                <w:rFonts w:ascii="宋体;SimSun" w:hAnsi="宋体;SimSun" w:eastAsia="宋体;SimSun"/>
                <w:b/>
                <w:bCs/>
                <w:color w:val="000000"/>
                <w:kern w:val="0"/>
                <w:sz w:val="18"/>
                <w:szCs w:val="18"/>
              </w:rPr>
              <w:t>单元第</w:t>
            </w:r>
            <w:r>
              <w:rPr>
                <w:rFonts w:eastAsia="宋体;SimSun" w:ascii="宋体;SimSun" w:hAnsi="宋体;SimSun"/>
                <w:b/>
                <w:bCs/>
                <w:color w:val="000000"/>
                <w:kern w:val="0"/>
                <w:sz w:val="18"/>
                <w:szCs w:val="18"/>
              </w:rPr>
              <w:t>20</w:t>
            </w:r>
            <w:r>
              <w:rPr>
                <w:rFonts w:ascii="宋体;SimSun" w:hAnsi="宋体;SimSun" w:eastAsia="宋体;SimSun"/>
                <w:b/>
                <w:bCs/>
                <w:color w:val="000000"/>
                <w:kern w:val="0"/>
                <w:sz w:val="18"/>
                <w:szCs w:val="18"/>
              </w:rPr>
              <w:t>层</w:t>
            </w:r>
          </w:p>
        </w:tc>
        <w:tc>
          <w:tcPr>
            <w:tcW w:w="2016" w:type="dxa"/>
            <w:gridSpan w:val="3"/>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闲湖城山景湾</w:t>
            </w:r>
            <w:r>
              <w:rPr>
                <w:rFonts w:eastAsia="宋体;SimSun" w:ascii="宋体;SimSun" w:hAnsi="宋体;SimSun"/>
                <w:b/>
                <w:bCs/>
                <w:color w:val="000000"/>
                <w:kern w:val="0"/>
                <w:sz w:val="18"/>
                <w:szCs w:val="18"/>
              </w:rPr>
              <w:t>4</w:t>
            </w:r>
            <w:r>
              <w:rPr>
                <w:rFonts w:ascii="宋体;SimSun" w:hAnsi="宋体;SimSun" w:eastAsia="宋体;SimSun"/>
                <w:b/>
                <w:bCs/>
                <w:color w:val="000000"/>
                <w:kern w:val="0"/>
                <w:sz w:val="18"/>
                <w:szCs w:val="18"/>
              </w:rPr>
              <w:t>幢</w:t>
            </w:r>
            <w:r>
              <w:rPr>
                <w:rFonts w:eastAsia="宋体;SimSun" w:ascii="宋体;SimSun" w:hAnsi="宋体;SimSun"/>
                <w:b/>
                <w:bCs/>
                <w:color w:val="000000"/>
                <w:kern w:val="0"/>
                <w:sz w:val="18"/>
                <w:szCs w:val="18"/>
              </w:rPr>
              <w:t>1</w:t>
            </w:r>
            <w:r>
              <w:rPr>
                <w:rFonts w:ascii="宋体;SimSun" w:hAnsi="宋体;SimSun" w:eastAsia="宋体;SimSun"/>
                <w:b/>
                <w:bCs/>
                <w:color w:val="000000"/>
                <w:kern w:val="0"/>
                <w:sz w:val="18"/>
                <w:szCs w:val="18"/>
              </w:rPr>
              <w:t>单元第</w:t>
            </w:r>
            <w:r>
              <w:rPr>
                <w:rFonts w:eastAsia="宋体;SimSun" w:ascii="宋体;SimSun" w:hAnsi="宋体;SimSun"/>
                <w:b/>
                <w:bCs/>
                <w:color w:val="000000"/>
                <w:kern w:val="0"/>
                <w:sz w:val="18"/>
                <w:szCs w:val="18"/>
              </w:rPr>
              <w:t>23</w:t>
            </w:r>
            <w:r>
              <w:rPr>
                <w:rFonts w:ascii="宋体;SimSun" w:hAnsi="宋体;SimSun" w:eastAsia="宋体;SimSun"/>
                <w:b/>
                <w:bCs/>
                <w:color w:val="000000"/>
                <w:kern w:val="0"/>
                <w:sz w:val="18"/>
                <w:szCs w:val="18"/>
              </w:rPr>
              <w:t>层</w:t>
            </w:r>
          </w:p>
        </w:tc>
      </w:tr>
      <w:tr>
        <w:trPr>
          <w:trHeight w:val="327" w:hRule="atLeast"/>
        </w:trPr>
        <w:tc>
          <w:tcPr>
            <w:tcW w:w="2425" w:type="dxa"/>
            <w:gridSpan w:val="2"/>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成交价格（元</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w:t>
            </w:r>
          </w:p>
        </w:tc>
        <w:tc>
          <w:tcPr>
            <w:tcW w:w="2088" w:type="dxa"/>
            <w:gridSpan w:val="3"/>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17902</w:t>
            </w:r>
          </w:p>
        </w:tc>
        <w:tc>
          <w:tcPr>
            <w:tcW w:w="2016" w:type="dxa"/>
            <w:gridSpan w:val="3"/>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16972</w:t>
            </w:r>
          </w:p>
        </w:tc>
        <w:tc>
          <w:tcPr>
            <w:tcW w:w="2016" w:type="dxa"/>
            <w:gridSpan w:val="3"/>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18719</w:t>
            </w:r>
          </w:p>
        </w:tc>
      </w:tr>
      <w:tr>
        <w:trPr>
          <w:trHeight w:val="327" w:hRule="atLeast"/>
        </w:trPr>
        <w:tc>
          <w:tcPr>
            <w:tcW w:w="2425" w:type="dxa"/>
            <w:gridSpan w:val="2"/>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交易情况</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top w:val="single" w:sz="8" w:space="0" w:color="000000"/>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top w:val="single" w:sz="8" w:space="0" w:color="000000"/>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top w:val="single" w:sz="8" w:space="0" w:color="000000"/>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2425" w:type="dxa"/>
            <w:gridSpan w:val="2"/>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成交日期</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restart"/>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区位状况</w:t>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基础设施</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公共服务设施</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交通状况</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环境状况</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区域规划</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楼层</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101</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104</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105</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朝向</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restart"/>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权益状况</w:t>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土地用途</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规划限制</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他项权利状况</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restart"/>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实物状况</w:t>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楼盘品质</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装修情况</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97</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位置景观</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通风采光</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空间布局</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房屋建筑面积</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安静程度</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建筑结构</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建成年份</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物业管理</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地形地势</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地质土壤</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开发程度</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宗地形状</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1033" w:type="dxa"/>
            <w:vMerge w:val="continue"/>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1392" w:type="dxa"/>
            <w:tcBorders>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其他</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864"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792" w:type="dxa"/>
            <w:tcBorders>
              <w:bottom w:val="single" w:sz="8" w:space="0" w:color="000000"/>
            </w:tcBorders>
            <w:vAlign w:val="center"/>
          </w:tcPr>
          <w:p>
            <w:pPr>
              <w:pStyle w:val="Normal"/>
              <w:widowControl/>
              <w:jc w:val="end"/>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c>
          <w:tcPr>
            <w:tcW w:w="432" w:type="dxa"/>
            <w:tcBorders>
              <w:bottom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p>
        </w:tc>
        <w:tc>
          <w:tcPr>
            <w:tcW w:w="792" w:type="dxa"/>
            <w:tcBorders>
              <w:bottom w:val="single" w:sz="8"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100</w:t>
            </w:r>
          </w:p>
        </w:tc>
      </w:tr>
      <w:tr>
        <w:trPr>
          <w:trHeight w:val="327" w:hRule="atLeast"/>
        </w:trPr>
        <w:tc>
          <w:tcPr>
            <w:tcW w:w="2425" w:type="dxa"/>
            <w:gridSpan w:val="2"/>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修正价格（元</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w:t>
            </w:r>
          </w:p>
        </w:tc>
        <w:tc>
          <w:tcPr>
            <w:tcW w:w="2088" w:type="dxa"/>
            <w:gridSpan w:val="3"/>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17724.75</w:t>
            </w:r>
          </w:p>
        </w:tc>
        <w:tc>
          <w:tcPr>
            <w:tcW w:w="2016" w:type="dxa"/>
            <w:gridSpan w:val="3"/>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16823.95</w:t>
            </w:r>
          </w:p>
        </w:tc>
        <w:tc>
          <w:tcPr>
            <w:tcW w:w="2016" w:type="dxa"/>
            <w:gridSpan w:val="3"/>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17827.62</w:t>
            </w:r>
          </w:p>
        </w:tc>
      </w:tr>
      <w:tr>
        <w:trPr>
          <w:trHeight w:val="231" w:hRule="atLeast"/>
        </w:trPr>
        <w:tc>
          <w:tcPr>
            <w:tcW w:w="2425" w:type="dxa"/>
            <w:gridSpan w:val="2"/>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权重</w:t>
            </w:r>
          </w:p>
        </w:tc>
        <w:tc>
          <w:tcPr>
            <w:tcW w:w="2088" w:type="dxa"/>
            <w:gridSpan w:val="3"/>
            <w:tcBorders>
              <w:top w:val="single" w:sz="8" w:space="0" w:color="000000"/>
              <w:start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0.33</w:t>
            </w:r>
          </w:p>
        </w:tc>
        <w:tc>
          <w:tcPr>
            <w:tcW w:w="2016" w:type="dxa"/>
            <w:gridSpan w:val="3"/>
            <w:tcBorders>
              <w:top w:val="single" w:sz="8" w:space="0" w:color="000000"/>
              <w:start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0.33</w:t>
            </w:r>
          </w:p>
        </w:tc>
        <w:tc>
          <w:tcPr>
            <w:tcW w:w="2016" w:type="dxa"/>
            <w:gridSpan w:val="3"/>
            <w:tcBorders>
              <w:top w:val="single" w:sz="8" w:space="0" w:color="000000"/>
              <w:start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0.33</w:t>
            </w:r>
          </w:p>
        </w:tc>
      </w:tr>
      <w:tr>
        <w:trPr>
          <w:trHeight w:val="303" w:hRule="atLeast"/>
        </w:trPr>
        <w:tc>
          <w:tcPr>
            <w:tcW w:w="2425" w:type="dxa"/>
            <w:gridSpan w:val="2"/>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比准单价（元</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w:t>
            </w:r>
          </w:p>
        </w:tc>
        <w:tc>
          <w:tcPr>
            <w:tcW w:w="6120" w:type="dxa"/>
            <w:gridSpan w:val="9"/>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17459</w:t>
            </w:r>
          </w:p>
        </w:tc>
      </w:tr>
      <w:tr>
        <w:trPr>
          <w:trHeight w:val="303" w:hRule="atLeast"/>
        </w:trPr>
        <w:tc>
          <w:tcPr>
            <w:tcW w:w="2425" w:type="dxa"/>
            <w:gridSpan w:val="2"/>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建筑面积（㎡）</w:t>
            </w:r>
          </w:p>
        </w:tc>
        <w:tc>
          <w:tcPr>
            <w:tcW w:w="6120" w:type="dxa"/>
            <w:gridSpan w:val="9"/>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{{建筑面积}}</w:t>
            </w:r>
          </w:p>
        </w:tc>
      </w:tr>
      <w:tr>
        <w:trPr>
          <w:trHeight w:val="303" w:hRule="atLeast"/>
        </w:trPr>
        <w:tc>
          <w:tcPr>
            <w:tcW w:w="2425" w:type="dxa"/>
            <w:gridSpan w:val="2"/>
            <w:tcBorders>
              <w:top w:val="single" w:sz="8" w:space="0" w:color="000000"/>
              <w:start w:val="single" w:sz="8" w:space="0" w:color="000000"/>
              <w:bottom w:val="single" w:sz="8" w:space="0" w:color="000000"/>
              <w:end w:val="single" w:sz="8" w:space="0" w:color="000000"/>
            </w:tcBorders>
            <w:shd w:fill="C0C0C0"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房地产总价（元）</w:t>
            </w:r>
          </w:p>
        </w:tc>
        <w:tc>
          <w:tcPr>
            <w:tcW w:w="6120" w:type="dxa"/>
            <w:gridSpan w:val="9"/>
            <w:tcBorders>
              <w:top w:val="single" w:sz="8" w:space="0" w:color="000000"/>
              <w:start w:val="single" w:sz="8" w:space="0" w:color="000000"/>
              <w:bottom w:val="single" w:sz="8" w:space="0" w:color="000000"/>
              <w:end w:val="single" w:sz="8"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1554549</w:t>
            </w:r>
          </w:p>
        </w:tc>
      </w:tr>
    </w:tbl>
    <w:p>
      <w:pPr>
        <w:pStyle w:val="Normal"/>
        <w:snapToGrid w:val="false"/>
        <w:spacing w:lineRule="auto" w:line="360"/>
        <w:ind w:firstLine="560" w:end="0"/>
        <w:textAlignment w:val="bottom"/>
        <w:rPr/>
      </w:pPr>
      <w:r>
        <w:rPr/>
        <w:t>估价对象采用比较法测算的比较价值为{{评估总价}}。</w:t>
      </w:r>
    </w:p>
    <w:p>
      <w:pPr>
        <w:pStyle w:val="Normal"/>
        <w:snapToGrid w:val="false"/>
        <w:spacing w:lineRule="auto" w:line="360"/>
        <w:ind w:firstLine="565" w:end="0"/>
        <w:rPr>
          <w:b/>
          <w:szCs w:val="28"/>
        </w:rPr>
      </w:pPr>
      <w:r>
        <w:rPr>
          <w:rFonts w:cs="仿宋_GB2312"/>
          <w:b/>
        </w:rPr>
        <w:t>Ⅱ</w:t>
      </w:r>
      <w:r>
        <w:rPr>
          <w:b/>
        </w:rPr>
        <w:t>、收益法</w:t>
      </w:r>
      <w:r>
        <w:rPr>
          <w:b/>
          <w:szCs w:val="28"/>
        </w:rPr>
        <w:t>（报酬资本化法）</w:t>
      </w:r>
    </w:p>
    <w:p>
      <w:pPr>
        <w:pStyle w:val="Normal"/>
        <w:snapToGrid w:val="false"/>
        <w:spacing w:lineRule="auto" w:line="360"/>
        <w:ind w:firstLine="566" w:end="0"/>
        <w:rPr>
          <w:szCs w:val="28"/>
        </w:rPr>
      </w:pPr>
      <w:r>
        <w:rPr>
          <w:szCs w:val="28"/>
        </w:rPr>
        <w:t>1、净收益测算</w:t>
      </w:r>
    </w:p>
    <w:p>
      <w:pPr>
        <w:pStyle w:val="Normal"/>
        <w:snapToGrid w:val="false"/>
        <w:spacing w:lineRule="auto" w:line="360"/>
        <w:ind w:firstLine="566" w:end="0"/>
        <w:rPr>
          <w:szCs w:val="28"/>
        </w:rPr>
      </w:pPr>
      <w:r>
        <w:rPr>
          <w:szCs w:val="28"/>
        </w:rPr>
        <w:t>收益性房地产获取收益的方式，可分为出租和营业两大类，相应地，净收益的测算途径分为基于租赁收入测算净收益和基于营业收入测算净收益。一般地，能通过租赁收入求取净收益的，宜通过租赁收入求取净收益来估价。本次估价对象为住宅房地产，可收集到租赁实例，故采用基于租赁收入的净收益测算。</w:t>
      </w:r>
    </w:p>
    <w:p>
      <w:pPr>
        <w:pStyle w:val="Normal"/>
        <w:snapToGrid w:val="false"/>
        <w:spacing w:lineRule="auto" w:line="360"/>
        <w:ind w:firstLine="566" w:end="0"/>
        <w:rPr>
          <w:szCs w:val="28"/>
        </w:rPr>
      </w:pPr>
      <w:r>
        <w:rPr>
          <w:szCs w:val="28"/>
        </w:rPr>
        <w:t>（1）收益面积</w:t>
      </w:r>
    </w:p>
    <w:p>
      <w:pPr>
        <w:pStyle w:val="Normal"/>
        <w:snapToGrid w:val="false"/>
        <w:spacing w:lineRule="auto" w:line="360"/>
        <w:ind w:firstLine="566" w:end="0"/>
        <w:rPr>
          <w:szCs w:val="28"/>
        </w:rPr>
      </w:pPr>
      <w:r>
        <w:rPr>
          <w:szCs w:val="28"/>
        </w:rPr>
        <w:t>按照估价对象产权证登记的建筑面积{{建筑面积}}平方米计。</w:t>
      </w:r>
    </w:p>
    <w:p>
      <w:pPr>
        <w:pStyle w:val="Normal"/>
        <w:snapToGrid w:val="false"/>
        <w:spacing w:lineRule="auto" w:line="360"/>
        <w:ind w:firstLine="566" w:end="0"/>
        <w:rPr>
          <w:szCs w:val="28"/>
        </w:rPr>
      </w:pPr>
      <w:r>
        <w:rPr>
          <w:rFonts w:cs="仿宋_GB2312"/>
          <w:szCs w:val="28"/>
          <w:lang w:val="zh-CN"/>
        </w:rPr>
        <w:t>（2）单位面积</w:t>
      </w:r>
      <w:r>
        <w:rPr>
          <w:szCs w:val="28"/>
        </w:rPr>
        <w:t>有效毛收入</w:t>
      </w:r>
    </w:p>
    <w:p>
      <w:pPr>
        <w:pStyle w:val="Normal"/>
        <w:snapToGrid w:val="false"/>
        <w:spacing w:lineRule="auto" w:line="360"/>
        <w:ind w:firstLine="566" w:end="0"/>
        <w:rPr>
          <w:szCs w:val="28"/>
        </w:rPr>
      </w:pPr>
      <w:r>
        <w:fldChar w:fldCharType="begin"/>
      </w:r>
      <w:r>
        <w:rPr>
          <w:szCs w:val="28"/>
          <w:rFonts w:cs="仿宋_GB2312"/>
        </w:rPr>
        <w:instrText xml:space="preserve"> = 1 \* GB3 </w:instrText>
      </w:r>
      <w:r>
        <w:rPr>
          <w:rFonts w:cs="仿宋_GB2312"/>
          <w:szCs w:val="28"/>
        </w:rPr>
      </w:r>
      <w:r>
        <w:rPr>
          <w:szCs w:val="28"/>
        </w:rPr>
        <w:fldChar w:fldCharType="separate"/>
        <w:t>①</w:t>
        <w:fldChar w:fldCharType="end"/>
        <w:t>租金水平和空置率</w:t>
      </w:r>
    </w:p>
    <w:p>
      <w:pPr>
        <w:pStyle w:val="Normal"/>
        <w:snapToGrid w:val="false"/>
        <w:spacing w:lineRule="auto" w:line="360"/>
        <w:ind w:firstLine="566" w:end="0"/>
        <w:rPr/>
      </w:pPr>
      <w:r>
        <w:rPr>
          <w:szCs w:val="28"/>
        </w:rPr>
        <w:t>通过市场调查了解，估价人员根据替代性原理，按用途相同或相近，同一供需圈，价值时点接近，交易情况正常的要求，</w:t>
      </w:r>
      <w:r>
        <w:rPr/>
        <w:t>结合估价委托人提供的资料及周围类似房地产租赁市场的平均水平，</w:t>
      </w:r>
      <w:r>
        <w:rPr>
          <w:szCs w:val="28"/>
        </w:rPr>
        <w:t>确定估价对象客观租金水平和空置率为：首年平均客观租金收入为人民币1.2元/平方米·天，空置率10％。</w:t>
      </w:r>
    </w:p>
    <w:p>
      <w:pPr>
        <w:pStyle w:val="Normal"/>
        <w:snapToGrid w:val="false"/>
        <w:spacing w:lineRule="auto" w:line="360"/>
        <w:ind w:firstLine="566" w:end="0"/>
        <w:rPr>
          <w:szCs w:val="28"/>
        </w:rPr>
      </w:pPr>
      <w:r>
        <w:rPr>
          <w:szCs w:val="28"/>
        </w:rPr>
        <w:t>估价对象于价值时点尚未出租。</w:t>
      </w:r>
    </w:p>
    <w:p>
      <w:pPr>
        <w:pStyle w:val="Normal"/>
        <w:snapToGrid w:val="false"/>
        <w:spacing w:lineRule="auto" w:line="360"/>
        <w:ind w:firstLine="566" w:end="0"/>
        <w:rPr>
          <w:szCs w:val="28"/>
        </w:rPr>
      </w:pPr>
      <w:r>
        <w:fldChar w:fldCharType="begin"/>
      </w:r>
      <w:r>
        <w:rPr>
          <w:szCs w:val="28"/>
          <w:rFonts w:cs="仿宋_GB2312"/>
          <w:lang w:val="en-US" w:eastAsia="en-US"/>
        </w:rPr>
        <w:instrText xml:space="preserve"> = 2 \* GB3 </w:instrText>
      </w:r>
      <w:r>
        <w:rPr>
          <w:rFonts w:cs="仿宋_GB2312"/>
          <w:szCs w:val="28"/>
          <w:lang w:val="en-US" w:eastAsia="en-US"/>
        </w:rPr>
      </w:r>
      <w:r>
        <w:rPr>
          <w:szCs w:val="28"/>
          <w:lang w:val="en-US" w:eastAsia="en-US"/>
        </w:rPr>
        <w:fldChar w:fldCharType="separate"/>
        <w:t>②</w:t>
        <w:fldChar w:fldCharType="end"/>
      </w:r>
      <w:r>
        <w:rPr>
          <w:szCs w:val="28"/>
        </w:rPr>
        <w:t>单位面积有效毛收入计算</w:t>
      </w:r>
    </w:p>
    <w:p>
      <w:pPr>
        <w:pStyle w:val="Normal"/>
        <w:snapToGrid w:val="false"/>
        <w:spacing w:lineRule="auto" w:line="360"/>
        <w:ind w:firstLine="566" w:end="0"/>
        <w:rPr>
          <w:szCs w:val="28"/>
        </w:rPr>
      </w:pPr>
      <w:r>
        <w:rPr>
          <w:szCs w:val="28"/>
        </w:rPr>
        <w:t>单位面积有效毛收入=日租金×年计算天数×（1-空置率）</w:t>
      </w:r>
    </w:p>
    <w:p>
      <w:pPr>
        <w:pStyle w:val="Normal"/>
        <w:snapToGrid w:val="false"/>
        <w:spacing w:lineRule="auto" w:line="360"/>
        <w:ind w:firstLine="566" w:end="0"/>
        <w:rPr>
          <w:szCs w:val="28"/>
        </w:rPr>
      </w:pPr>
      <w:r>
        <w:fldChar w:fldCharType="begin"/>
      </w:r>
      <w:r>
        <w:rPr>
          <w:szCs w:val="28"/>
          <w:rFonts w:cs="仿宋_GB2312"/>
          <w:lang w:val="en-US" w:eastAsia="en-US"/>
        </w:rPr>
        <w:instrText xml:space="preserve"> = 3 \* GB3 </w:instrText>
      </w:r>
      <w:r>
        <w:rPr>
          <w:rFonts w:cs="仿宋_GB2312"/>
          <w:szCs w:val="28"/>
          <w:lang w:val="en-US" w:eastAsia="en-US"/>
        </w:rPr>
      </w:r>
      <w:r>
        <w:rPr>
          <w:szCs w:val="28"/>
          <w:lang w:val="en-US" w:eastAsia="en-US"/>
        </w:rPr>
        <w:fldChar w:fldCharType="separate"/>
        <w:t>③</w:t>
        <w:fldChar w:fldCharType="end"/>
      </w:r>
      <w:r>
        <w:rPr>
          <w:szCs w:val="28"/>
        </w:rPr>
        <w:t>其他收入</w:t>
      </w:r>
    </w:p>
    <w:p>
      <w:pPr>
        <w:pStyle w:val="Normal"/>
        <w:snapToGrid w:val="false"/>
        <w:spacing w:lineRule="auto" w:line="360"/>
        <w:ind w:firstLine="566" w:end="0"/>
        <w:rPr>
          <w:szCs w:val="28"/>
        </w:rPr>
      </w:pPr>
      <w:r>
        <w:rPr>
          <w:szCs w:val="28"/>
        </w:rPr>
        <w:t>估价对象无其他收入。</w:t>
      </w:r>
    </w:p>
    <w:p>
      <w:pPr>
        <w:pStyle w:val="Normal"/>
        <w:snapToGrid w:val="false"/>
        <w:spacing w:lineRule="auto" w:line="360"/>
        <w:ind w:firstLine="566" w:end="0"/>
        <w:rPr>
          <w:szCs w:val="28"/>
        </w:rPr>
      </w:pPr>
      <w:r>
        <w:rPr>
          <w:rFonts w:cs="仿宋_GB2312"/>
          <w:szCs w:val="28"/>
          <w:lang w:val="zh-CN"/>
        </w:rPr>
        <w:t>（3）单位面积</w:t>
      </w:r>
      <w:r>
        <w:rPr>
          <w:szCs w:val="28"/>
        </w:rPr>
        <w:t>运营费用</w:t>
      </w:r>
    </w:p>
    <w:p>
      <w:pPr>
        <w:pStyle w:val="Normal"/>
        <w:snapToGrid w:val="false"/>
        <w:spacing w:lineRule="auto" w:line="360"/>
        <w:ind w:firstLine="566" w:end="0"/>
        <w:textAlignment w:val="bottom"/>
        <w:rPr/>
      </w:pPr>
      <w:r>
        <w:rPr/>
        <w:t>运营费用为税金、管理费、租赁费用、维修费、保险费等，结合周围住宅类房地产租赁市场的平均水平，根据估价人员调查，与估价对象类似房地产税金、管理费、租赁费用、维修费、保险费等均由出租方负担。</w:t>
      </w:r>
    </w:p>
    <w:p>
      <w:pPr>
        <w:pStyle w:val="Normal"/>
        <w:snapToGrid w:val="false"/>
        <w:spacing w:lineRule="auto" w:line="360"/>
        <w:ind w:firstLine="566" w:end="0"/>
        <w:textAlignment w:val="bottom"/>
        <w:rPr/>
      </w:pPr>
      <w:r>
        <w:fldChar w:fldCharType="begin"/>
      </w:r>
      <w:r>
        <w:rPr>
          <w:szCs w:val="28"/>
          <w:rFonts w:cs="仿宋_GB2312"/>
          <w:lang w:val="en-US" w:eastAsia="en-US"/>
        </w:rPr>
        <w:instrText xml:space="preserve"> = 1 \* GB3 </w:instrText>
      </w:r>
      <w:r>
        <w:rPr>
          <w:rFonts w:cs="仿宋_GB2312"/>
          <w:szCs w:val="28"/>
          <w:lang w:val="en-US" w:eastAsia="en-US"/>
        </w:rPr>
      </w:r>
      <w:r>
        <w:rPr>
          <w:szCs w:val="28"/>
          <w:lang w:val="en-US" w:eastAsia="en-US"/>
        </w:rPr>
        <w:fldChar w:fldCharType="separate"/>
        <w:t>①</w:t>
        <w:fldChar w:fldCharType="end"/>
      </w:r>
      <w:r>
        <w:rPr>
          <w:szCs w:val="28"/>
        </w:rPr>
        <w:t>税金取有效毛收入扣除增值税后的5.68%,其中增值税（1.5%）、城市维护建设税及教育费附加（按增值税的10%计）、地方教育费附加（按增值税的2%计），房产税为4%，</w:t>
      </w:r>
      <w:r>
        <w:rPr/>
        <w:t>计算公式为：</w:t>
      </w:r>
      <w:r>
        <w:rPr>
          <w:szCs w:val="28"/>
        </w:rPr>
        <w:t>有效毛收入</w:t>
      </w:r>
      <w:r>
        <w:rPr/>
        <w:t>÷（1+增值税税率）×5.68%；</w:t>
      </w:r>
    </w:p>
    <w:p>
      <w:pPr>
        <w:pStyle w:val="Normal"/>
        <w:snapToGrid w:val="false"/>
        <w:spacing w:lineRule="auto" w:line="360"/>
        <w:ind w:firstLine="566" w:end="0"/>
        <w:textAlignment w:val="bottom"/>
        <w:rPr/>
      </w:pPr>
      <w:r>
        <w:fldChar w:fldCharType="begin"/>
      </w:r>
      <w:r>
        <w:rPr>
          <w:szCs w:val="28"/>
          <w:rFonts w:cs="仿宋_GB2312"/>
          <w:lang w:val="en-US" w:eastAsia="en-US"/>
        </w:rPr>
        <w:instrText xml:space="preserve"> = 2 \* GB3 </w:instrText>
      </w:r>
      <w:r>
        <w:rPr>
          <w:rFonts w:cs="仿宋_GB2312"/>
          <w:szCs w:val="28"/>
          <w:lang w:val="en-US" w:eastAsia="en-US"/>
        </w:rPr>
      </w:r>
      <w:r>
        <w:rPr>
          <w:szCs w:val="28"/>
          <w:lang w:val="en-US" w:eastAsia="en-US"/>
        </w:rPr>
        <w:fldChar w:fldCharType="separate"/>
        <w:t>②</w:t>
        <w:fldChar w:fldCharType="end"/>
      </w:r>
      <w:r>
        <w:rPr/>
        <w:t>管理费一般为有效毛收入的1</w:t>
      </w:r>
      <w:r>
        <w:rPr>
          <w:rStyle w:val="client1"/>
          <w:szCs w:val="28"/>
        </w:rPr>
        <w:t>～</w:t>
      </w:r>
      <w:r>
        <w:rPr/>
        <w:t xml:space="preserve">3%，本次评估按有效毛收入的3%计算； </w:t>
      </w:r>
    </w:p>
    <w:p>
      <w:pPr>
        <w:pStyle w:val="Normal"/>
        <w:snapToGrid w:val="false"/>
        <w:spacing w:lineRule="auto" w:line="360"/>
        <w:ind w:firstLine="566" w:end="0"/>
        <w:textAlignment w:val="bottom"/>
        <w:rPr/>
      </w:pPr>
      <w:r>
        <w:fldChar w:fldCharType="begin"/>
      </w:r>
      <w:r>
        <w:rPr>
          <w:szCs w:val="28"/>
          <w:rFonts w:cs="仿宋_GB2312"/>
          <w:lang w:val="en-US" w:eastAsia="en-US"/>
        </w:rPr>
        <w:instrText xml:space="preserve"> = 3 \* GB3 </w:instrText>
      </w:r>
      <w:r>
        <w:rPr>
          <w:rFonts w:cs="仿宋_GB2312"/>
          <w:szCs w:val="28"/>
          <w:lang w:val="en-US" w:eastAsia="en-US"/>
        </w:rPr>
      </w:r>
      <w:r>
        <w:rPr>
          <w:szCs w:val="28"/>
          <w:lang w:val="en-US" w:eastAsia="en-US"/>
        </w:rPr>
        <w:fldChar w:fldCharType="separate"/>
        <w:t>③</w:t>
        <w:fldChar w:fldCharType="end"/>
      </w:r>
      <w:r>
        <w:rPr/>
        <w:t>租赁费用一般为有效毛收入的1</w:t>
      </w:r>
      <w:r>
        <w:rPr>
          <w:rStyle w:val="client1"/>
          <w:szCs w:val="28"/>
        </w:rPr>
        <w:t>～</w:t>
      </w:r>
      <w:r>
        <w:rPr/>
        <w:t>2%，本次评估按有效毛收入的2%计算；</w:t>
      </w:r>
    </w:p>
    <w:p>
      <w:pPr>
        <w:pStyle w:val="Normal"/>
        <w:snapToGrid w:val="false"/>
        <w:spacing w:lineRule="auto" w:line="360"/>
        <w:ind w:firstLine="566" w:end="0"/>
        <w:rPr>
          <w:szCs w:val="28"/>
        </w:rPr>
      </w:pPr>
      <w:r>
        <w:fldChar w:fldCharType="begin"/>
      </w:r>
      <w:r>
        <w:rPr>
          <w:szCs w:val="28"/>
          <w:rFonts w:cs="仿宋_GB2312"/>
          <w:lang w:val="en-US" w:eastAsia="en-US"/>
        </w:rPr>
        <w:instrText xml:space="preserve"> = 4 \* GB3 </w:instrText>
      </w:r>
      <w:r>
        <w:rPr>
          <w:rFonts w:cs="仿宋_GB2312"/>
          <w:szCs w:val="28"/>
          <w:lang w:val="en-US" w:eastAsia="en-US"/>
        </w:rPr>
      </w:r>
      <w:r>
        <w:rPr>
          <w:szCs w:val="28"/>
          <w:lang w:val="en-US" w:eastAsia="en-US"/>
        </w:rPr>
        <w:fldChar w:fldCharType="separate"/>
        <w:t>④</w:t>
        <w:fldChar w:fldCharType="end"/>
      </w:r>
      <w:r>
        <w:rPr>
          <w:szCs w:val="28"/>
        </w:rPr>
        <w:t>维修费一般为建筑物重置成本的2%，根据本地实际情况，本次</w:t>
      </w:r>
      <w:r>
        <w:rPr/>
        <w:t>评估</w:t>
      </w:r>
      <w:r>
        <w:rPr>
          <w:szCs w:val="28"/>
        </w:rPr>
        <w:t>按建筑物重置成本的2%计算，建筑物的重置成本参照周边类似房地产，取3000元/平方米；</w:t>
      </w:r>
    </w:p>
    <w:p>
      <w:pPr>
        <w:pStyle w:val="Normal"/>
        <w:snapToGrid w:val="false"/>
        <w:spacing w:lineRule="auto" w:line="360"/>
        <w:ind w:firstLine="566" w:end="0"/>
        <w:rPr>
          <w:szCs w:val="28"/>
        </w:rPr>
      </w:pPr>
      <w:r>
        <w:rPr>
          <w:rFonts w:cs="仿宋_GB2312"/>
          <w:szCs w:val="28"/>
        </w:rPr>
        <w:t>⑤</w:t>
      </w:r>
      <w:r>
        <w:rPr>
          <w:szCs w:val="28"/>
        </w:rPr>
        <w:t>保险费一般为建筑物重置成本的0.2%。</w:t>
      </w:r>
    </w:p>
    <w:p>
      <w:pPr>
        <w:pStyle w:val="Normal"/>
        <w:snapToGrid w:val="false"/>
        <w:spacing w:lineRule="auto" w:line="360"/>
        <w:ind w:firstLine="566" w:end="0"/>
        <w:rPr>
          <w:szCs w:val="28"/>
        </w:rPr>
      </w:pPr>
      <w:r>
        <w:rPr>
          <w:rFonts w:cs="仿宋_GB2312"/>
          <w:szCs w:val="28"/>
          <w:lang w:val="zh-CN"/>
        </w:rPr>
        <w:t>（4）单位面积</w:t>
      </w:r>
      <w:r>
        <w:rPr>
          <w:szCs w:val="28"/>
        </w:rPr>
        <w:t>净收益</w:t>
      </w:r>
    </w:p>
    <w:p>
      <w:pPr>
        <w:pStyle w:val="Normal"/>
        <w:snapToGrid w:val="false"/>
        <w:spacing w:lineRule="auto" w:line="360"/>
        <w:ind w:firstLine="566" w:end="0"/>
        <w:rPr>
          <w:szCs w:val="28"/>
        </w:rPr>
      </w:pPr>
      <w:r>
        <w:rPr>
          <w:rFonts w:cs="仿宋_GB2312"/>
          <w:szCs w:val="28"/>
          <w:lang w:val="zh-CN"/>
        </w:rPr>
        <w:t>单位面积</w:t>
      </w:r>
      <w:r>
        <w:rPr>
          <w:szCs w:val="28"/>
        </w:rPr>
        <w:t>净收益=</w:t>
      </w:r>
      <w:r>
        <w:rPr>
          <w:rFonts w:cs="仿宋_GB2312"/>
          <w:szCs w:val="28"/>
          <w:lang w:val="zh-CN"/>
        </w:rPr>
        <w:t>单位面积</w:t>
      </w:r>
      <w:r>
        <w:rPr>
          <w:szCs w:val="28"/>
        </w:rPr>
        <w:t>有效毛收入-</w:t>
      </w:r>
      <w:r>
        <w:rPr>
          <w:rFonts w:cs="仿宋_GB2312"/>
          <w:szCs w:val="28"/>
          <w:lang w:val="zh-CN"/>
        </w:rPr>
        <w:t>单位面积</w:t>
      </w:r>
      <w:r>
        <w:rPr>
          <w:szCs w:val="28"/>
        </w:rPr>
        <w:t>运营费用</w:t>
      </w:r>
    </w:p>
    <w:p>
      <w:pPr>
        <w:pStyle w:val="Normal"/>
        <w:snapToGrid w:val="false"/>
        <w:spacing w:lineRule="auto" w:line="360"/>
        <w:ind w:firstLine="566" w:end="0"/>
        <w:rPr>
          <w:szCs w:val="28"/>
        </w:rPr>
      </w:pPr>
      <w:r>
        <w:rPr>
          <w:szCs w:val="28"/>
        </w:rPr>
        <w:t>2、确定收益期</w:t>
      </w:r>
    </w:p>
    <w:p>
      <w:pPr>
        <w:pStyle w:val="Normal"/>
        <w:snapToGrid w:val="false"/>
        <w:spacing w:lineRule="auto" w:line="360"/>
        <w:ind w:firstLine="566" w:end="0"/>
        <w:rPr/>
      </w:pPr>
      <w:r>
        <w:rPr>
          <w:szCs w:val="28"/>
        </w:rPr>
        <w:t>估价对象建筑物为钢混结构，建成于{{建成年份}}，经现场查勘，结构完好，维护保养状况较好，预计剩余经济寿命为55年；估价对象剩余土地使用年限为47.05年，根据孰短原则，收益期取土地使用年限为47.05年。</w:t>
      </w:r>
    </w:p>
    <w:p>
      <w:pPr>
        <w:pStyle w:val="Normal"/>
        <w:snapToGrid w:val="false"/>
        <w:spacing w:lineRule="auto" w:line="360"/>
        <w:ind w:firstLine="566" w:end="0"/>
        <w:rPr>
          <w:szCs w:val="28"/>
        </w:rPr>
      </w:pPr>
      <w:r>
        <w:rPr>
          <w:szCs w:val="28"/>
        </w:rPr>
        <w:t>3、求取报酬率</w:t>
      </w:r>
    </w:p>
    <w:p>
      <w:pPr>
        <w:pStyle w:val="Normal"/>
        <w:snapToGrid w:val="false"/>
        <w:spacing w:lineRule="auto" w:line="360"/>
        <w:ind w:firstLine="566" w:end="0"/>
        <w:rPr>
          <w:szCs w:val="28"/>
        </w:rPr>
      </w:pPr>
      <w:r>
        <w:rPr/>
        <w:t>由于房地产本身的固有特性以及房地产存在的地域性，使不同区域、不同类型、不同时期的房地产报酬率会存在一定的差异。经过调查计算分析，根据目前的市场行情及估价人员的预测，由于估价对象所处区域住宅房地产的租金将不断上涨，但同时房地产投资受政策等因素的影响仍具有一定的投资风险，最终采用无风险报酬率加上风险报酬率确定报酬率R，即</w:t>
      </w:r>
      <w:r>
        <w:rPr>
          <w:szCs w:val="28"/>
        </w:rPr>
        <w:t>报酬率</w:t>
      </w:r>
      <w:r>
        <w:rPr/>
        <w:t>R</w:t>
      </w:r>
      <w:r>
        <w:rPr>
          <w:szCs w:val="28"/>
        </w:rPr>
        <w:t>=无风险报酬率+风险报酬率。</w:t>
      </w:r>
    </w:p>
    <w:p>
      <w:pPr>
        <w:pStyle w:val="Normal"/>
        <w:snapToGrid w:val="false"/>
        <w:spacing w:lineRule="auto" w:line="360"/>
        <w:ind w:firstLine="566" w:end="0"/>
        <w:rPr/>
      </w:pPr>
      <w:r>
        <w:rPr/>
        <w:t>无风险报酬率又称安全利率，是指无风险的投资报酬率，本次估价选取2025年5月20日四大国有银行公布的人民币一年期定期存款利率0.95%作为安全利率；风险报酬率按风险累加法进行测算，风险报酬率由投资风险补偿率、管理负担补偿率、缺乏流动性补偿率和投资带来的优惠率组成，综合分低、中、高几个档次，相应的调整值分别为0%</w:t>
      </w:r>
      <w:r>
        <w:rPr>
          <w:rStyle w:val="client1"/>
          <w:szCs w:val="28"/>
        </w:rPr>
        <w:t>～</w:t>
      </w:r>
      <w:r>
        <w:rPr/>
        <w:t>2%、2%</w:t>
      </w:r>
      <w:r>
        <w:rPr>
          <w:rStyle w:val="client1"/>
          <w:szCs w:val="28"/>
        </w:rPr>
        <w:t>～</w:t>
      </w:r>
      <w:r>
        <w:rPr/>
        <w:t>5%、5%</w:t>
      </w:r>
      <w:r>
        <w:rPr>
          <w:rStyle w:val="client1"/>
          <w:szCs w:val="28"/>
        </w:rPr>
        <w:t>～</w:t>
      </w:r>
      <w:r>
        <w:rPr/>
        <w:t>8%以上，根据估价对象的特点，本次</w:t>
      </w:r>
      <w:r>
        <w:rPr>
          <w:szCs w:val="28"/>
        </w:rPr>
        <w:t>风险报酬率</w:t>
      </w:r>
      <w:r>
        <w:rPr/>
        <w:t>取3%，则R=0.95%+3%=3.95%。</w:t>
      </w:r>
    </w:p>
    <w:p>
      <w:pPr>
        <w:pStyle w:val="Normal"/>
        <w:snapToGrid w:val="false"/>
        <w:spacing w:lineRule="auto" w:line="360"/>
        <w:ind w:firstLine="566" w:end="0"/>
        <w:rPr>
          <w:szCs w:val="28"/>
        </w:rPr>
      </w:pPr>
      <w:r>
        <w:rPr>
          <w:szCs w:val="28"/>
        </w:rPr>
        <w:t>4、收益预测和净收益流模式的确定</w:t>
      </w:r>
    </w:p>
    <w:p>
      <w:pPr>
        <w:pStyle w:val="Normal"/>
        <w:snapToGrid w:val="false"/>
        <w:spacing w:lineRule="auto" w:line="360"/>
        <w:ind w:firstLine="566" w:end="0"/>
        <w:rPr>
          <w:b/>
          <w:szCs w:val="21"/>
        </w:rPr>
      </w:pPr>
      <w:r>
        <w:rPr>
          <w:szCs w:val="28"/>
        </w:rPr>
        <w:t>2025年以来杭州市住宅房地产租赁市场依然保持一个平稳的增长趋势，预计在未来一段时期内，住宅租赁房地产整体将呈现平稳上升的态势。结合近年来的租金变化规律，为计算方便，本次估价采用前10年租金每年递增1.5%，以后净收益保持不变的收益计算模型来测算估价对象的收益价值。</w:t>
      </w:r>
    </w:p>
    <w:p>
      <w:pPr>
        <w:pStyle w:val="Normal"/>
        <w:snapToGrid w:val="false"/>
        <w:spacing w:lineRule="auto" w:line="360"/>
        <w:ind w:firstLine="566" w:end="0"/>
        <w:rPr>
          <w:szCs w:val="28"/>
        </w:rPr>
      </w:pPr>
      <w:r>
        <w:rPr>
          <w:szCs w:val="28"/>
        </w:rPr>
        <w:t>5、公式选用</w:t>
      </w:r>
    </w:p>
    <w:p>
      <w:pPr>
        <w:pStyle w:val="Normal"/>
        <w:snapToGrid w:val="false"/>
        <w:spacing w:lineRule="auto" w:line="360"/>
        <w:ind w:firstLine="566" w:end="0"/>
        <w:jc w:val="start"/>
        <w:rPr/>
      </w:pPr>
      <w:r>
        <w:rPr>
          <w:szCs w:val="28"/>
        </w:rPr>
        <w:t>前10年有效毛收入、税金、管理费及租赁费用均按一定比例递增；以后收益有效毛收入、税金、管理费及租赁费用则不再递增；而年维修费与保险费则在收益期内均为固定值，不会随着有效毛收入同比例递增，因而采用下列公式：</w:t>
      </w:r>
    </w:p>
    <w:p>
      <w:pPr>
        <w:pStyle w:val="Normal"/>
        <w:snapToGrid w:val="false"/>
        <w:spacing w:lineRule="auto" w:line="360"/>
        <w:ind w:firstLine="566" w:end="0"/>
        <w:jc w:val="start"/>
        <w:rPr>
          <w:szCs w:val="28"/>
        </w:rPr>
      </w:pPr>
      <w:r>
        <w:rPr>
          <w:szCs w:val="28"/>
        </w:rPr>
        <w:t>V＝A×{1-[(1+G)/(1+R)]</w:t>
      </w:r>
      <w:r>
        <w:rPr>
          <w:szCs w:val="28"/>
          <w:vertAlign w:val="superscript"/>
        </w:rPr>
        <w:t>t</w:t>
      </w:r>
      <w:r>
        <w:rPr>
          <w:szCs w:val="28"/>
        </w:rPr>
        <w:t>}/(R-G)+A×(1+G)</w:t>
      </w:r>
      <w:r>
        <w:rPr>
          <w:szCs w:val="28"/>
          <w:vertAlign w:val="superscript"/>
        </w:rPr>
        <w:t>(t-1)</w:t>
      </w:r>
      <w:r>
        <w:rPr>
          <w:szCs w:val="28"/>
        </w:rPr>
        <w:t xml:space="preserve">×[1-1/(1+R) </w:t>
      </w:r>
      <w:r>
        <w:rPr>
          <w:szCs w:val="28"/>
          <w:vertAlign w:val="superscript"/>
        </w:rPr>
        <w:t>(n-t)</w:t>
      </w:r>
      <w:r>
        <w:rPr>
          <w:szCs w:val="28"/>
        </w:rPr>
        <w:t>]/[(1+R)</w:t>
      </w:r>
      <w:r>
        <w:rPr>
          <w:szCs w:val="28"/>
          <w:vertAlign w:val="superscript"/>
        </w:rPr>
        <w:t>t</w:t>
      </w:r>
      <w:r>
        <w:rPr>
          <w:szCs w:val="28"/>
        </w:rPr>
        <w:t>×R]-(B/R)×[1-1/(1+R)</w:t>
      </w:r>
      <w:r>
        <w:rPr>
          <w:szCs w:val="28"/>
          <w:vertAlign w:val="superscript"/>
        </w:rPr>
        <w:t>n</w:t>
      </w:r>
      <w:r>
        <w:rPr>
          <w:szCs w:val="28"/>
        </w:rPr>
        <w:t>]</w:t>
      </w:r>
    </w:p>
    <w:p>
      <w:pPr>
        <w:pStyle w:val="Normal"/>
        <w:snapToGrid w:val="false"/>
        <w:spacing w:lineRule="auto" w:line="360"/>
        <w:ind w:firstLine="566" w:end="0"/>
        <w:rPr>
          <w:szCs w:val="28"/>
        </w:rPr>
      </w:pPr>
      <w:r>
        <w:rPr>
          <w:szCs w:val="28"/>
        </w:rPr>
        <w:t>式中:</w:t>
      </w:r>
    </w:p>
    <w:p>
      <w:pPr>
        <w:pStyle w:val="Normal"/>
        <w:snapToGrid w:val="false"/>
        <w:spacing w:lineRule="auto" w:line="360"/>
        <w:ind w:firstLine="566" w:end="0"/>
        <w:rPr>
          <w:szCs w:val="28"/>
        </w:rPr>
      </w:pPr>
      <w:r>
        <w:rPr>
          <w:szCs w:val="28"/>
        </w:rPr>
        <w:t>V----收益价值；</w:t>
      </w:r>
    </w:p>
    <w:p>
      <w:pPr>
        <w:pStyle w:val="Normal"/>
        <w:snapToGrid w:val="false"/>
        <w:spacing w:lineRule="auto" w:line="360"/>
        <w:ind w:firstLine="566" w:end="0"/>
        <w:rPr>
          <w:szCs w:val="28"/>
        </w:rPr>
      </w:pPr>
      <w:r>
        <w:rPr>
          <w:szCs w:val="28"/>
        </w:rPr>
        <w:t>A----第一年有效毛收入减税金、管理费与租赁费用 ；</w:t>
      </w:r>
    </w:p>
    <w:p>
      <w:pPr>
        <w:pStyle w:val="Normal"/>
        <w:snapToGrid w:val="false"/>
        <w:spacing w:lineRule="auto" w:line="360"/>
        <w:ind w:firstLine="566" w:end="0"/>
        <w:rPr>
          <w:szCs w:val="28"/>
        </w:rPr>
      </w:pPr>
      <w:r>
        <w:rPr>
          <w:szCs w:val="28"/>
        </w:rPr>
        <w:t>B----年维修费与保险费；</w:t>
      </w:r>
    </w:p>
    <w:p>
      <w:pPr>
        <w:pStyle w:val="Normal"/>
        <w:snapToGrid w:val="false"/>
        <w:spacing w:lineRule="auto" w:line="360"/>
        <w:ind w:firstLine="566" w:end="0"/>
        <w:rPr>
          <w:szCs w:val="28"/>
        </w:rPr>
      </w:pPr>
      <w:r>
        <w:rPr>
          <w:szCs w:val="28"/>
        </w:rPr>
        <w:t>G----有效毛收入年递增速率；</w:t>
      </w:r>
    </w:p>
    <w:p>
      <w:pPr>
        <w:pStyle w:val="Normal"/>
        <w:snapToGrid w:val="false"/>
        <w:spacing w:lineRule="auto" w:line="360"/>
        <w:ind w:firstLine="566" w:end="0"/>
        <w:rPr>
          <w:szCs w:val="28"/>
        </w:rPr>
      </w:pPr>
      <w:r>
        <w:rPr>
          <w:szCs w:val="28"/>
        </w:rPr>
        <w:t>n----房地产收益期；</w:t>
      </w:r>
    </w:p>
    <w:p>
      <w:pPr>
        <w:pStyle w:val="Normal"/>
        <w:snapToGrid w:val="false"/>
        <w:spacing w:lineRule="auto" w:line="360"/>
        <w:ind w:firstLine="566" w:end="0"/>
        <w:rPr>
          <w:szCs w:val="28"/>
        </w:rPr>
      </w:pPr>
      <w:r>
        <w:rPr>
          <w:szCs w:val="28"/>
        </w:rPr>
        <w:t>t----有效毛收入递增年期；</w:t>
      </w:r>
    </w:p>
    <w:p>
      <w:pPr>
        <w:pStyle w:val="Normal"/>
        <w:snapToGrid w:val="false"/>
        <w:spacing w:lineRule="auto" w:line="360"/>
        <w:ind w:firstLine="566" w:end="0"/>
        <w:rPr>
          <w:szCs w:val="28"/>
        </w:rPr>
      </w:pPr>
      <w:r>
        <w:rPr>
          <w:szCs w:val="28"/>
        </w:rPr>
        <w:t>R----报酬率。</w:t>
      </w:r>
    </w:p>
    <w:p>
      <w:pPr>
        <w:pStyle w:val="Normal"/>
        <w:snapToGrid w:val="false"/>
        <w:spacing w:lineRule="auto" w:line="360"/>
        <w:ind w:firstLine="560" w:end="0"/>
        <w:rPr>
          <w:szCs w:val="28"/>
        </w:rPr>
      </w:pPr>
      <w:r>
        <w:rPr>
          <w:szCs w:val="28"/>
        </w:rPr>
        <w:t>6、收益价格计算</w:t>
      </w:r>
    </w:p>
    <w:tbl>
      <w:tblPr>
        <w:tblW w:w="8319" w:type="dxa"/>
        <w:jc w:val="start"/>
        <w:tblInd w:w="93" w:type="dxa"/>
        <w:tblLayout w:type="fixed"/>
        <w:tblCellMar>
          <w:top w:w="0" w:type="dxa"/>
          <w:start w:w="108" w:type="dxa"/>
          <w:bottom w:w="0" w:type="dxa"/>
          <w:end w:w="108" w:type="dxa"/>
        </w:tblCellMar>
      </w:tblPr>
      <w:tblGrid>
        <w:gridCol w:w="579"/>
        <w:gridCol w:w="2832"/>
        <w:gridCol w:w="1272"/>
        <w:gridCol w:w="3636"/>
      </w:tblGrid>
      <w:tr>
        <w:trPr>
          <w:trHeight w:val="327" w:hRule="atLeast"/>
        </w:trPr>
        <w:tc>
          <w:tcPr>
            <w:tcW w:w="579" w:type="dxa"/>
            <w:tcBorders>
              <w:top w:val="single" w:sz="8" w:space="0" w:color="000000"/>
              <w:start w:val="single" w:sz="8"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序号</w:t>
            </w:r>
          </w:p>
        </w:tc>
        <w:tc>
          <w:tcPr>
            <w:tcW w:w="2832" w:type="dxa"/>
            <w:tcBorders>
              <w:top w:val="single" w:sz="8"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内容</w:t>
            </w:r>
          </w:p>
        </w:tc>
        <w:tc>
          <w:tcPr>
            <w:tcW w:w="1272" w:type="dxa"/>
            <w:tcBorders>
              <w:top w:val="single" w:sz="8" w:space="0" w:color="000000"/>
              <w:start w:val="single" w:sz="4"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数值</w:t>
            </w:r>
          </w:p>
        </w:tc>
        <w:tc>
          <w:tcPr>
            <w:tcW w:w="3636" w:type="dxa"/>
            <w:tcBorders>
              <w:top w:val="single" w:sz="8" w:space="0" w:color="000000"/>
              <w:start w:val="single" w:sz="4" w:space="0" w:color="000000"/>
              <w:bottom w:val="single" w:sz="4" w:space="0" w:color="000000"/>
              <w:end w:val="single" w:sz="8"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备注及计算</w:t>
            </w:r>
          </w:p>
        </w:tc>
      </w:tr>
      <w:tr>
        <w:trPr>
          <w:trHeight w:val="480" w:hRule="atLeast"/>
        </w:trPr>
        <w:tc>
          <w:tcPr>
            <w:tcW w:w="579" w:type="dxa"/>
            <w:tcBorders>
              <w:top w:val="single" w:sz="4" w:space="0" w:color="000000"/>
              <w:start w:val="single" w:sz="8"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t>(1)</w:t>
            </w:r>
          </w:p>
        </w:tc>
        <w:tc>
          <w:tcPr>
            <w:tcW w:w="2832"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start"/>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第</w:t>
            </w:r>
            <w:r>
              <w:rPr>
                <w:rFonts w:eastAsia="宋体;SimSun" w:ascii="宋体;SimSun" w:hAnsi="宋体;SimSun"/>
                <w:b/>
                <w:bCs/>
                <w:color w:val="000000"/>
                <w:kern w:val="0"/>
                <w:sz w:val="18"/>
                <w:szCs w:val="18"/>
              </w:rPr>
              <w:t>1</w:t>
            </w:r>
            <w:r>
              <w:rPr>
                <w:rFonts w:ascii="宋体;SimSun" w:hAnsi="宋体;SimSun" w:eastAsia="宋体;SimSun"/>
                <w:b/>
                <w:bCs/>
                <w:color w:val="000000"/>
                <w:kern w:val="0"/>
                <w:sz w:val="18"/>
                <w:szCs w:val="18"/>
              </w:rPr>
              <w:t>年有效毛收入（元</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年）</w:t>
            </w:r>
          </w:p>
        </w:tc>
        <w:tc>
          <w:tcPr>
            <w:tcW w:w="12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 xml:space="preserve">394.20 </w:t>
            </w:r>
          </w:p>
        </w:tc>
        <w:tc>
          <w:tcPr>
            <w:tcW w:w="3636" w:type="dxa"/>
            <w:tcBorders>
              <w:top w:val="single" w:sz="4" w:space="0" w:color="000000"/>
              <w:start w:val="single" w:sz="4" w:space="0" w:color="000000"/>
              <w:bottom w:val="single" w:sz="4"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ascii="宋体;SimSun" w:hAnsi="宋体;SimSun" w:eastAsia="宋体;SimSun"/>
                <w:color w:val="000000"/>
                <w:kern w:val="0"/>
                <w:sz w:val="18"/>
                <w:szCs w:val="18"/>
              </w:rPr>
              <w:t>＝日租金</w:t>
            </w:r>
            <w:r>
              <w:rPr>
                <w:rFonts w:eastAsia="宋体;SimSun" w:ascii="宋体;SimSun" w:hAnsi="宋体;SimSun"/>
                <w:color w:val="000000"/>
                <w:kern w:val="0"/>
                <w:sz w:val="18"/>
                <w:szCs w:val="18"/>
              </w:rPr>
              <w:t>×</w:t>
            </w:r>
            <w:r>
              <w:rPr>
                <w:rFonts w:ascii="宋体;SimSun" w:hAnsi="宋体;SimSun" w:eastAsia="宋体;SimSun"/>
                <w:color w:val="000000"/>
                <w:kern w:val="0"/>
                <w:sz w:val="18"/>
                <w:szCs w:val="18"/>
              </w:rPr>
              <w:t>年计算天数</w:t>
            </w:r>
            <w:r>
              <w:rPr>
                <w:rFonts w:eastAsia="宋体;SimSun" w:ascii="宋体;SimSun" w:hAnsi="宋体;SimSun"/>
                <w:color w:val="000000"/>
                <w:kern w:val="0"/>
                <w:sz w:val="18"/>
                <w:szCs w:val="18"/>
              </w:rPr>
              <w:t>×(1-</w:t>
            </w:r>
            <w:r>
              <w:rPr>
                <w:rFonts w:ascii="宋体;SimSun" w:hAnsi="宋体;SimSun" w:eastAsia="宋体;SimSun"/>
                <w:color w:val="000000"/>
                <w:kern w:val="0"/>
                <w:sz w:val="18"/>
                <w:szCs w:val="18"/>
              </w:rPr>
              <w:t>空置率</w:t>
            </w:r>
            <w:r>
              <w:rPr>
                <w:rFonts w:eastAsia="宋体;SimSun" w:ascii="宋体;SimSun" w:hAnsi="宋体;SimSun"/>
                <w:color w:val="000000"/>
                <w:kern w:val="0"/>
                <w:sz w:val="18"/>
                <w:szCs w:val="18"/>
              </w:rPr>
              <w:t>)</w:t>
            </w:r>
            <w:r>
              <w:rPr>
                <w:rFonts w:ascii="宋体;SimSun" w:hAnsi="宋体;SimSun" w:eastAsia="宋体;SimSun"/>
                <w:color w:val="000000"/>
                <w:kern w:val="0"/>
                <w:sz w:val="18"/>
                <w:szCs w:val="18"/>
              </w:rPr>
              <w:t>＝</w:t>
            </w:r>
            <w:r>
              <w:rPr>
                <w:rFonts w:eastAsia="宋体;SimSun" w:ascii="宋体;SimSun" w:hAnsi="宋体;SimSun"/>
                <w:color w:val="000000"/>
                <w:kern w:val="0"/>
                <w:sz w:val="18"/>
                <w:szCs w:val="18"/>
              </w:rPr>
              <w:t>1.2×365×</w:t>
            </w:r>
            <w:r>
              <w:rPr>
                <w:rFonts w:ascii="宋体;SimSun" w:hAnsi="宋体;SimSun" w:eastAsia="宋体;SimSun"/>
                <w:color w:val="000000"/>
                <w:kern w:val="0"/>
                <w:sz w:val="18"/>
                <w:szCs w:val="18"/>
              </w:rPr>
              <w:t>（</w:t>
            </w:r>
            <w:r>
              <w:rPr>
                <w:rFonts w:eastAsia="宋体;SimSun" w:ascii="宋体;SimSun" w:hAnsi="宋体;SimSun"/>
                <w:color w:val="000000"/>
                <w:kern w:val="0"/>
                <w:sz w:val="18"/>
                <w:szCs w:val="18"/>
              </w:rPr>
              <w:t>1-10%</w:t>
            </w:r>
            <w:r>
              <w:rPr>
                <w:rFonts w:ascii="宋体;SimSun" w:hAnsi="宋体;SimSun" w:eastAsia="宋体;SimSun"/>
                <w:color w:val="000000"/>
                <w:kern w:val="0"/>
                <w:sz w:val="18"/>
                <w:szCs w:val="18"/>
              </w:rPr>
              <w:t>）</w:t>
            </w:r>
            <w:r>
              <w:rPr>
                <w:rFonts w:eastAsia="宋体;SimSun" w:ascii="宋体;SimSun" w:hAnsi="宋体;SimSun"/>
                <w:color w:val="000000"/>
                <w:kern w:val="0"/>
                <w:sz w:val="18"/>
                <w:szCs w:val="18"/>
              </w:rPr>
              <w:t>=394.2</w:t>
            </w:r>
          </w:p>
        </w:tc>
      </w:tr>
      <w:tr>
        <w:trPr>
          <w:trHeight w:val="447" w:hRule="atLeast"/>
        </w:trPr>
        <w:tc>
          <w:tcPr>
            <w:tcW w:w="579" w:type="dxa"/>
            <w:tcBorders>
              <w:top w:val="single" w:sz="4" w:space="0" w:color="000000"/>
              <w:start w:val="single" w:sz="8"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t>①</w:t>
            </w:r>
          </w:p>
        </w:tc>
        <w:tc>
          <w:tcPr>
            <w:tcW w:w="2832"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start"/>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日租金单价（元</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日）</w:t>
            </w:r>
          </w:p>
        </w:tc>
        <w:tc>
          <w:tcPr>
            <w:tcW w:w="12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FF0000"/>
                <w:kern w:val="0"/>
                <w:sz w:val="18"/>
                <w:szCs w:val="18"/>
              </w:rPr>
            </w:pPr>
            <w:r>
              <w:rPr>
                <w:rFonts w:eastAsia="宋体;SimSun" w:ascii="宋体;SimSun" w:hAnsi="宋体;SimSun"/>
                <w:color w:val="FF0000"/>
                <w:kern w:val="0"/>
                <w:sz w:val="18"/>
                <w:szCs w:val="18"/>
              </w:rPr>
              <w:t xml:space="preserve">1.20 </w:t>
            </w:r>
          </w:p>
        </w:tc>
        <w:tc>
          <w:tcPr>
            <w:tcW w:w="3636" w:type="dxa"/>
            <w:tcBorders>
              <w:top w:val="single" w:sz="4" w:space="0" w:color="000000"/>
              <w:start w:val="single" w:sz="4" w:space="0" w:color="000000"/>
              <w:bottom w:val="single" w:sz="4" w:space="0" w:color="000000"/>
              <w:end w:val="single" w:sz="8" w:space="0" w:color="000000"/>
            </w:tcBorders>
            <w:vAlign w:val="center"/>
          </w:tcPr>
          <w:p>
            <w:pPr>
              <w:pStyle w:val="Normal"/>
              <w:widowControl/>
              <w:snapToGrid w:val="false"/>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r>
          </w:p>
        </w:tc>
      </w:tr>
      <w:tr>
        <w:trPr>
          <w:trHeight w:val="327" w:hRule="atLeast"/>
        </w:trPr>
        <w:tc>
          <w:tcPr>
            <w:tcW w:w="579" w:type="dxa"/>
            <w:tcBorders>
              <w:top w:val="single" w:sz="4" w:space="0" w:color="000000"/>
              <w:start w:val="single" w:sz="8"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t>②</w:t>
            </w:r>
          </w:p>
        </w:tc>
        <w:tc>
          <w:tcPr>
            <w:tcW w:w="2832"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start"/>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年计算天数（日）</w:t>
            </w:r>
          </w:p>
        </w:tc>
        <w:tc>
          <w:tcPr>
            <w:tcW w:w="12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 xml:space="preserve">365 </w:t>
            </w:r>
          </w:p>
        </w:tc>
        <w:tc>
          <w:tcPr>
            <w:tcW w:w="3636" w:type="dxa"/>
            <w:tcBorders>
              <w:top w:val="single" w:sz="4" w:space="0" w:color="000000"/>
              <w:start w:val="single" w:sz="4" w:space="0" w:color="000000"/>
              <w:bottom w:val="single" w:sz="4" w:space="0" w:color="000000"/>
              <w:end w:val="single" w:sz="8" w:space="0" w:color="000000"/>
            </w:tcBorders>
            <w:vAlign w:val="center"/>
          </w:tcPr>
          <w:p>
            <w:pPr>
              <w:pStyle w:val="Normal"/>
              <w:widowControl/>
              <w:snapToGrid w:val="false"/>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r>
          </w:p>
        </w:tc>
      </w:tr>
      <w:tr>
        <w:trPr>
          <w:trHeight w:val="303" w:hRule="atLeast"/>
        </w:trPr>
        <w:tc>
          <w:tcPr>
            <w:tcW w:w="579" w:type="dxa"/>
            <w:tcBorders>
              <w:top w:val="single" w:sz="4" w:space="0" w:color="000000"/>
              <w:start w:val="single" w:sz="8"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t>③</w:t>
            </w:r>
          </w:p>
        </w:tc>
        <w:tc>
          <w:tcPr>
            <w:tcW w:w="2832"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start"/>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空置率（％）</w:t>
            </w:r>
          </w:p>
        </w:tc>
        <w:tc>
          <w:tcPr>
            <w:tcW w:w="12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FF0000"/>
                <w:kern w:val="0"/>
                <w:sz w:val="18"/>
                <w:szCs w:val="18"/>
              </w:rPr>
            </w:pPr>
            <w:r>
              <w:rPr>
                <w:rFonts w:eastAsia="宋体;SimSun" w:ascii="宋体;SimSun" w:hAnsi="宋体;SimSun"/>
                <w:color w:val="FF0000"/>
                <w:kern w:val="0"/>
                <w:sz w:val="18"/>
                <w:szCs w:val="18"/>
              </w:rPr>
              <w:t xml:space="preserve">10.00 </w:t>
            </w:r>
          </w:p>
        </w:tc>
        <w:tc>
          <w:tcPr>
            <w:tcW w:w="3636" w:type="dxa"/>
            <w:tcBorders>
              <w:top w:val="single" w:sz="4" w:space="0" w:color="000000"/>
              <w:start w:val="single" w:sz="4" w:space="0" w:color="000000"/>
              <w:bottom w:val="single" w:sz="4" w:space="0" w:color="000000"/>
              <w:end w:val="single" w:sz="8" w:space="0" w:color="000000"/>
            </w:tcBorders>
            <w:vAlign w:val="center"/>
          </w:tcPr>
          <w:p>
            <w:pPr>
              <w:pStyle w:val="Normal"/>
              <w:widowControl/>
              <w:snapToGrid w:val="false"/>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r>
          </w:p>
        </w:tc>
      </w:tr>
      <w:tr>
        <w:trPr>
          <w:trHeight w:val="480" w:hRule="atLeast"/>
        </w:trPr>
        <w:tc>
          <w:tcPr>
            <w:tcW w:w="579" w:type="dxa"/>
            <w:tcBorders>
              <w:top w:val="single" w:sz="4" w:space="0" w:color="000000"/>
              <w:start w:val="single" w:sz="8"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t>(2)</w:t>
            </w:r>
          </w:p>
        </w:tc>
        <w:tc>
          <w:tcPr>
            <w:tcW w:w="2832"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start"/>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年变动费用（元</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年）</w:t>
            </w:r>
          </w:p>
        </w:tc>
        <w:tc>
          <w:tcPr>
            <w:tcW w:w="12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 xml:space="preserve">41.77 </w:t>
            </w:r>
          </w:p>
        </w:tc>
        <w:tc>
          <w:tcPr>
            <w:tcW w:w="3636" w:type="dxa"/>
            <w:tcBorders>
              <w:top w:val="single" w:sz="4" w:space="0" w:color="000000"/>
              <w:start w:val="single" w:sz="4" w:space="0" w:color="000000"/>
              <w:bottom w:val="single" w:sz="4"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r>
              <w:rPr>
                <w:rFonts w:ascii="宋体;SimSun" w:hAnsi="宋体;SimSun" w:eastAsia="宋体;SimSun"/>
                <w:color w:val="000000"/>
                <w:kern w:val="0"/>
                <w:sz w:val="18"/>
                <w:szCs w:val="18"/>
              </w:rPr>
              <w:t>税金</w:t>
            </w:r>
            <w:r>
              <w:rPr>
                <w:rFonts w:eastAsia="宋体;SimSun" w:ascii="宋体;SimSun" w:hAnsi="宋体;SimSun"/>
                <w:color w:val="000000"/>
                <w:kern w:val="0"/>
                <w:sz w:val="18"/>
                <w:szCs w:val="18"/>
              </w:rPr>
              <w:t>+</w:t>
            </w:r>
            <w:r>
              <w:rPr>
                <w:rFonts w:ascii="宋体;SimSun" w:hAnsi="宋体;SimSun" w:eastAsia="宋体;SimSun"/>
                <w:color w:val="000000"/>
                <w:kern w:val="0"/>
                <w:sz w:val="18"/>
                <w:szCs w:val="18"/>
              </w:rPr>
              <w:t>管理费</w:t>
            </w:r>
            <w:r>
              <w:rPr>
                <w:rFonts w:eastAsia="宋体;SimSun" w:ascii="宋体;SimSun" w:hAnsi="宋体;SimSun"/>
                <w:color w:val="000000"/>
                <w:kern w:val="0"/>
                <w:sz w:val="18"/>
                <w:szCs w:val="18"/>
              </w:rPr>
              <w:t>+</w:t>
            </w:r>
            <w:r>
              <w:rPr>
                <w:rFonts w:ascii="宋体;SimSun" w:hAnsi="宋体;SimSun" w:eastAsia="宋体;SimSun"/>
                <w:color w:val="000000"/>
                <w:kern w:val="0"/>
                <w:sz w:val="18"/>
                <w:szCs w:val="18"/>
              </w:rPr>
              <w:t>租赁费用＝</w:t>
            </w:r>
            <w:r>
              <w:rPr>
                <w:rFonts w:eastAsia="宋体;SimSun" w:ascii="宋体;SimSun" w:hAnsi="宋体;SimSun"/>
                <w:color w:val="000000"/>
                <w:kern w:val="0"/>
                <w:sz w:val="18"/>
                <w:szCs w:val="18"/>
              </w:rPr>
              <w:t>22.06+11.83+7.88</w:t>
            </w:r>
            <w:r>
              <w:rPr>
                <w:rFonts w:ascii="宋体;SimSun" w:hAnsi="宋体;SimSun" w:eastAsia="宋体;SimSun"/>
                <w:color w:val="000000"/>
                <w:kern w:val="0"/>
                <w:sz w:val="18"/>
                <w:szCs w:val="18"/>
              </w:rPr>
              <w:t>＝</w:t>
            </w:r>
            <w:r>
              <w:rPr>
                <w:rFonts w:eastAsia="宋体;SimSun" w:ascii="宋体;SimSun" w:hAnsi="宋体;SimSun"/>
                <w:color w:val="000000"/>
                <w:kern w:val="0"/>
                <w:sz w:val="18"/>
                <w:szCs w:val="18"/>
              </w:rPr>
              <w:t>41.77</w:t>
            </w:r>
          </w:p>
        </w:tc>
      </w:tr>
      <w:tr>
        <w:trPr>
          <w:trHeight w:val="915" w:hRule="atLeast"/>
        </w:trPr>
        <w:tc>
          <w:tcPr>
            <w:tcW w:w="579" w:type="dxa"/>
            <w:tcBorders>
              <w:top w:val="single" w:sz="4" w:space="0" w:color="000000"/>
              <w:start w:val="single" w:sz="8"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t>①</w:t>
            </w:r>
          </w:p>
        </w:tc>
        <w:tc>
          <w:tcPr>
            <w:tcW w:w="2832"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start"/>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税金（元</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年）</w:t>
            </w:r>
          </w:p>
        </w:tc>
        <w:tc>
          <w:tcPr>
            <w:tcW w:w="12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 xml:space="preserve">22.06 </w:t>
            </w:r>
          </w:p>
        </w:tc>
        <w:tc>
          <w:tcPr>
            <w:tcW w:w="3636" w:type="dxa"/>
            <w:tcBorders>
              <w:top w:val="single" w:sz="4" w:space="0" w:color="000000"/>
              <w:start w:val="single" w:sz="4" w:space="0" w:color="000000"/>
              <w:bottom w:val="single" w:sz="4"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r>
              <w:rPr>
                <w:rFonts w:ascii="宋体;SimSun" w:hAnsi="宋体;SimSun" w:eastAsia="宋体;SimSun"/>
                <w:color w:val="000000"/>
                <w:kern w:val="0"/>
                <w:sz w:val="18"/>
                <w:szCs w:val="18"/>
              </w:rPr>
              <w:t>有效毛收入</w:t>
            </w:r>
            <w:r>
              <w:rPr>
                <w:rFonts w:eastAsia="宋体;SimSun" w:ascii="宋体;SimSun" w:hAnsi="宋体;SimSun"/>
                <w:color w:val="000000"/>
                <w:kern w:val="0"/>
                <w:sz w:val="18"/>
                <w:szCs w:val="18"/>
              </w:rPr>
              <w:t>÷1.015×</w:t>
            </w:r>
            <w:r>
              <w:rPr>
                <w:rFonts w:ascii="宋体;SimSun" w:hAnsi="宋体;SimSun" w:eastAsia="宋体;SimSun"/>
                <w:color w:val="000000"/>
                <w:kern w:val="0"/>
                <w:sz w:val="18"/>
                <w:szCs w:val="18"/>
              </w:rPr>
              <w:t>（增值税及附加税率</w:t>
            </w:r>
            <w:r>
              <w:rPr>
                <w:rFonts w:eastAsia="宋体;SimSun" w:ascii="宋体;SimSun" w:hAnsi="宋体;SimSun"/>
                <w:color w:val="000000"/>
                <w:kern w:val="0"/>
                <w:sz w:val="18"/>
                <w:szCs w:val="18"/>
              </w:rPr>
              <w:t>+</w:t>
            </w:r>
            <w:r>
              <w:rPr>
                <w:rFonts w:ascii="宋体;SimSun" w:hAnsi="宋体;SimSun" w:eastAsia="宋体;SimSun"/>
                <w:color w:val="000000"/>
                <w:kern w:val="0"/>
                <w:sz w:val="18"/>
                <w:szCs w:val="18"/>
              </w:rPr>
              <w:t>房产税税率）</w:t>
            </w:r>
            <w:r>
              <w:rPr>
                <w:rFonts w:eastAsia="宋体;SimSun" w:ascii="宋体;SimSun" w:hAnsi="宋体;SimSun"/>
                <w:color w:val="000000"/>
                <w:kern w:val="0"/>
                <w:sz w:val="18"/>
                <w:szCs w:val="18"/>
              </w:rPr>
              <w:t>(</w:t>
            </w:r>
            <w:r>
              <w:rPr>
                <w:rFonts w:ascii="宋体;SimSun" w:hAnsi="宋体;SimSun" w:eastAsia="宋体;SimSun"/>
                <w:color w:val="000000"/>
                <w:kern w:val="0"/>
                <w:sz w:val="18"/>
                <w:szCs w:val="18"/>
              </w:rPr>
              <w:t>其中增值税及附加为</w:t>
            </w:r>
            <w:r>
              <w:rPr>
                <w:rFonts w:eastAsia="宋体;SimSun" w:ascii="宋体;SimSun" w:hAnsi="宋体;SimSun"/>
                <w:color w:val="000000"/>
                <w:kern w:val="0"/>
                <w:sz w:val="18"/>
                <w:szCs w:val="18"/>
              </w:rPr>
              <w:t>1.68%</w:t>
            </w:r>
            <w:r>
              <w:rPr>
                <w:rFonts w:ascii="宋体;SimSun" w:hAnsi="宋体;SimSun" w:eastAsia="宋体;SimSun"/>
                <w:color w:val="000000"/>
                <w:kern w:val="0"/>
                <w:sz w:val="18"/>
                <w:szCs w:val="18"/>
              </w:rPr>
              <w:t>，房产税为</w:t>
            </w:r>
            <w:r>
              <w:rPr>
                <w:rFonts w:eastAsia="宋体;SimSun" w:ascii="宋体;SimSun" w:hAnsi="宋体;SimSun"/>
                <w:color w:val="000000"/>
                <w:kern w:val="0"/>
                <w:sz w:val="18"/>
                <w:szCs w:val="18"/>
              </w:rPr>
              <w:t>4%)=394.2÷1.015×</w:t>
            </w:r>
            <w:r>
              <w:rPr>
                <w:rFonts w:ascii="宋体;SimSun" w:hAnsi="宋体;SimSun" w:eastAsia="宋体;SimSun"/>
                <w:color w:val="000000"/>
                <w:kern w:val="0"/>
                <w:sz w:val="18"/>
                <w:szCs w:val="18"/>
              </w:rPr>
              <w:t>（</w:t>
            </w:r>
            <w:r>
              <w:rPr>
                <w:rFonts w:eastAsia="宋体;SimSun" w:ascii="宋体;SimSun" w:hAnsi="宋体;SimSun"/>
                <w:color w:val="000000"/>
                <w:kern w:val="0"/>
                <w:sz w:val="18"/>
                <w:szCs w:val="18"/>
              </w:rPr>
              <w:t>1.68%+4%</w:t>
            </w:r>
            <w:r>
              <w:rPr>
                <w:rFonts w:ascii="宋体;SimSun" w:hAnsi="宋体;SimSun" w:eastAsia="宋体;SimSun"/>
                <w:color w:val="000000"/>
                <w:kern w:val="0"/>
                <w:sz w:val="18"/>
                <w:szCs w:val="18"/>
              </w:rPr>
              <w:t>）</w:t>
            </w:r>
            <w:r>
              <w:rPr>
                <w:rFonts w:eastAsia="宋体;SimSun" w:ascii="宋体;SimSun" w:hAnsi="宋体;SimSun"/>
                <w:color w:val="000000"/>
                <w:kern w:val="0"/>
                <w:sz w:val="18"/>
                <w:szCs w:val="18"/>
              </w:rPr>
              <w:t>=22.06</w:t>
            </w:r>
          </w:p>
        </w:tc>
      </w:tr>
      <w:tr>
        <w:trPr>
          <w:trHeight w:val="480" w:hRule="atLeast"/>
        </w:trPr>
        <w:tc>
          <w:tcPr>
            <w:tcW w:w="579" w:type="dxa"/>
            <w:tcBorders>
              <w:top w:val="single" w:sz="4" w:space="0" w:color="000000"/>
              <w:start w:val="single" w:sz="8"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t>②</w:t>
            </w:r>
          </w:p>
        </w:tc>
        <w:tc>
          <w:tcPr>
            <w:tcW w:w="2832"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start"/>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管理费（元</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年）</w:t>
            </w:r>
          </w:p>
        </w:tc>
        <w:tc>
          <w:tcPr>
            <w:tcW w:w="12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 xml:space="preserve">11.83 </w:t>
            </w:r>
          </w:p>
        </w:tc>
        <w:tc>
          <w:tcPr>
            <w:tcW w:w="3636" w:type="dxa"/>
            <w:tcBorders>
              <w:top w:val="single" w:sz="4" w:space="0" w:color="000000"/>
              <w:start w:val="single" w:sz="4" w:space="0" w:color="000000"/>
              <w:bottom w:val="single" w:sz="4"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r>
              <w:rPr>
                <w:rFonts w:ascii="宋体;SimSun" w:hAnsi="宋体;SimSun" w:eastAsia="宋体;SimSun"/>
                <w:color w:val="000000"/>
                <w:kern w:val="0"/>
                <w:sz w:val="18"/>
                <w:szCs w:val="18"/>
              </w:rPr>
              <w:t>有效毛收入</w:t>
            </w:r>
            <w:r>
              <w:rPr>
                <w:rFonts w:eastAsia="宋体;SimSun" w:ascii="宋体;SimSun" w:hAnsi="宋体;SimSun"/>
                <w:color w:val="000000"/>
                <w:kern w:val="0"/>
                <w:sz w:val="18"/>
                <w:szCs w:val="18"/>
              </w:rPr>
              <w:t>×</w:t>
            </w:r>
            <w:r>
              <w:rPr>
                <w:rFonts w:ascii="宋体;SimSun" w:hAnsi="宋体;SimSun" w:eastAsia="宋体;SimSun"/>
                <w:color w:val="000000"/>
                <w:kern w:val="0"/>
                <w:sz w:val="18"/>
                <w:szCs w:val="18"/>
              </w:rPr>
              <w:t>管理费用率（按照惯例，取有效毛收入的</w:t>
            </w:r>
            <w:r>
              <w:rPr>
                <w:rFonts w:eastAsia="宋体;SimSun" w:ascii="宋体;SimSun" w:hAnsi="宋体;SimSun"/>
                <w:color w:val="000000"/>
                <w:kern w:val="0"/>
                <w:sz w:val="18"/>
                <w:szCs w:val="18"/>
              </w:rPr>
              <w:t>3%</w:t>
            </w:r>
            <w:r>
              <w:rPr>
                <w:rFonts w:ascii="宋体;SimSun" w:hAnsi="宋体;SimSun" w:eastAsia="宋体;SimSun"/>
                <w:color w:val="000000"/>
                <w:kern w:val="0"/>
                <w:sz w:val="18"/>
                <w:szCs w:val="18"/>
              </w:rPr>
              <w:t>）</w:t>
            </w:r>
            <w:r>
              <w:rPr>
                <w:rFonts w:eastAsia="宋体;SimSun" w:ascii="宋体;SimSun" w:hAnsi="宋体;SimSun"/>
                <w:color w:val="000000"/>
                <w:kern w:val="0"/>
                <w:sz w:val="18"/>
                <w:szCs w:val="18"/>
              </w:rPr>
              <w:t>=394.2×3%=11.83</w:t>
            </w:r>
          </w:p>
        </w:tc>
      </w:tr>
      <w:tr>
        <w:trPr>
          <w:trHeight w:val="480" w:hRule="atLeast"/>
        </w:trPr>
        <w:tc>
          <w:tcPr>
            <w:tcW w:w="579" w:type="dxa"/>
            <w:tcBorders>
              <w:start w:val="single" w:sz="8"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t>③</w:t>
            </w:r>
          </w:p>
        </w:tc>
        <w:tc>
          <w:tcPr>
            <w:tcW w:w="2832"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start"/>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租赁费用（元</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年）</w:t>
            </w:r>
          </w:p>
        </w:tc>
        <w:tc>
          <w:tcPr>
            <w:tcW w:w="12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 xml:space="preserve">7.88 </w:t>
            </w:r>
          </w:p>
        </w:tc>
        <w:tc>
          <w:tcPr>
            <w:tcW w:w="3636" w:type="dxa"/>
            <w:tcBorders>
              <w:top w:val="single" w:sz="4" w:space="0" w:color="000000"/>
              <w:start w:val="single" w:sz="4" w:space="0" w:color="000000"/>
              <w:bottom w:val="single" w:sz="4"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r>
              <w:rPr>
                <w:rFonts w:ascii="宋体;SimSun" w:hAnsi="宋体;SimSun" w:eastAsia="宋体;SimSun"/>
                <w:color w:val="000000"/>
                <w:kern w:val="0"/>
                <w:sz w:val="18"/>
                <w:szCs w:val="18"/>
              </w:rPr>
              <w:t>有效毛收入</w:t>
            </w:r>
            <w:r>
              <w:rPr>
                <w:rFonts w:eastAsia="宋体;SimSun" w:ascii="宋体;SimSun" w:hAnsi="宋体;SimSun"/>
                <w:color w:val="000000"/>
                <w:kern w:val="0"/>
                <w:sz w:val="18"/>
                <w:szCs w:val="18"/>
              </w:rPr>
              <w:t>×</w:t>
            </w:r>
            <w:r>
              <w:rPr>
                <w:rFonts w:ascii="宋体;SimSun" w:hAnsi="宋体;SimSun" w:eastAsia="宋体;SimSun"/>
                <w:color w:val="000000"/>
                <w:kern w:val="0"/>
                <w:sz w:val="18"/>
                <w:szCs w:val="18"/>
              </w:rPr>
              <w:t>租赁费用率（按照惯例，取有效毛收入的</w:t>
            </w:r>
            <w:r>
              <w:rPr>
                <w:rFonts w:eastAsia="宋体;SimSun" w:ascii="宋体;SimSun" w:hAnsi="宋体;SimSun"/>
                <w:color w:val="000000"/>
                <w:kern w:val="0"/>
                <w:sz w:val="18"/>
                <w:szCs w:val="18"/>
              </w:rPr>
              <w:t>2%</w:t>
            </w:r>
            <w:r>
              <w:rPr>
                <w:rFonts w:ascii="宋体;SimSun" w:hAnsi="宋体;SimSun" w:eastAsia="宋体;SimSun"/>
                <w:color w:val="000000"/>
                <w:kern w:val="0"/>
                <w:sz w:val="18"/>
                <w:szCs w:val="18"/>
              </w:rPr>
              <w:t>）</w:t>
            </w:r>
            <w:r>
              <w:rPr>
                <w:rFonts w:eastAsia="宋体;SimSun" w:ascii="宋体;SimSun" w:hAnsi="宋体;SimSun"/>
                <w:color w:val="000000"/>
                <w:kern w:val="0"/>
                <w:sz w:val="18"/>
                <w:szCs w:val="18"/>
              </w:rPr>
              <w:t>=394.2×2%=7.88</w:t>
            </w:r>
          </w:p>
        </w:tc>
      </w:tr>
      <w:tr>
        <w:trPr>
          <w:trHeight w:val="480" w:hRule="atLeast"/>
        </w:trPr>
        <w:tc>
          <w:tcPr>
            <w:tcW w:w="579" w:type="dxa"/>
            <w:tcBorders>
              <w:top w:val="single" w:sz="4" w:space="0" w:color="000000"/>
              <w:start w:val="single" w:sz="8"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t>(3)</w:t>
            </w:r>
          </w:p>
        </w:tc>
        <w:tc>
          <w:tcPr>
            <w:tcW w:w="2832"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start"/>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年维修费用与保险费用</w:t>
            </w:r>
            <w:r>
              <w:rPr>
                <w:rFonts w:eastAsia="宋体;SimSun" w:ascii="宋体;SimSun" w:hAnsi="宋体;SimSun"/>
                <w:b/>
                <w:bCs/>
                <w:color w:val="000000"/>
                <w:kern w:val="0"/>
                <w:sz w:val="18"/>
                <w:szCs w:val="18"/>
              </w:rPr>
              <w:t>B</w:t>
            </w:r>
            <w:r>
              <w:rPr>
                <w:rFonts w:ascii="宋体;SimSun" w:hAnsi="宋体;SimSun" w:eastAsia="宋体;SimSun"/>
                <w:b/>
                <w:bCs/>
                <w:color w:val="000000"/>
                <w:kern w:val="0"/>
                <w:sz w:val="18"/>
                <w:szCs w:val="18"/>
              </w:rPr>
              <w:t>（元</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年）</w:t>
            </w:r>
          </w:p>
        </w:tc>
        <w:tc>
          <w:tcPr>
            <w:tcW w:w="12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 xml:space="preserve">66.00 </w:t>
            </w:r>
          </w:p>
        </w:tc>
        <w:tc>
          <w:tcPr>
            <w:tcW w:w="3636" w:type="dxa"/>
            <w:tcBorders>
              <w:top w:val="single" w:sz="4" w:space="0" w:color="000000"/>
              <w:start w:val="single" w:sz="4" w:space="0" w:color="000000"/>
              <w:bottom w:val="single" w:sz="4"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w:t>
            </w:r>
            <w:r>
              <w:rPr>
                <w:rFonts w:ascii="宋体;SimSun" w:hAnsi="宋体;SimSun" w:eastAsia="宋体;SimSun"/>
                <w:color w:val="000000"/>
                <w:kern w:val="0"/>
                <w:sz w:val="18"/>
                <w:szCs w:val="18"/>
              </w:rPr>
              <w:t>维修费</w:t>
            </w:r>
            <w:r>
              <w:rPr>
                <w:rFonts w:eastAsia="宋体;SimSun" w:ascii="宋体;SimSun" w:hAnsi="宋体;SimSun"/>
                <w:color w:val="000000"/>
                <w:kern w:val="0"/>
                <w:sz w:val="18"/>
                <w:szCs w:val="18"/>
              </w:rPr>
              <w:t>+</w:t>
            </w:r>
            <w:r>
              <w:rPr>
                <w:rFonts w:ascii="宋体;SimSun" w:hAnsi="宋体;SimSun" w:eastAsia="宋体;SimSun"/>
                <w:color w:val="000000"/>
                <w:kern w:val="0"/>
                <w:sz w:val="18"/>
                <w:szCs w:val="18"/>
              </w:rPr>
              <w:t>保险费＝</w:t>
            </w:r>
            <w:r>
              <w:rPr>
                <w:rFonts w:eastAsia="宋体;SimSun" w:ascii="宋体;SimSun" w:hAnsi="宋体;SimSun"/>
                <w:color w:val="000000"/>
                <w:kern w:val="0"/>
                <w:sz w:val="18"/>
                <w:szCs w:val="18"/>
              </w:rPr>
              <w:t>60+6</w:t>
            </w:r>
            <w:r>
              <w:rPr>
                <w:rFonts w:ascii="宋体;SimSun" w:hAnsi="宋体;SimSun" w:eastAsia="宋体;SimSun"/>
                <w:color w:val="000000"/>
                <w:kern w:val="0"/>
                <w:sz w:val="18"/>
                <w:szCs w:val="18"/>
              </w:rPr>
              <w:t>＝</w:t>
            </w:r>
            <w:r>
              <w:rPr>
                <w:rFonts w:eastAsia="宋体;SimSun" w:ascii="宋体;SimSun" w:hAnsi="宋体;SimSun"/>
                <w:color w:val="000000"/>
                <w:kern w:val="0"/>
                <w:sz w:val="18"/>
                <w:szCs w:val="18"/>
              </w:rPr>
              <w:t>66</w:t>
            </w:r>
          </w:p>
        </w:tc>
      </w:tr>
      <w:tr>
        <w:trPr>
          <w:trHeight w:val="327" w:hRule="atLeast"/>
        </w:trPr>
        <w:tc>
          <w:tcPr>
            <w:tcW w:w="579" w:type="dxa"/>
            <w:tcBorders>
              <w:top w:val="single" w:sz="4" w:space="0" w:color="000000"/>
              <w:start w:val="single" w:sz="8"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t>*</w:t>
            </w:r>
          </w:p>
        </w:tc>
        <w:tc>
          <w:tcPr>
            <w:tcW w:w="7740" w:type="dxa"/>
            <w:gridSpan w:val="3"/>
            <w:tcBorders>
              <w:top w:val="single" w:sz="4" w:space="0" w:color="000000"/>
              <w:start w:val="single" w:sz="4" w:space="0" w:color="000000"/>
              <w:bottom w:val="single" w:sz="4" w:space="0" w:color="000000"/>
              <w:end w:val="single" w:sz="8" w:space="0" w:color="000000"/>
            </w:tcBorders>
            <w:vAlign w:val="center"/>
          </w:tcPr>
          <w:p>
            <w:pPr>
              <w:pStyle w:val="Normal"/>
              <w:widowControl/>
              <w:jc w:val="start"/>
              <w:rPr>
                <w:rFonts w:ascii="宋体;SimSun" w:hAnsi="宋体;SimSun" w:eastAsia="宋体;SimSun"/>
                <w:color w:val="FF0000"/>
                <w:kern w:val="0"/>
                <w:sz w:val="18"/>
                <w:szCs w:val="18"/>
              </w:rPr>
            </w:pPr>
            <w:r>
              <w:rPr>
                <w:rFonts w:ascii="宋体;SimSun" w:hAnsi="宋体;SimSun" w:eastAsia="宋体;SimSun"/>
                <w:color w:val="FF0000"/>
                <w:kern w:val="0"/>
                <w:sz w:val="18"/>
                <w:szCs w:val="18"/>
              </w:rPr>
              <w:t>估价对象重置成本参考类似建筑物重置成本，取</w:t>
            </w:r>
            <w:r>
              <w:rPr>
                <w:rFonts w:eastAsia="宋体;SimSun" w:ascii="宋体;SimSun" w:hAnsi="宋体;SimSun"/>
                <w:color w:val="FF0000"/>
                <w:kern w:val="0"/>
                <w:sz w:val="18"/>
                <w:szCs w:val="18"/>
              </w:rPr>
              <w:t>3000</w:t>
            </w:r>
            <w:r>
              <w:rPr>
                <w:rFonts w:ascii="宋体;SimSun" w:hAnsi="宋体;SimSun" w:eastAsia="宋体;SimSun"/>
                <w:color w:val="FF0000"/>
                <w:kern w:val="0"/>
                <w:sz w:val="18"/>
                <w:szCs w:val="18"/>
              </w:rPr>
              <w:t>元</w:t>
            </w:r>
            <w:r>
              <w:rPr>
                <w:rFonts w:eastAsia="宋体;SimSun" w:ascii="宋体;SimSun" w:hAnsi="宋体;SimSun"/>
                <w:color w:val="FF0000"/>
                <w:kern w:val="0"/>
                <w:sz w:val="18"/>
                <w:szCs w:val="18"/>
              </w:rPr>
              <w:t>/</w:t>
            </w:r>
            <w:r>
              <w:rPr>
                <w:rFonts w:ascii="宋体;SimSun" w:hAnsi="宋体;SimSun" w:eastAsia="宋体;SimSun"/>
                <w:color w:val="FF0000"/>
                <w:kern w:val="0"/>
                <w:sz w:val="18"/>
                <w:szCs w:val="18"/>
              </w:rPr>
              <w:t>平方米</w:t>
            </w:r>
          </w:p>
        </w:tc>
      </w:tr>
      <w:tr>
        <w:trPr>
          <w:trHeight w:val="480" w:hRule="atLeast"/>
        </w:trPr>
        <w:tc>
          <w:tcPr>
            <w:tcW w:w="579" w:type="dxa"/>
            <w:tcBorders>
              <w:top w:val="single" w:sz="4" w:space="0" w:color="000000"/>
              <w:start w:val="single" w:sz="8"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t>①</w:t>
            </w:r>
          </w:p>
        </w:tc>
        <w:tc>
          <w:tcPr>
            <w:tcW w:w="2832"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start"/>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维修费（元</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年）</w:t>
            </w:r>
          </w:p>
        </w:tc>
        <w:tc>
          <w:tcPr>
            <w:tcW w:w="12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 xml:space="preserve">60.00 </w:t>
            </w:r>
          </w:p>
        </w:tc>
        <w:tc>
          <w:tcPr>
            <w:tcW w:w="3636" w:type="dxa"/>
            <w:tcBorders>
              <w:top w:val="single" w:sz="4" w:space="0" w:color="000000"/>
              <w:start w:val="single" w:sz="4" w:space="0" w:color="000000"/>
              <w:bottom w:val="single" w:sz="4"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ascii="宋体;SimSun" w:hAnsi="宋体;SimSun" w:eastAsia="宋体;SimSun"/>
                <w:color w:val="000000"/>
                <w:kern w:val="0"/>
                <w:sz w:val="18"/>
                <w:szCs w:val="18"/>
              </w:rPr>
              <w:t>按照惯例取建筑物重置成本的</w:t>
            </w:r>
            <w:r>
              <w:rPr>
                <w:rFonts w:eastAsia="宋体;SimSun" w:ascii="宋体;SimSun" w:hAnsi="宋体;SimSun"/>
                <w:color w:val="000000"/>
                <w:kern w:val="0"/>
                <w:sz w:val="18"/>
                <w:szCs w:val="18"/>
              </w:rPr>
              <w:t>2%,</w:t>
            </w:r>
            <w:r>
              <w:rPr>
                <w:rFonts w:ascii="宋体;SimSun" w:hAnsi="宋体;SimSun" w:eastAsia="宋体;SimSun"/>
                <w:color w:val="000000"/>
                <w:kern w:val="0"/>
                <w:sz w:val="18"/>
                <w:szCs w:val="18"/>
              </w:rPr>
              <w:t>则维修费</w:t>
            </w:r>
            <w:r>
              <w:rPr>
                <w:rFonts w:eastAsia="宋体;SimSun" w:ascii="宋体;SimSun" w:hAnsi="宋体;SimSun"/>
                <w:color w:val="000000"/>
                <w:kern w:val="0"/>
                <w:sz w:val="18"/>
                <w:szCs w:val="18"/>
              </w:rPr>
              <w:t>=3000×2%=60</w:t>
            </w:r>
          </w:p>
        </w:tc>
      </w:tr>
      <w:tr>
        <w:trPr>
          <w:trHeight w:val="480" w:hRule="atLeast"/>
        </w:trPr>
        <w:tc>
          <w:tcPr>
            <w:tcW w:w="579" w:type="dxa"/>
            <w:tcBorders>
              <w:top w:val="single" w:sz="4" w:space="0" w:color="000000"/>
              <w:start w:val="single" w:sz="8"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t>②</w:t>
            </w:r>
          </w:p>
        </w:tc>
        <w:tc>
          <w:tcPr>
            <w:tcW w:w="2832"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start"/>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保险费（元</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年）</w:t>
            </w:r>
          </w:p>
        </w:tc>
        <w:tc>
          <w:tcPr>
            <w:tcW w:w="12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 xml:space="preserve">6.00 </w:t>
            </w:r>
          </w:p>
        </w:tc>
        <w:tc>
          <w:tcPr>
            <w:tcW w:w="3636" w:type="dxa"/>
            <w:tcBorders>
              <w:top w:val="single" w:sz="4" w:space="0" w:color="000000"/>
              <w:start w:val="single" w:sz="4" w:space="0" w:color="000000"/>
              <w:bottom w:val="single" w:sz="4"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ascii="宋体;SimSun" w:hAnsi="宋体;SimSun" w:eastAsia="宋体;SimSun"/>
                <w:color w:val="000000"/>
                <w:kern w:val="0"/>
                <w:sz w:val="18"/>
                <w:szCs w:val="18"/>
              </w:rPr>
              <w:t>按照惯例取建筑物重置成本的</w:t>
            </w:r>
            <w:r>
              <w:rPr>
                <w:rFonts w:eastAsia="宋体;SimSun" w:ascii="宋体;SimSun" w:hAnsi="宋体;SimSun"/>
                <w:color w:val="000000"/>
                <w:kern w:val="0"/>
                <w:sz w:val="18"/>
                <w:szCs w:val="18"/>
              </w:rPr>
              <w:t>0.2%,</w:t>
            </w:r>
            <w:r>
              <w:rPr>
                <w:rFonts w:ascii="宋体;SimSun" w:hAnsi="宋体;SimSun" w:eastAsia="宋体;SimSun"/>
                <w:color w:val="000000"/>
                <w:kern w:val="0"/>
                <w:sz w:val="18"/>
                <w:szCs w:val="18"/>
              </w:rPr>
              <w:t>则保险费</w:t>
            </w:r>
            <w:r>
              <w:rPr>
                <w:rFonts w:eastAsia="宋体;SimSun" w:ascii="宋体;SimSun" w:hAnsi="宋体;SimSun"/>
                <w:color w:val="000000"/>
                <w:kern w:val="0"/>
                <w:sz w:val="18"/>
                <w:szCs w:val="18"/>
              </w:rPr>
              <w:t>=3000×0.2%=6</w:t>
            </w:r>
          </w:p>
        </w:tc>
      </w:tr>
      <w:tr>
        <w:trPr>
          <w:trHeight w:val="480" w:hRule="atLeast"/>
        </w:trPr>
        <w:tc>
          <w:tcPr>
            <w:tcW w:w="579" w:type="dxa"/>
            <w:tcBorders>
              <w:top w:val="single" w:sz="4" w:space="0" w:color="000000"/>
              <w:start w:val="single" w:sz="8"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t>(4)</w:t>
            </w:r>
          </w:p>
        </w:tc>
        <w:tc>
          <w:tcPr>
            <w:tcW w:w="2832"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start"/>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 xml:space="preserve">第一年毛收益减税金、管理费及租赁费用 </w:t>
            </w:r>
            <w:r>
              <w:rPr>
                <w:rFonts w:eastAsia="宋体;SimSun" w:ascii="宋体;SimSun" w:hAnsi="宋体;SimSun"/>
                <w:b/>
                <w:bCs/>
                <w:color w:val="000000"/>
                <w:kern w:val="0"/>
                <w:sz w:val="18"/>
                <w:szCs w:val="18"/>
              </w:rPr>
              <w:t>A</w:t>
            </w:r>
            <w:r>
              <w:rPr>
                <w:rFonts w:ascii="宋体;SimSun" w:hAnsi="宋体;SimSun" w:eastAsia="宋体;SimSun"/>
                <w:b/>
                <w:bCs/>
                <w:color w:val="000000"/>
                <w:kern w:val="0"/>
                <w:sz w:val="18"/>
                <w:szCs w:val="18"/>
              </w:rPr>
              <w:t>（元</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年）</w:t>
            </w:r>
          </w:p>
        </w:tc>
        <w:tc>
          <w:tcPr>
            <w:tcW w:w="12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 xml:space="preserve">352.43 </w:t>
            </w:r>
          </w:p>
        </w:tc>
        <w:tc>
          <w:tcPr>
            <w:tcW w:w="3636" w:type="dxa"/>
            <w:tcBorders>
              <w:top w:val="single" w:sz="4" w:space="0" w:color="000000"/>
              <w:start w:val="single" w:sz="4" w:space="0" w:color="000000"/>
              <w:bottom w:val="single" w:sz="4" w:space="0" w:color="000000"/>
              <w:end w:val="single" w:sz="8"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A</w:t>
            </w:r>
            <w:r>
              <w:rPr>
                <w:rFonts w:ascii="宋体;SimSun" w:hAnsi="宋体;SimSun" w:eastAsia="宋体;SimSun"/>
                <w:color w:val="000000"/>
                <w:kern w:val="0"/>
                <w:sz w:val="18"/>
                <w:szCs w:val="18"/>
              </w:rPr>
              <w:t>＝</w:t>
            </w:r>
            <w:r>
              <w:rPr>
                <w:rFonts w:eastAsia="宋体;SimSun" w:ascii="宋体;SimSun" w:hAnsi="宋体;SimSun"/>
                <w:color w:val="000000"/>
                <w:kern w:val="0"/>
                <w:sz w:val="18"/>
                <w:szCs w:val="18"/>
              </w:rPr>
              <w:t>394.2-41.77=352.43</w:t>
            </w:r>
          </w:p>
        </w:tc>
      </w:tr>
      <w:tr>
        <w:trPr>
          <w:trHeight w:val="327" w:hRule="atLeast"/>
        </w:trPr>
        <w:tc>
          <w:tcPr>
            <w:tcW w:w="579" w:type="dxa"/>
            <w:tcBorders>
              <w:top w:val="single" w:sz="4" w:space="0" w:color="000000"/>
              <w:start w:val="single" w:sz="8"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t>(5)</w:t>
            </w:r>
          </w:p>
        </w:tc>
        <w:tc>
          <w:tcPr>
            <w:tcW w:w="2832"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start"/>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收益期</w:t>
            </w:r>
            <w:r>
              <w:rPr>
                <w:rFonts w:eastAsia="宋体;SimSun" w:ascii="宋体;SimSun" w:hAnsi="宋体;SimSun"/>
                <w:b/>
                <w:bCs/>
                <w:color w:val="000000"/>
                <w:kern w:val="0"/>
                <w:sz w:val="18"/>
                <w:szCs w:val="18"/>
              </w:rPr>
              <w:t>n</w:t>
            </w:r>
            <w:r>
              <w:rPr>
                <w:rFonts w:ascii="宋体;SimSun" w:hAnsi="宋体;SimSun" w:eastAsia="宋体;SimSun"/>
                <w:b/>
                <w:bCs/>
                <w:color w:val="000000"/>
                <w:kern w:val="0"/>
                <w:sz w:val="18"/>
                <w:szCs w:val="18"/>
              </w:rPr>
              <w:t>（年）</w:t>
            </w:r>
          </w:p>
        </w:tc>
        <w:tc>
          <w:tcPr>
            <w:tcW w:w="12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FF0000"/>
                <w:kern w:val="0"/>
                <w:sz w:val="18"/>
                <w:szCs w:val="18"/>
              </w:rPr>
            </w:pPr>
            <w:r>
              <w:rPr>
                <w:rFonts w:eastAsia="宋体;SimSun" w:ascii="宋体;SimSun" w:hAnsi="宋体;SimSun"/>
                <w:color w:val="FF0000"/>
                <w:kern w:val="0"/>
                <w:sz w:val="18"/>
                <w:szCs w:val="18"/>
              </w:rPr>
              <w:t xml:space="preserve">47.05 </w:t>
            </w:r>
          </w:p>
        </w:tc>
        <w:tc>
          <w:tcPr>
            <w:tcW w:w="3636" w:type="dxa"/>
            <w:tcBorders>
              <w:top w:val="single" w:sz="4" w:space="0" w:color="000000"/>
              <w:start w:val="single" w:sz="4" w:space="0" w:color="000000"/>
              <w:bottom w:val="single" w:sz="4" w:space="0" w:color="000000"/>
              <w:end w:val="single" w:sz="8" w:space="0" w:color="000000"/>
            </w:tcBorders>
            <w:vAlign w:val="center"/>
          </w:tcPr>
          <w:p>
            <w:pPr>
              <w:pStyle w:val="Normal"/>
              <w:widowControl/>
              <w:snapToGrid w:val="false"/>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r>
          </w:p>
        </w:tc>
      </w:tr>
      <w:tr>
        <w:trPr>
          <w:trHeight w:val="312" w:hRule="atLeast"/>
        </w:trPr>
        <w:tc>
          <w:tcPr>
            <w:tcW w:w="579" w:type="dxa"/>
            <w:tcBorders>
              <w:top w:val="single" w:sz="4" w:space="0" w:color="000000"/>
              <w:start w:val="single" w:sz="8"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t>(6)</w:t>
            </w:r>
          </w:p>
        </w:tc>
        <w:tc>
          <w:tcPr>
            <w:tcW w:w="2832"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start"/>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收益递增年期</w:t>
            </w:r>
            <w:r>
              <w:rPr>
                <w:rFonts w:eastAsia="宋体;SimSun" w:ascii="宋体;SimSun" w:hAnsi="宋体;SimSun"/>
                <w:b/>
                <w:bCs/>
                <w:color w:val="000000"/>
                <w:kern w:val="0"/>
                <w:sz w:val="18"/>
                <w:szCs w:val="18"/>
              </w:rPr>
              <w:t>t</w:t>
            </w:r>
            <w:r>
              <w:rPr>
                <w:rFonts w:ascii="宋体;SimSun" w:hAnsi="宋体;SimSun" w:eastAsia="宋体;SimSun"/>
                <w:b/>
                <w:bCs/>
                <w:color w:val="000000"/>
                <w:kern w:val="0"/>
                <w:sz w:val="18"/>
                <w:szCs w:val="18"/>
              </w:rPr>
              <w:t>（年）</w:t>
            </w:r>
          </w:p>
        </w:tc>
        <w:tc>
          <w:tcPr>
            <w:tcW w:w="12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FF0000"/>
                <w:kern w:val="0"/>
                <w:sz w:val="18"/>
                <w:szCs w:val="18"/>
              </w:rPr>
            </w:pPr>
            <w:r>
              <w:rPr>
                <w:rFonts w:eastAsia="宋体;SimSun" w:ascii="宋体;SimSun" w:hAnsi="宋体;SimSun"/>
                <w:color w:val="FF0000"/>
                <w:kern w:val="0"/>
                <w:sz w:val="18"/>
                <w:szCs w:val="18"/>
              </w:rPr>
              <w:t xml:space="preserve">10.00 </w:t>
            </w:r>
          </w:p>
        </w:tc>
        <w:tc>
          <w:tcPr>
            <w:tcW w:w="3636" w:type="dxa"/>
            <w:tcBorders>
              <w:top w:val="single" w:sz="4" w:space="0" w:color="000000"/>
              <w:start w:val="single" w:sz="4" w:space="0" w:color="000000"/>
              <w:bottom w:val="single" w:sz="4" w:space="0" w:color="000000"/>
              <w:end w:val="single" w:sz="8" w:space="0" w:color="000000"/>
            </w:tcBorders>
            <w:vAlign w:val="center"/>
          </w:tcPr>
          <w:p>
            <w:pPr>
              <w:pStyle w:val="Normal"/>
              <w:widowControl/>
              <w:snapToGrid w:val="false"/>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r>
          </w:p>
        </w:tc>
      </w:tr>
      <w:tr>
        <w:trPr>
          <w:trHeight w:val="312" w:hRule="atLeast"/>
        </w:trPr>
        <w:tc>
          <w:tcPr>
            <w:tcW w:w="579" w:type="dxa"/>
            <w:tcBorders>
              <w:top w:val="single" w:sz="4" w:space="0" w:color="000000"/>
              <w:start w:val="single" w:sz="8"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t>(7)</w:t>
            </w:r>
          </w:p>
        </w:tc>
        <w:tc>
          <w:tcPr>
            <w:tcW w:w="2832"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start"/>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收益年递增速率</w:t>
            </w:r>
            <w:r>
              <w:rPr>
                <w:rFonts w:eastAsia="宋体;SimSun" w:ascii="宋体;SimSun" w:hAnsi="宋体;SimSun"/>
                <w:b/>
                <w:bCs/>
                <w:color w:val="000000"/>
                <w:kern w:val="0"/>
                <w:sz w:val="18"/>
                <w:szCs w:val="18"/>
              </w:rPr>
              <w:t>G</w:t>
            </w:r>
            <w:r>
              <w:rPr>
                <w:rFonts w:ascii="宋体;SimSun" w:hAnsi="宋体;SimSun" w:eastAsia="宋体;SimSun"/>
                <w:b/>
                <w:bCs/>
                <w:color w:val="000000"/>
                <w:kern w:val="0"/>
                <w:sz w:val="18"/>
                <w:szCs w:val="18"/>
              </w:rPr>
              <w:t>（</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w:t>
            </w:r>
          </w:p>
        </w:tc>
        <w:tc>
          <w:tcPr>
            <w:tcW w:w="12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FF0000"/>
                <w:kern w:val="0"/>
                <w:sz w:val="18"/>
                <w:szCs w:val="18"/>
              </w:rPr>
            </w:pPr>
            <w:r>
              <w:rPr>
                <w:rFonts w:eastAsia="宋体;SimSun" w:ascii="宋体;SimSun" w:hAnsi="宋体;SimSun"/>
                <w:color w:val="FF0000"/>
                <w:kern w:val="0"/>
                <w:sz w:val="18"/>
                <w:szCs w:val="18"/>
              </w:rPr>
              <w:t xml:space="preserve">1.50 </w:t>
            </w:r>
          </w:p>
        </w:tc>
        <w:tc>
          <w:tcPr>
            <w:tcW w:w="3636" w:type="dxa"/>
            <w:tcBorders>
              <w:top w:val="single" w:sz="4" w:space="0" w:color="000000"/>
              <w:start w:val="single" w:sz="4" w:space="0" w:color="000000"/>
              <w:bottom w:val="single" w:sz="4" w:space="0" w:color="000000"/>
              <w:end w:val="single" w:sz="8" w:space="0" w:color="000000"/>
            </w:tcBorders>
            <w:vAlign w:val="center"/>
          </w:tcPr>
          <w:p>
            <w:pPr>
              <w:pStyle w:val="Normal"/>
              <w:widowControl/>
              <w:snapToGrid w:val="false"/>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r>
          </w:p>
        </w:tc>
      </w:tr>
      <w:tr>
        <w:trPr>
          <w:trHeight w:val="327" w:hRule="atLeast"/>
        </w:trPr>
        <w:tc>
          <w:tcPr>
            <w:tcW w:w="579" w:type="dxa"/>
            <w:tcBorders>
              <w:top w:val="single" w:sz="4" w:space="0" w:color="000000"/>
              <w:start w:val="single" w:sz="8"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t>(8)</w:t>
            </w:r>
          </w:p>
        </w:tc>
        <w:tc>
          <w:tcPr>
            <w:tcW w:w="2832"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start"/>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报酬率</w:t>
            </w:r>
            <w:r>
              <w:rPr>
                <w:rFonts w:eastAsia="宋体;SimSun" w:ascii="宋体;SimSun" w:hAnsi="宋体;SimSun"/>
                <w:b/>
                <w:bCs/>
                <w:color w:val="000000"/>
                <w:kern w:val="0"/>
                <w:sz w:val="18"/>
                <w:szCs w:val="18"/>
              </w:rPr>
              <w:t>R</w:t>
            </w:r>
            <w:r>
              <w:rPr>
                <w:rFonts w:ascii="宋体;SimSun" w:hAnsi="宋体;SimSun" w:eastAsia="宋体;SimSun"/>
                <w:b/>
                <w:bCs/>
                <w:color w:val="000000"/>
                <w:kern w:val="0"/>
                <w:sz w:val="18"/>
                <w:szCs w:val="18"/>
              </w:rPr>
              <w:t>（</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w:t>
            </w:r>
          </w:p>
        </w:tc>
        <w:tc>
          <w:tcPr>
            <w:tcW w:w="12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FF0000"/>
                <w:kern w:val="0"/>
                <w:sz w:val="18"/>
                <w:szCs w:val="18"/>
              </w:rPr>
            </w:pPr>
            <w:r>
              <w:rPr>
                <w:rFonts w:eastAsia="宋体;SimSun" w:ascii="宋体;SimSun" w:hAnsi="宋体;SimSun"/>
                <w:color w:val="FF0000"/>
                <w:kern w:val="0"/>
                <w:sz w:val="18"/>
                <w:szCs w:val="18"/>
              </w:rPr>
              <w:t xml:space="preserve">3.95 </w:t>
            </w:r>
          </w:p>
        </w:tc>
        <w:tc>
          <w:tcPr>
            <w:tcW w:w="3636" w:type="dxa"/>
            <w:tcBorders>
              <w:top w:val="single" w:sz="4" w:space="0" w:color="000000"/>
              <w:start w:val="single" w:sz="4" w:space="0" w:color="000000"/>
              <w:bottom w:val="single" w:sz="4" w:space="0" w:color="000000"/>
              <w:end w:val="single" w:sz="8" w:space="0" w:color="000000"/>
            </w:tcBorders>
            <w:vAlign w:val="center"/>
          </w:tcPr>
          <w:p>
            <w:pPr>
              <w:pStyle w:val="Normal"/>
              <w:widowControl/>
              <w:snapToGrid w:val="false"/>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r>
          </w:p>
        </w:tc>
      </w:tr>
      <w:tr>
        <w:trPr>
          <w:trHeight w:val="327" w:hRule="atLeast"/>
        </w:trPr>
        <w:tc>
          <w:tcPr>
            <w:tcW w:w="579" w:type="dxa"/>
            <w:vMerge w:val="restart"/>
            <w:tcBorders>
              <w:top w:val="single" w:sz="4" w:space="0" w:color="000000"/>
              <w:start w:val="single" w:sz="8"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t>(9)</w:t>
            </w:r>
          </w:p>
        </w:tc>
        <w:tc>
          <w:tcPr>
            <w:tcW w:w="2832"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start"/>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收益价格单价</w:t>
            </w:r>
            <w:r>
              <w:rPr>
                <w:rFonts w:eastAsia="宋体;SimSun" w:ascii="宋体;SimSun" w:hAnsi="宋体;SimSun"/>
                <w:b/>
                <w:bCs/>
                <w:color w:val="000000"/>
                <w:kern w:val="0"/>
                <w:sz w:val="18"/>
                <w:szCs w:val="18"/>
              </w:rPr>
              <w:t>V</w:t>
            </w:r>
            <w:r>
              <w:rPr>
                <w:rFonts w:ascii="宋体;SimSun" w:hAnsi="宋体;SimSun" w:eastAsia="宋体;SimSun"/>
                <w:b/>
                <w:bCs/>
                <w:color w:val="000000"/>
                <w:kern w:val="0"/>
                <w:sz w:val="18"/>
                <w:szCs w:val="18"/>
              </w:rPr>
              <w:t>（元</w:t>
            </w:r>
            <w:r>
              <w:rPr>
                <w:rFonts w:eastAsia="宋体;SimSun" w:ascii="宋体;SimSun" w:hAnsi="宋体;SimSun"/>
                <w:b/>
                <w:bCs/>
                <w:color w:val="000000"/>
                <w:kern w:val="0"/>
                <w:sz w:val="18"/>
                <w:szCs w:val="18"/>
              </w:rPr>
              <w:t>/</w:t>
            </w:r>
            <w:r>
              <w:rPr>
                <w:rFonts w:ascii="宋体;SimSun" w:hAnsi="宋体;SimSun" w:eastAsia="宋体;SimSun"/>
                <w:b/>
                <w:bCs/>
                <w:color w:val="000000"/>
                <w:kern w:val="0"/>
                <w:sz w:val="18"/>
                <w:szCs w:val="18"/>
              </w:rPr>
              <w:t>㎡）</w:t>
            </w:r>
          </w:p>
        </w:tc>
        <w:tc>
          <w:tcPr>
            <w:tcW w:w="12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 xml:space="preserve">6900.00 </w:t>
            </w:r>
          </w:p>
        </w:tc>
        <w:tc>
          <w:tcPr>
            <w:tcW w:w="3636" w:type="dxa"/>
            <w:tcBorders>
              <w:top w:val="single" w:sz="4" w:space="0" w:color="000000"/>
              <w:start w:val="single" w:sz="4" w:space="0" w:color="000000"/>
              <w:bottom w:val="single" w:sz="4" w:space="0" w:color="000000"/>
              <w:end w:val="single" w:sz="8" w:space="0" w:color="000000"/>
            </w:tcBorders>
            <w:vAlign w:val="center"/>
          </w:tcPr>
          <w:p>
            <w:pPr>
              <w:pStyle w:val="Normal"/>
              <w:widowControl/>
              <w:snapToGrid w:val="false"/>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r>
          </w:p>
        </w:tc>
      </w:tr>
      <w:tr>
        <w:trPr>
          <w:trHeight w:val="480" w:hRule="atLeast"/>
        </w:trPr>
        <w:tc>
          <w:tcPr>
            <w:tcW w:w="579" w:type="dxa"/>
            <w:vMerge w:val="continue"/>
            <w:tcBorders>
              <w:top w:val="single" w:sz="4" w:space="0" w:color="000000"/>
              <w:start w:val="single" w:sz="8" w:space="0" w:color="000000"/>
              <w:bottom w:val="single" w:sz="4" w:space="0" w:color="000000"/>
              <w:end w:val="single" w:sz="4" w:space="0" w:color="000000"/>
            </w:tcBorders>
            <w:shd w:fill="BFBFBF"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7740" w:type="dxa"/>
            <w:gridSpan w:val="3"/>
            <w:tcBorders>
              <w:top w:val="single" w:sz="4" w:space="0" w:color="000000"/>
              <w:start w:val="single" w:sz="4" w:space="0" w:color="000000"/>
              <w:bottom w:val="single" w:sz="4" w:space="0" w:color="000000"/>
              <w:end w:val="single" w:sz="8" w:space="0" w:color="000000"/>
            </w:tcBorders>
            <w:shd w:fill="BFBFBF" w:val="clear"/>
            <w:vAlign w:val="center"/>
          </w:tcPr>
          <w:p>
            <w:pPr>
              <w:pStyle w:val="Normal"/>
              <w:widowControl/>
              <w:jc w:val="start"/>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t>V</w:t>
            </w:r>
            <w:r>
              <w:rPr>
                <w:rFonts w:ascii="宋体;SimSun" w:hAnsi="宋体;SimSun" w:eastAsia="宋体;SimSun"/>
                <w:b/>
                <w:bCs/>
                <w:color w:val="000000"/>
                <w:kern w:val="0"/>
                <w:sz w:val="18"/>
                <w:szCs w:val="18"/>
              </w:rPr>
              <w:t>＝</w:t>
            </w:r>
            <w:r>
              <w:rPr>
                <w:rFonts w:eastAsia="宋体;SimSun" w:ascii="宋体;SimSun" w:hAnsi="宋体;SimSun"/>
                <w:b/>
                <w:bCs/>
                <w:color w:val="000000"/>
                <w:kern w:val="0"/>
                <w:sz w:val="18"/>
                <w:szCs w:val="18"/>
              </w:rPr>
              <w:t>352.43×{1-[(1+1.5%)/(1+3.95%)]^10}/(3.95%-1.5%)+352.43×(1+1.5%)^9×[1-1/(1+3.95%)^(47.05-10)]/[(1+3.95%)^10×3.95%]-(66/3.95%)×[1-1/(1+3.95%)^47.05]=6900</w:t>
            </w:r>
          </w:p>
        </w:tc>
      </w:tr>
      <w:tr>
        <w:trPr>
          <w:trHeight w:val="303" w:hRule="atLeast"/>
        </w:trPr>
        <w:tc>
          <w:tcPr>
            <w:tcW w:w="579" w:type="dxa"/>
            <w:vMerge w:val="restart"/>
            <w:tcBorders>
              <w:top w:val="single" w:sz="4" w:space="0" w:color="000000"/>
              <w:start w:val="single" w:sz="8" w:space="0" w:color="000000"/>
              <w:bottom w:val="single" w:sz="4" w:space="0" w:color="000000"/>
              <w:end w:val="single" w:sz="4" w:space="0" w:color="000000"/>
            </w:tcBorders>
            <w:shd w:fill="BFBFBF" w:val="clear"/>
            <w:vAlign w:val="center"/>
          </w:tcPr>
          <w:p>
            <w:pPr>
              <w:pStyle w:val="Normal"/>
              <w:widowControl/>
              <w:jc w:val="center"/>
              <w:rPr>
                <w:rFonts w:ascii="宋体;SimSun" w:hAnsi="宋体;SimSun" w:eastAsia="宋体;SimSun"/>
                <w:b/>
                <w:bCs/>
                <w:color w:val="000000"/>
                <w:kern w:val="0"/>
                <w:sz w:val="18"/>
                <w:szCs w:val="18"/>
              </w:rPr>
            </w:pPr>
            <w:r>
              <w:rPr>
                <w:rFonts w:eastAsia="宋体;SimSun" w:ascii="宋体;SimSun" w:hAnsi="宋体;SimSun"/>
                <w:b/>
                <w:bCs/>
                <w:color w:val="000000"/>
                <w:kern w:val="0"/>
                <w:sz w:val="18"/>
                <w:szCs w:val="18"/>
              </w:rPr>
              <w:t>(10)</w:t>
            </w:r>
          </w:p>
        </w:tc>
        <w:tc>
          <w:tcPr>
            <w:tcW w:w="2832"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widowControl/>
              <w:jc w:val="start"/>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收益面积（㎡）</w:t>
            </w:r>
          </w:p>
        </w:tc>
        <w:tc>
          <w:tcPr>
            <w:tcW w:w="12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eastAsia="宋体;SimSun"/>
                <w:color w:val="FF0000"/>
                <w:kern w:val="0"/>
                <w:sz w:val="18"/>
                <w:szCs w:val="18"/>
              </w:rPr>
            </w:pPr>
            <w:r>
              <w:rPr>
                <w:rFonts w:eastAsia="宋体;SimSun" w:ascii="宋体;SimSun" w:hAnsi="宋体;SimSun"/>
                <w:color w:val="FF0000"/>
                <w:kern w:val="0"/>
                <w:sz w:val="18"/>
                <w:szCs w:val="18"/>
              </w:rPr>
              <w:t xml:space="preserve">{{建筑面积}} </w:t>
            </w:r>
          </w:p>
        </w:tc>
        <w:tc>
          <w:tcPr>
            <w:tcW w:w="3636"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r>
          </w:p>
        </w:tc>
      </w:tr>
      <w:tr>
        <w:trPr>
          <w:trHeight w:val="300" w:hRule="atLeast"/>
        </w:trPr>
        <w:tc>
          <w:tcPr>
            <w:tcW w:w="579" w:type="dxa"/>
            <w:vMerge w:val="continue"/>
            <w:tcBorders>
              <w:top w:val="single" w:sz="4" w:space="0" w:color="000000"/>
              <w:start w:val="single" w:sz="8" w:space="0" w:color="000000"/>
              <w:bottom w:val="single" w:sz="4" w:space="0" w:color="000000"/>
              <w:end w:val="single" w:sz="4" w:space="0" w:color="000000"/>
            </w:tcBorders>
            <w:shd w:fill="BFBFBF" w:val="clear"/>
            <w:vAlign w:val="center"/>
          </w:tcPr>
          <w:p>
            <w:pPr>
              <w:pStyle w:val="Normal"/>
              <w:widowControl/>
              <w:snapToGrid w:val="false"/>
              <w:jc w:val="start"/>
              <w:rPr>
                <w:rFonts w:ascii="宋体;SimSun" w:hAnsi="宋体;SimSun" w:eastAsia="宋体;SimSun" w:cs="Times New Roman"/>
                <w:b/>
                <w:bCs/>
                <w:color w:val="000000"/>
                <w:kern w:val="0"/>
                <w:sz w:val="18"/>
                <w:szCs w:val="18"/>
              </w:rPr>
            </w:pPr>
            <w:r>
              <w:rPr>
                <w:rFonts w:eastAsia="宋体;SimSun" w:cs="Times New Roman" w:ascii="宋体;SimSun" w:hAnsi="宋体;SimSun"/>
                <w:b/>
                <w:bCs/>
                <w:color w:val="000000"/>
                <w:kern w:val="0"/>
                <w:sz w:val="18"/>
                <w:szCs w:val="18"/>
              </w:rPr>
            </w:r>
          </w:p>
        </w:tc>
        <w:tc>
          <w:tcPr>
            <w:tcW w:w="2832" w:type="dxa"/>
            <w:tcBorders>
              <w:top w:val="single" w:sz="4" w:space="0" w:color="000000"/>
              <w:start w:val="single" w:sz="4" w:space="0" w:color="000000"/>
              <w:bottom w:val="single" w:sz="8" w:space="0" w:color="000000"/>
              <w:end w:val="single" w:sz="4" w:space="0" w:color="000000"/>
            </w:tcBorders>
            <w:shd w:fill="BFBFBF" w:val="clear"/>
            <w:vAlign w:val="center"/>
          </w:tcPr>
          <w:p>
            <w:pPr>
              <w:pStyle w:val="Normal"/>
              <w:widowControl/>
              <w:jc w:val="start"/>
              <w:rPr>
                <w:rFonts w:ascii="宋体;SimSun" w:hAnsi="宋体;SimSun" w:eastAsia="宋体;SimSun"/>
                <w:b/>
                <w:bCs/>
                <w:color w:val="000000"/>
                <w:kern w:val="0"/>
                <w:sz w:val="18"/>
                <w:szCs w:val="18"/>
              </w:rPr>
            </w:pPr>
            <w:r>
              <w:rPr>
                <w:rFonts w:ascii="宋体;SimSun" w:hAnsi="宋体;SimSun" w:eastAsia="宋体;SimSun"/>
                <w:b/>
                <w:bCs/>
                <w:color w:val="000000"/>
                <w:kern w:val="0"/>
                <w:sz w:val="18"/>
                <w:szCs w:val="18"/>
              </w:rPr>
              <w:t>评估总价（元）</w:t>
            </w:r>
          </w:p>
        </w:tc>
        <w:tc>
          <w:tcPr>
            <w:tcW w:w="1272" w:type="dxa"/>
            <w:tcBorders>
              <w:top w:val="single" w:sz="4" w:space="0" w:color="000000"/>
              <w:start w:val="single" w:sz="4" w:space="0" w:color="000000"/>
              <w:bottom w:val="single" w:sz="8" w:space="0" w:color="000000"/>
              <w:end w:val="single" w:sz="4" w:space="0" w:color="000000"/>
            </w:tcBorders>
            <w:vAlign w:val="center"/>
          </w:tcPr>
          <w:p>
            <w:pPr>
              <w:pStyle w:val="Normal"/>
              <w:widowControl/>
              <w:jc w:val="center"/>
              <w:rPr>
                <w:rFonts w:ascii="宋体;SimSun" w:hAnsi="宋体;SimSun" w:eastAsia="宋体;SimSun"/>
                <w:color w:val="000000"/>
                <w:kern w:val="0"/>
                <w:sz w:val="18"/>
                <w:szCs w:val="18"/>
              </w:rPr>
            </w:pPr>
            <w:r>
              <w:rPr>
                <w:rFonts w:eastAsia="宋体;SimSun" w:ascii="宋体;SimSun" w:hAnsi="宋体;SimSun"/>
                <w:color w:val="000000"/>
                <w:kern w:val="0"/>
                <w:sz w:val="18"/>
                <w:szCs w:val="18"/>
              </w:rPr>
              <w:t xml:space="preserve">614,376.00 </w:t>
            </w:r>
          </w:p>
        </w:tc>
        <w:tc>
          <w:tcPr>
            <w:tcW w:w="3636" w:type="dxa"/>
            <w:tcBorders>
              <w:top w:val="single" w:sz="4" w:space="0" w:color="000000"/>
              <w:start w:val="single" w:sz="4" w:space="0" w:color="000000"/>
              <w:bottom w:val="single" w:sz="8" w:space="0" w:color="000000"/>
              <w:end w:val="single" w:sz="4" w:space="0" w:color="000000"/>
            </w:tcBorders>
            <w:vAlign w:val="center"/>
          </w:tcPr>
          <w:p>
            <w:pPr>
              <w:pStyle w:val="Normal"/>
              <w:widowControl/>
              <w:jc w:val="start"/>
              <w:rPr>
                <w:rFonts w:ascii="宋体;SimSun" w:hAnsi="宋体;SimSun" w:eastAsia="宋体;SimSun"/>
                <w:color w:val="000000"/>
                <w:kern w:val="0"/>
                <w:sz w:val="18"/>
                <w:szCs w:val="18"/>
              </w:rPr>
            </w:pPr>
            <w:r>
              <w:rPr>
                <w:rFonts w:eastAsia="宋体;SimSun" w:ascii="宋体;SimSun" w:hAnsi="宋体;SimSun"/>
                <w:color w:val="000000"/>
                <w:kern w:val="0"/>
                <w:sz w:val="18"/>
                <w:szCs w:val="18"/>
              </w:rPr>
              <w:t>6900×{{建筑面积}}÷10000</w:t>
            </w:r>
            <w:r>
              <w:rPr>
                <w:rFonts w:ascii="宋体;SimSun" w:hAnsi="宋体;SimSun" w:eastAsia="宋体;SimSun"/>
                <w:color w:val="000000"/>
                <w:kern w:val="0"/>
                <w:sz w:val="18"/>
                <w:szCs w:val="18"/>
              </w:rPr>
              <w:t>＝</w:t>
            </w:r>
            <w:r>
              <w:rPr>
                <w:rFonts w:eastAsia="宋体;SimSun" w:ascii="宋体;SimSun" w:hAnsi="宋体;SimSun"/>
                <w:color w:val="000000"/>
                <w:kern w:val="0"/>
                <w:sz w:val="18"/>
                <w:szCs w:val="18"/>
              </w:rPr>
              <w:t>614376</w:t>
            </w:r>
            <w:r>
              <w:rPr>
                <w:rFonts w:ascii="宋体;SimSun" w:hAnsi="宋体;SimSun" w:eastAsia="宋体;SimSun"/>
                <w:color w:val="000000"/>
                <w:kern w:val="0"/>
                <w:sz w:val="18"/>
                <w:szCs w:val="18"/>
              </w:rPr>
              <w:t>元</w:t>
            </w:r>
          </w:p>
        </w:tc>
      </w:tr>
    </w:tbl>
    <w:p>
      <w:pPr>
        <w:pStyle w:val="Normal"/>
        <w:snapToGrid w:val="false"/>
        <w:spacing w:lineRule="auto" w:line="360"/>
        <w:ind w:firstLine="560" w:end="0"/>
        <w:textAlignment w:val="bottom"/>
        <w:rPr/>
      </w:pPr>
      <w:r>
        <w:rPr/>
        <w:t>估价对象采用收益法测算的收益价值为61万元。</w:t>
      </w:r>
    </w:p>
    <w:p>
      <w:pPr>
        <w:pStyle w:val="Heading2"/>
        <w:keepNext w:val="true"/>
        <w:keepLines/>
        <w:spacing w:before="156" w:after="156"/>
        <w:ind w:hanging="0" w:start="0"/>
        <w:jc w:val="both"/>
        <w:rPr>
          <w:rFonts w:ascii="仿宋_GB2312" w:hAnsi="仿宋_GB2312" w:eastAsia="仿宋_GB2312" w:cs="宋体;SimSun"/>
          <w:kern w:val="2"/>
          <w:sz w:val="28"/>
        </w:rPr>
      </w:pPr>
      <w:bookmarkStart w:id="28" w:name="__RefHeading___Toc208393273"/>
      <w:r>
        <w:rPr>
          <w:rFonts w:ascii="仿宋_GB2312" w:hAnsi="仿宋_GB2312" w:cs="宋体;SimSun" w:eastAsia="仿宋_GB2312"/>
          <w:kern w:val="2"/>
          <w:sz w:val="28"/>
        </w:rPr>
        <w:t>八、估价结果确定</w:t>
      </w:r>
      <w:bookmarkEnd w:id="28"/>
      <w:r>
        <w:rPr>
          <w:rFonts w:ascii="仿宋_GB2312" w:hAnsi="仿宋_GB2312" w:cs="宋体;SimSun" w:eastAsia="仿宋_GB2312"/>
          <w:kern w:val="2"/>
          <w:sz w:val="28"/>
        </w:rPr>
        <w:t xml:space="preserve"> </w:t>
      </w:r>
    </w:p>
    <w:p>
      <w:pPr>
        <w:pStyle w:val="Normal"/>
        <w:autoSpaceDE w:val="false"/>
        <w:snapToGrid w:val="false"/>
        <w:spacing w:lineRule="auto" w:line="360"/>
        <w:ind w:firstLine="560" w:end="0"/>
        <w:textAlignment w:val="bottom"/>
        <w:rPr/>
      </w:pPr>
      <w:r>
        <w:rPr/>
        <w:t>1、估价结果确定</w:t>
      </w:r>
    </w:p>
    <w:p>
      <w:pPr>
        <w:pStyle w:val="Normal"/>
        <w:snapToGrid w:val="false"/>
        <w:spacing w:lineRule="auto" w:line="360"/>
        <w:ind w:firstLine="560" w:end="0"/>
        <w:rPr>
          <w:rFonts w:cs="仿宋_GB2312"/>
          <w:szCs w:val="28"/>
          <w:lang w:val="zh-CN"/>
        </w:rPr>
      </w:pPr>
      <w:r>
        <w:rPr>
          <w:rFonts w:cs="仿宋_GB2312"/>
          <w:szCs w:val="28"/>
          <w:lang w:val="zh-CN"/>
        </w:rPr>
        <w:t>运用比较法测算的估价结果为{{评估总价}}，运用收益法测算的估价结果为61万元，上述两种方法得出的结果相差较大。</w:t>
      </w:r>
    </w:p>
    <w:p>
      <w:pPr>
        <w:pStyle w:val="Normal"/>
        <w:snapToGrid w:val="false"/>
        <w:spacing w:lineRule="auto" w:line="360"/>
        <w:ind w:firstLine="560" w:end="0"/>
        <w:rPr>
          <w:rFonts w:cs="仿宋_GB2312"/>
          <w:szCs w:val="28"/>
          <w:lang w:val="zh-CN"/>
        </w:rPr>
      </w:pPr>
      <w:r>
        <w:rPr>
          <w:rFonts w:cs="仿宋_GB2312"/>
          <w:szCs w:val="28"/>
          <w:lang w:val="zh-CN"/>
        </w:rPr>
        <w:t>比较法是选取一定数量的可比实例，将它们与估价对象进行比较，根据其间的差异对可比实例成交价格进行处理后得到估价对象价值或价格的方法。根据估价人员对估价对象所在区域的二手房市场的调查了解，估价对象类似房地产近期成交实例较多，以比较法测算的估价结果能客观反映估价对象当前市场价格。</w:t>
      </w:r>
    </w:p>
    <w:p>
      <w:pPr>
        <w:pStyle w:val="Normal"/>
        <w:snapToGrid w:val="false"/>
        <w:spacing w:lineRule="auto" w:line="360"/>
        <w:ind w:firstLine="560" w:end="0"/>
        <w:rPr>
          <w:rFonts w:cs="仿宋_GB2312"/>
          <w:szCs w:val="28"/>
          <w:lang w:val="zh-CN"/>
        </w:rPr>
      </w:pPr>
      <w:r>
        <w:rPr>
          <w:rFonts w:cs="仿宋_GB2312"/>
          <w:szCs w:val="28"/>
          <w:lang w:val="zh-CN"/>
        </w:rPr>
        <w:t>收益法则是房地产估价师通过对估价对象价值时点的客观租金水平分析，根据预期原理，预测估价对象未来的净收益能力（包括租金水平、租金变化趋势和出租成本），并选用价值时点时适当的报酬率将估价对象未来每年的净收益折现到价值时点后累加，以此估算得出估价对象的收益价格。根据估价人员对估价对象所在区域租赁市场行情的调查了解，估价对象所在区域和类似区域普遍存在租售比偏低的现象，即使运用无风险报酬率测算，仍与市场价格偏差很大。同时，估价对象未来的年租金水平、年租金变化趋势、出租成本均存在较大的不确定性，理论上是可通过收益模型进行预测得出的，但实际情况往往有所偏差，使得运用收益法评估所得的估价结果不能完全体现估价对象的真实市场价格。</w:t>
      </w:r>
    </w:p>
    <w:p>
      <w:pPr>
        <w:pStyle w:val="Normal"/>
        <w:snapToGrid w:val="false"/>
        <w:spacing w:lineRule="auto" w:line="360"/>
        <w:ind w:firstLine="560" w:end="0"/>
        <w:rPr>
          <w:rFonts w:cs="仿宋_GB2312"/>
          <w:szCs w:val="28"/>
          <w:lang w:val="zh-CN"/>
        </w:rPr>
      </w:pPr>
      <w:r>
        <w:rPr>
          <w:rFonts w:cs="仿宋_GB2312"/>
          <w:szCs w:val="28"/>
          <w:lang w:val="zh-CN"/>
        </w:rPr>
        <w:t>综上分析，并考虑估价对象的用途和实际情况，以及估价目的，本次估价最终运用比较法测算的估价结果作为最终估价结果。即：</w:t>
      </w:r>
    </w:p>
    <w:p>
      <w:pPr>
        <w:pStyle w:val="Normal"/>
        <w:snapToGrid w:val="false"/>
        <w:spacing w:lineRule="auto" w:line="360"/>
        <w:ind w:firstLine="560" w:end="0"/>
        <w:rPr/>
      </w:pPr>
      <w:r>
        <w:rPr>
          <w:rFonts w:cs="仿宋_GB2312"/>
          <w:szCs w:val="28"/>
          <w:lang w:val="zh-CN"/>
        </w:rPr>
        <w:t>房地产总价为{{评估总价}}</w:t>
      </w:r>
    </w:p>
    <w:p>
      <w:pPr>
        <w:pStyle w:val="Normal"/>
        <w:autoSpaceDE w:val="false"/>
        <w:snapToGrid w:val="false"/>
        <w:spacing w:lineRule="auto" w:line="360"/>
        <w:ind w:firstLine="560" w:end="0"/>
        <w:textAlignment w:val="bottom"/>
        <w:rPr/>
      </w:pPr>
      <w:r>
        <w:rPr/>
        <w:t>房地产总价取整后的修正单价=估价对象取整后的房地产总价÷估价对象证载建筑面积={{评估总价}}÷{{建筑面积}}平方米={{评估单价}}（取整）</w:t>
      </w:r>
    </w:p>
    <w:p>
      <w:pPr>
        <w:pStyle w:val="Normal"/>
        <w:autoSpaceDE w:val="false"/>
        <w:snapToGrid w:val="false"/>
        <w:spacing w:lineRule="auto" w:line="360"/>
        <w:ind w:firstLine="560" w:end="0"/>
        <w:textAlignment w:val="bottom"/>
        <w:rPr/>
      </w:pPr>
      <w:r>
        <w:rPr/>
        <w:t>2、估价结果</w:t>
      </w:r>
    </w:p>
    <w:p>
      <w:pPr>
        <w:sectPr>
          <w:headerReference w:type="default" r:id="rId31"/>
          <w:headerReference w:type="first" r:id="rId32"/>
          <w:footerReference w:type="default" r:id="rId33"/>
          <w:footerReference w:type="first" r:id="rId34"/>
          <w:type w:val="nextPage"/>
          <w:pgSz w:w="11906" w:h="16838"/>
          <w:pgMar w:left="1588" w:right="1134" w:gutter="340" w:header="851" w:top="1440" w:footer="992" w:bottom="1440"/>
          <w:pgNumType w:fmt="decimal"/>
          <w:formProt w:val="false"/>
          <w:titlePg/>
          <w:textDirection w:val="lrTb"/>
          <w:docGrid w:type="lines" w:linePitch="312" w:charSpace="0"/>
        </w:sectPr>
        <w:pStyle w:val="Normal"/>
        <w:autoSpaceDE w:val="false"/>
        <w:snapToGrid w:val="false"/>
        <w:spacing w:lineRule="auto" w:line="360"/>
        <w:ind w:firstLine="560" w:end="0"/>
        <w:textAlignment w:val="bottom"/>
        <w:rPr/>
      </w:pPr>
      <w:r>
        <w:rPr/>
        <w:t>根据估价人员综合评估，确定估价对象房</w:t>
      </w:r>
      <w:r>
        <w:rPr>
          <w:rStyle w:val="s2"/>
        </w:rPr>
        <w:t>地产</w:t>
      </w:r>
      <w:r>
        <w:rPr/>
        <w:t>在价值时点（</w:t>
      </w:r>
      <w:r>
        <w:rPr>
          <w:rStyle w:val="r5"/>
        </w:rPr>
        <w:t>{{价值时点}}</w:t>
      </w:r>
      <w:r>
        <w:rPr/>
        <w:t>）的市场价格为</w:t>
      </w:r>
      <w:r>
        <w:rPr>
          <w:b/>
        </w:rPr>
        <w:t>人民币{{评估总价}}（含室内固定装修价值），大写为{{评估总价大写}}；单价为{{评估单价}}，大写为每平方米{{评估单价大写}}</w:t>
      </w:r>
      <w:r>
        <w:rPr>
          <w:szCs w:val="28"/>
        </w:rPr>
        <w:t>。</w:t>
      </w:r>
    </w:p>
    <w:p>
      <w:pPr>
        <w:pStyle w:val="Heading1"/>
        <w:spacing w:lineRule="auto" w:line="360" w:before="156" w:after="156"/>
        <w:ind w:hanging="0" w:start="0"/>
        <w:jc w:val="center"/>
        <w:rPr>
          <w:rFonts w:eastAsia="仿宋_GB2312"/>
          <w:sz w:val="32"/>
          <w:szCs w:val="32"/>
        </w:rPr>
      </w:pPr>
      <w:bookmarkStart w:id="29" w:name="__RefHeading___Toc208393274"/>
      <w:bookmarkEnd w:id="29"/>
      <w:r>
        <w:rPr>
          <w:rFonts w:eastAsia="仿宋_GB2312"/>
          <w:sz w:val="32"/>
          <w:szCs w:val="32"/>
        </w:rPr>
        <w:t>第五部分</w:t>
      </w:r>
      <w:r>
        <w:rPr>
          <w:rFonts w:eastAsia="Times New Roman"/>
          <w:sz w:val="32"/>
          <w:szCs w:val="32"/>
        </w:rPr>
        <w:t xml:space="preserve">  </w:t>
      </w:r>
      <w:r>
        <w:rPr>
          <w:rFonts w:eastAsia="仿宋_GB2312"/>
          <w:sz w:val="32"/>
          <w:szCs w:val="32"/>
        </w:rPr>
        <w:t>附件</w:t>
      </w:r>
    </w:p>
    <w:p>
      <w:pPr>
        <w:pStyle w:val="Normal"/>
        <w:numPr>
          <w:ilvl w:val="0"/>
          <w:numId w:val="2"/>
        </w:numPr>
        <w:spacing w:lineRule="exact" w:line="500"/>
        <w:textAlignment w:val="bottom"/>
        <w:outlineLvl w:val="2"/>
        <w:rPr>
          <w:szCs w:val="20"/>
        </w:rPr>
      </w:pPr>
      <w:bookmarkStart w:id="30" w:name="__RefHeading___Toc208393275"/>
      <w:bookmarkEnd w:id="30"/>
      <w:r>
        <w:rPr>
          <w:szCs w:val="20"/>
        </w:rPr>
        <w:t>《{{委托人}}资产评估委托书》（复印件）</w:t>
      </w:r>
    </w:p>
    <w:p>
      <w:pPr>
        <w:pStyle w:val="Normal"/>
        <w:numPr>
          <w:ilvl w:val="0"/>
          <w:numId w:val="2"/>
        </w:numPr>
        <w:spacing w:lineRule="exact" w:line="500"/>
        <w:textAlignment w:val="bottom"/>
        <w:outlineLvl w:val="2"/>
        <w:rPr>
          <w:szCs w:val="20"/>
        </w:rPr>
      </w:pPr>
      <w:bookmarkStart w:id="31" w:name="__RefHeading___Toc208393276"/>
      <w:bookmarkEnd w:id="31"/>
      <w:r>
        <w:rPr/>
        <w:t>《杭州市不动产登记信息查询记录》</w:t>
      </w:r>
      <w:r>
        <w:rPr>
          <w:szCs w:val="20"/>
        </w:rPr>
        <w:t>（复印件）</w:t>
      </w:r>
    </w:p>
    <w:p>
      <w:pPr>
        <w:pStyle w:val="Normal"/>
        <w:numPr>
          <w:ilvl w:val="0"/>
          <w:numId w:val="2"/>
        </w:numPr>
        <w:spacing w:lineRule="exact" w:line="500"/>
        <w:textAlignment w:val="bottom"/>
        <w:outlineLvl w:val="2"/>
        <w:rPr>
          <w:szCs w:val="20"/>
        </w:rPr>
      </w:pPr>
      <w:bookmarkStart w:id="32" w:name="__RefHeading___Toc208393277"/>
      <w:bookmarkEnd w:id="32"/>
      <w:r>
        <w:rPr>
          <w:szCs w:val="20"/>
        </w:rPr>
        <w:t>估价对象位置图</w:t>
      </w:r>
    </w:p>
    <w:p>
      <w:pPr>
        <w:pStyle w:val="Normal"/>
        <w:numPr>
          <w:ilvl w:val="0"/>
          <w:numId w:val="2"/>
        </w:numPr>
        <w:spacing w:lineRule="exact" w:line="500"/>
        <w:textAlignment w:val="bottom"/>
        <w:outlineLvl w:val="2"/>
        <w:rPr>
          <w:szCs w:val="20"/>
        </w:rPr>
      </w:pPr>
      <w:bookmarkStart w:id="33" w:name="__RefHeading___Toc208393278"/>
      <w:bookmarkEnd w:id="33"/>
      <w:r>
        <w:rPr>
          <w:szCs w:val="20"/>
        </w:rPr>
        <w:t>估价对象实地查勘情况和实景照片</w:t>
      </w:r>
    </w:p>
    <w:p>
      <w:pPr>
        <w:pStyle w:val="Normal"/>
        <w:numPr>
          <w:ilvl w:val="0"/>
          <w:numId w:val="2"/>
        </w:numPr>
        <w:spacing w:lineRule="exact" w:line="500"/>
        <w:textAlignment w:val="bottom"/>
        <w:outlineLvl w:val="2"/>
        <w:rPr>
          <w:szCs w:val="20"/>
        </w:rPr>
      </w:pPr>
      <w:bookmarkStart w:id="34" w:name="__RefHeading___Toc208393279"/>
      <w:bookmarkEnd w:id="34"/>
      <w:r>
        <w:rPr>
          <w:szCs w:val="20"/>
        </w:rPr>
        <w:t>交易税费明细表</w:t>
      </w:r>
    </w:p>
    <w:p>
      <w:pPr>
        <w:pStyle w:val="Normal"/>
        <w:numPr>
          <w:ilvl w:val="0"/>
          <w:numId w:val="2"/>
        </w:numPr>
        <w:spacing w:lineRule="exact" w:line="500"/>
        <w:textAlignment w:val="bottom"/>
        <w:outlineLvl w:val="2"/>
        <w:rPr>
          <w:szCs w:val="20"/>
        </w:rPr>
      </w:pPr>
      <w:bookmarkStart w:id="35" w:name="__RefHeading___Toc208393280"/>
      <w:bookmarkEnd w:id="35"/>
      <w:r>
        <w:rPr>
          <w:szCs w:val="20"/>
        </w:rPr>
        <w:t>房地产估价机构营业执照（副本复印件）</w:t>
      </w:r>
    </w:p>
    <w:p>
      <w:pPr>
        <w:pStyle w:val="Normal"/>
        <w:numPr>
          <w:ilvl w:val="0"/>
          <w:numId w:val="2"/>
        </w:numPr>
        <w:spacing w:lineRule="exact" w:line="500"/>
        <w:textAlignment w:val="bottom"/>
        <w:outlineLvl w:val="2"/>
        <w:rPr>
          <w:szCs w:val="20"/>
        </w:rPr>
      </w:pPr>
      <w:bookmarkStart w:id="36" w:name="__RefHeading___Toc208393281"/>
      <w:bookmarkEnd w:id="36"/>
      <w:r>
        <w:rPr>
          <w:szCs w:val="20"/>
        </w:rPr>
        <w:t>房地产估价机构估价资质证书（复印件）</w:t>
      </w:r>
    </w:p>
    <w:p>
      <w:pPr>
        <w:pStyle w:val="Normal"/>
        <w:numPr>
          <w:ilvl w:val="0"/>
          <w:numId w:val="2"/>
        </w:numPr>
        <w:spacing w:lineRule="exact" w:line="500"/>
        <w:textAlignment w:val="bottom"/>
        <w:outlineLvl w:val="2"/>
        <w:rPr>
          <w:szCs w:val="20"/>
        </w:rPr>
      </w:pPr>
      <w:bookmarkStart w:id="37" w:name="__RefHeading___Toc208393282"/>
      <w:bookmarkEnd w:id="37"/>
      <w:r>
        <w:rPr/>
        <w:t>注册房地产估价师估价资格证书（复印件）</w:t>
      </w:r>
    </w:p>
    <w:p>
      <w:pPr>
        <w:sectPr>
          <w:headerReference w:type="default" r:id="rId35"/>
          <w:headerReference w:type="first" r:id="rId36"/>
          <w:footerReference w:type="default" r:id="rId37"/>
          <w:footerReference w:type="first" r:id="rId38"/>
          <w:type w:val="nextPage"/>
          <w:pgSz w:w="11906" w:h="16838"/>
          <w:pgMar w:left="1588" w:right="1134" w:gutter="340" w:header="851" w:top="1440" w:footer="992" w:bottom="1440"/>
          <w:pgNumType w:fmt="decimal"/>
          <w:formProt w:val="false"/>
          <w:titlePg/>
          <w:textDirection w:val="lrTb"/>
          <w:docGrid w:type="lines" w:linePitch="312" w:charSpace="0"/>
        </w:sectPr>
        <w:pStyle w:val="Normal"/>
        <w:numPr>
          <w:ilvl w:val="0"/>
          <w:numId w:val="2"/>
        </w:numPr>
        <w:spacing w:lineRule="exact" w:line="500"/>
        <w:textAlignment w:val="bottom"/>
        <w:outlineLvl w:val="2"/>
        <w:rPr/>
      </w:pPr>
      <w:bookmarkStart w:id="38" w:name="__RefHeading___Toc208393283"/>
      <w:bookmarkEnd w:id="38"/>
      <w:r>
        <w:rPr>
          <w:szCs w:val="20"/>
        </w:rPr>
        <w:t>其他相关资料（复印件）</w:t>
      </w:r>
    </w:p>
    <w:tbl>
      <w:tblPr>
        <w:tblW w:w="9985" w:type="dxa"/>
        <w:jc w:val="center"/>
        <w:tblInd w:w="0" w:type="dxa"/>
        <w:tblLayout w:type="fixed"/>
        <w:tblCellMar>
          <w:top w:w="0" w:type="dxa"/>
          <w:start w:w="108" w:type="dxa"/>
          <w:bottom w:w="0" w:type="dxa"/>
          <w:end w:w="108" w:type="dxa"/>
        </w:tblCellMar>
      </w:tblPr>
      <w:tblGrid>
        <w:gridCol w:w="2160"/>
        <w:gridCol w:w="1260"/>
        <w:gridCol w:w="2100"/>
        <w:gridCol w:w="600"/>
        <w:gridCol w:w="1099"/>
        <w:gridCol w:w="2766"/>
      </w:tblGrid>
      <w:tr>
        <w:trPr>
          <w:trHeight w:val="465" w:hRule="atLeast"/>
        </w:trPr>
        <w:tc>
          <w:tcPr>
            <w:tcW w:w="9985" w:type="dxa"/>
            <w:gridSpan w:val="6"/>
            <w:tcBorders>
              <w:bottom w:val="single" w:sz="8" w:space="0" w:color="000000"/>
            </w:tcBorders>
            <w:vAlign w:val="bottom"/>
          </w:tcPr>
          <w:p>
            <w:pPr>
              <w:pStyle w:val="Normal"/>
              <w:widowControl/>
              <w:jc w:val="center"/>
              <w:rPr>
                <w:rFonts w:ascii="宋体;SimSun" w:hAnsi="宋体;SimSun"/>
                <w:b/>
                <w:bCs/>
                <w:kern w:val="0"/>
                <w:sz w:val="36"/>
                <w:szCs w:val="36"/>
              </w:rPr>
            </w:pPr>
            <w:r>
              <w:rPr>
                <w:rFonts w:ascii="宋体;SimSun" w:hAnsi="宋体;SimSun"/>
                <w:b/>
                <w:bCs/>
                <w:kern w:val="0"/>
                <w:sz w:val="36"/>
                <w:szCs w:val="36"/>
              </w:rPr>
              <w:t>房地产评估结果审批表</w:t>
            </w:r>
          </w:p>
        </w:tc>
      </w:tr>
      <w:tr>
        <w:trPr>
          <w:trHeight w:val="420" w:hRule="atLeast"/>
        </w:trPr>
        <w:tc>
          <w:tcPr>
            <w:tcW w:w="2160" w:type="dxa"/>
            <w:tcBorders>
              <w:start w:val="single" w:sz="8" w:space="0" w:color="000000"/>
              <w:bottom w:val="single" w:sz="8" w:space="0" w:color="000000"/>
              <w:end w:val="single" w:sz="8" w:space="0" w:color="000000"/>
            </w:tcBorders>
            <w:shd w:fill="C0C0C0" w:val="clear"/>
            <w:vAlign w:val="bottom"/>
          </w:tcPr>
          <w:p>
            <w:pPr>
              <w:pStyle w:val="Normal"/>
              <w:widowControl/>
              <w:jc w:val="start"/>
              <w:rPr>
                <w:rFonts w:ascii="宋体;SimSun" w:hAnsi="宋体;SimSun"/>
                <w:b/>
                <w:bCs/>
                <w:kern w:val="0"/>
                <w:sz w:val="22"/>
                <w:szCs w:val="22"/>
              </w:rPr>
            </w:pPr>
            <w:r>
              <w:rPr>
                <w:rFonts w:ascii="宋体;SimSun" w:hAnsi="宋体;SimSun"/>
                <w:b/>
                <w:bCs/>
                <w:kern w:val="0"/>
                <w:sz w:val="22"/>
                <w:szCs w:val="22"/>
              </w:rPr>
              <w:t>委托人</w:t>
            </w:r>
          </w:p>
        </w:tc>
        <w:tc>
          <w:tcPr>
            <w:tcW w:w="7825" w:type="dxa"/>
            <w:gridSpan w:val="5"/>
            <w:tcBorders>
              <w:top w:val="single" w:sz="8" w:space="0" w:color="000000"/>
              <w:bottom w:val="single" w:sz="8" w:space="0" w:color="000000"/>
              <w:end w:val="single" w:sz="8" w:space="0" w:color="000000"/>
            </w:tcBorders>
            <w:vAlign w:val="bottom"/>
          </w:tcPr>
          <w:p>
            <w:pPr>
              <w:pStyle w:val="Normal"/>
              <w:widowControl/>
              <w:jc w:val="center"/>
              <w:rPr>
                <w:kern w:val="0"/>
                <w:sz w:val="24"/>
              </w:rPr>
            </w:pPr>
            <w:r>
              <w:rPr>
                <w:kern w:val="0"/>
                <w:sz w:val="24"/>
              </w:rPr>
              <w:t>{{委托人}}</w:t>
            </w:r>
          </w:p>
        </w:tc>
      </w:tr>
      <w:tr>
        <w:trPr>
          <w:trHeight w:val="420" w:hRule="atLeast"/>
        </w:trPr>
        <w:tc>
          <w:tcPr>
            <w:tcW w:w="2160" w:type="dxa"/>
            <w:tcBorders>
              <w:start w:val="single" w:sz="8" w:space="0" w:color="000000"/>
              <w:bottom w:val="single" w:sz="8" w:space="0" w:color="000000"/>
              <w:end w:val="single" w:sz="8" w:space="0" w:color="000000"/>
            </w:tcBorders>
            <w:shd w:fill="C0C0C0" w:val="clear"/>
            <w:vAlign w:val="bottom"/>
          </w:tcPr>
          <w:p>
            <w:pPr>
              <w:pStyle w:val="Normal"/>
              <w:widowControl/>
              <w:jc w:val="start"/>
              <w:rPr>
                <w:rFonts w:ascii="宋体;SimSun" w:hAnsi="宋体;SimSun"/>
                <w:b/>
                <w:bCs/>
                <w:kern w:val="0"/>
                <w:sz w:val="22"/>
                <w:szCs w:val="22"/>
              </w:rPr>
            </w:pPr>
            <w:r>
              <w:rPr>
                <w:rFonts w:ascii="宋体;SimSun" w:hAnsi="宋体;SimSun"/>
                <w:b/>
                <w:bCs/>
                <w:kern w:val="0"/>
                <w:sz w:val="22"/>
                <w:szCs w:val="22"/>
              </w:rPr>
              <w:t>产权人</w:t>
            </w:r>
          </w:p>
        </w:tc>
        <w:tc>
          <w:tcPr>
            <w:tcW w:w="7825" w:type="dxa"/>
            <w:gridSpan w:val="5"/>
            <w:tcBorders>
              <w:top w:val="single" w:sz="8" w:space="0" w:color="000000"/>
              <w:bottom w:val="single" w:sz="8" w:space="0" w:color="000000"/>
              <w:end w:val="single" w:sz="8" w:space="0" w:color="000000"/>
            </w:tcBorders>
            <w:vAlign w:val="bottom"/>
          </w:tcPr>
          <w:p>
            <w:pPr>
              <w:pStyle w:val="Normal"/>
              <w:widowControl/>
              <w:jc w:val="center"/>
              <w:rPr>
                <w:kern w:val="0"/>
                <w:sz w:val="24"/>
              </w:rPr>
            </w:pPr>
            <w:r>
              <w:rPr>
                <w:kern w:val="0"/>
                <w:sz w:val="24"/>
              </w:rPr>
              <w:t>{{权属人}}</w:t>
            </w:r>
          </w:p>
        </w:tc>
      </w:tr>
      <w:tr>
        <w:trPr>
          <w:trHeight w:val="420" w:hRule="atLeast"/>
        </w:trPr>
        <w:tc>
          <w:tcPr>
            <w:tcW w:w="2160" w:type="dxa"/>
            <w:tcBorders>
              <w:start w:val="single" w:sz="8" w:space="0" w:color="000000"/>
              <w:bottom w:val="single" w:sz="8" w:space="0" w:color="000000"/>
              <w:end w:val="single" w:sz="8" w:space="0" w:color="000000"/>
            </w:tcBorders>
            <w:shd w:fill="C0C0C0" w:val="clear"/>
            <w:vAlign w:val="bottom"/>
          </w:tcPr>
          <w:p>
            <w:pPr>
              <w:pStyle w:val="Normal"/>
              <w:widowControl/>
              <w:jc w:val="start"/>
              <w:rPr>
                <w:rFonts w:ascii="宋体;SimSun" w:hAnsi="宋体;SimSun"/>
                <w:b/>
                <w:bCs/>
                <w:kern w:val="0"/>
                <w:sz w:val="22"/>
                <w:szCs w:val="22"/>
              </w:rPr>
            </w:pPr>
            <w:r>
              <w:rPr>
                <w:rFonts w:ascii="宋体;SimSun" w:hAnsi="宋体;SimSun"/>
                <w:b/>
                <w:bCs/>
                <w:kern w:val="0"/>
                <w:sz w:val="22"/>
                <w:szCs w:val="22"/>
              </w:rPr>
              <w:t>房地产座落地址</w:t>
            </w:r>
          </w:p>
        </w:tc>
        <w:tc>
          <w:tcPr>
            <w:tcW w:w="7825" w:type="dxa"/>
            <w:gridSpan w:val="5"/>
            <w:tcBorders>
              <w:top w:val="single" w:sz="8" w:space="0" w:color="000000"/>
              <w:bottom w:val="single" w:sz="8" w:space="0" w:color="000000"/>
              <w:end w:val="single" w:sz="8" w:space="0" w:color="000000"/>
            </w:tcBorders>
            <w:vAlign w:val="bottom"/>
          </w:tcPr>
          <w:p>
            <w:pPr>
              <w:pStyle w:val="Normal"/>
              <w:widowControl/>
              <w:jc w:val="center"/>
              <w:rPr>
                <w:kern w:val="0"/>
                <w:sz w:val="24"/>
              </w:rPr>
            </w:pPr>
            <w:r>
              <w:rPr>
                <w:kern w:val="0"/>
                <w:sz w:val="24"/>
              </w:rPr>
              <w:t>{{房产地址}}</w:t>
            </w:r>
          </w:p>
        </w:tc>
      </w:tr>
      <w:tr>
        <w:trPr>
          <w:trHeight w:val="420" w:hRule="atLeast"/>
        </w:trPr>
        <w:tc>
          <w:tcPr>
            <w:tcW w:w="2160" w:type="dxa"/>
            <w:tcBorders>
              <w:start w:val="single" w:sz="8" w:space="0" w:color="000000"/>
              <w:bottom w:val="single" w:sz="8" w:space="0" w:color="000000"/>
              <w:end w:val="single" w:sz="8" w:space="0" w:color="000000"/>
            </w:tcBorders>
            <w:shd w:fill="C0C0C0" w:val="clear"/>
            <w:vAlign w:val="bottom"/>
          </w:tcPr>
          <w:p>
            <w:pPr>
              <w:pStyle w:val="Normal"/>
              <w:widowControl/>
              <w:jc w:val="start"/>
              <w:rPr>
                <w:rFonts w:ascii="宋体;SimSun" w:hAnsi="宋体;SimSun"/>
                <w:b/>
                <w:bCs/>
                <w:kern w:val="0"/>
                <w:sz w:val="22"/>
                <w:szCs w:val="22"/>
              </w:rPr>
            </w:pPr>
            <w:r>
              <w:rPr>
                <w:rFonts w:ascii="宋体;SimSun" w:hAnsi="宋体;SimSun"/>
                <w:b/>
                <w:bCs/>
                <w:kern w:val="0"/>
                <w:sz w:val="22"/>
                <w:szCs w:val="22"/>
              </w:rPr>
              <w:t>价值时点</w:t>
            </w:r>
          </w:p>
        </w:tc>
        <w:tc>
          <w:tcPr>
            <w:tcW w:w="7825" w:type="dxa"/>
            <w:gridSpan w:val="5"/>
            <w:tcBorders>
              <w:top w:val="single" w:sz="8" w:space="0" w:color="000000"/>
              <w:bottom w:val="single" w:sz="8" w:space="0" w:color="000000"/>
              <w:end w:val="single" w:sz="8" w:space="0" w:color="000000"/>
            </w:tcBorders>
            <w:vAlign w:val="bottom"/>
          </w:tcPr>
          <w:p>
            <w:pPr>
              <w:pStyle w:val="Normal"/>
              <w:widowControl/>
              <w:jc w:val="center"/>
              <w:rPr>
                <w:kern w:val="0"/>
                <w:sz w:val="24"/>
              </w:rPr>
            </w:pPr>
            <w:r>
              <w:rPr>
                <w:kern w:val="0"/>
                <w:sz w:val="24"/>
              </w:rPr>
              <w:t>{{价值时点}}</w:t>
            </w:r>
          </w:p>
        </w:tc>
      </w:tr>
      <w:tr>
        <w:trPr>
          <w:trHeight w:val="420" w:hRule="atLeast"/>
        </w:trPr>
        <w:tc>
          <w:tcPr>
            <w:tcW w:w="2160" w:type="dxa"/>
            <w:tcBorders>
              <w:start w:val="single" w:sz="8" w:space="0" w:color="000000"/>
              <w:bottom w:val="single" w:sz="8" w:space="0" w:color="000000"/>
              <w:end w:val="single" w:sz="8" w:space="0" w:color="000000"/>
            </w:tcBorders>
            <w:shd w:fill="C0C0C0" w:val="clear"/>
            <w:vAlign w:val="bottom"/>
          </w:tcPr>
          <w:p>
            <w:pPr>
              <w:pStyle w:val="Normal"/>
              <w:widowControl/>
              <w:jc w:val="start"/>
              <w:rPr>
                <w:rFonts w:ascii="宋体;SimSun" w:hAnsi="宋体;SimSun"/>
                <w:b/>
                <w:bCs/>
                <w:kern w:val="0"/>
                <w:sz w:val="22"/>
                <w:szCs w:val="22"/>
              </w:rPr>
            </w:pPr>
            <w:r>
              <w:rPr>
                <w:rFonts w:ascii="宋体;SimSun" w:hAnsi="宋体;SimSun"/>
                <w:b/>
                <w:bCs/>
                <w:kern w:val="0"/>
                <w:sz w:val="22"/>
                <w:szCs w:val="22"/>
              </w:rPr>
              <w:t>报告受理日期</w:t>
            </w:r>
          </w:p>
        </w:tc>
        <w:tc>
          <w:tcPr>
            <w:tcW w:w="7825" w:type="dxa"/>
            <w:gridSpan w:val="5"/>
            <w:tcBorders>
              <w:top w:val="single" w:sz="8" w:space="0" w:color="000000"/>
              <w:bottom w:val="single" w:sz="8" w:space="0" w:color="000000"/>
              <w:end w:val="single" w:sz="8" w:space="0" w:color="000000"/>
            </w:tcBorders>
            <w:vAlign w:val="bottom"/>
          </w:tcPr>
          <w:p>
            <w:pPr>
              <w:pStyle w:val="Normal"/>
              <w:widowControl/>
              <w:snapToGrid w:val="false"/>
              <w:jc w:val="center"/>
              <w:rPr>
                <w:rFonts w:ascii="宋体;SimSun" w:hAnsi="宋体;SimSun"/>
                <w:b/>
                <w:bCs/>
                <w:kern w:val="0"/>
                <w:sz w:val="24"/>
                <w:szCs w:val="22"/>
              </w:rPr>
            </w:pPr>
            <w:r>
              <w:rPr>
                <w:rFonts w:ascii="宋体;SimSun" w:hAnsi="宋体;SimSun"/>
                <w:b/>
                <w:bCs/>
                <w:kern w:val="0"/>
                <w:sz w:val="24"/>
                <w:szCs w:val="22"/>
              </w:rPr>
            </w:r>
          </w:p>
        </w:tc>
      </w:tr>
      <w:tr>
        <w:trPr>
          <w:trHeight w:val="420" w:hRule="atLeast"/>
        </w:trPr>
        <w:tc>
          <w:tcPr>
            <w:tcW w:w="2160" w:type="dxa"/>
            <w:tcBorders>
              <w:start w:val="single" w:sz="8" w:space="0" w:color="000000"/>
              <w:bottom w:val="single" w:sz="8" w:space="0" w:color="000000"/>
              <w:end w:val="single" w:sz="8" w:space="0" w:color="000000"/>
            </w:tcBorders>
            <w:shd w:fill="C0C0C0" w:val="clear"/>
            <w:vAlign w:val="bottom"/>
          </w:tcPr>
          <w:p>
            <w:pPr>
              <w:pStyle w:val="Normal"/>
              <w:widowControl/>
              <w:jc w:val="start"/>
              <w:rPr>
                <w:rFonts w:ascii="宋体;SimSun" w:hAnsi="宋体;SimSun"/>
                <w:b/>
                <w:bCs/>
                <w:kern w:val="0"/>
                <w:sz w:val="22"/>
                <w:szCs w:val="22"/>
              </w:rPr>
            </w:pPr>
            <w:r>
              <w:rPr>
                <w:rFonts w:ascii="宋体;SimSun" w:hAnsi="宋体;SimSun"/>
                <w:b/>
                <w:bCs/>
                <w:kern w:val="0"/>
                <w:sz w:val="22"/>
                <w:szCs w:val="22"/>
              </w:rPr>
              <w:t>报告出具日期</w:t>
            </w:r>
          </w:p>
        </w:tc>
        <w:tc>
          <w:tcPr>
            <w:tcW w:w="7825" w:type="dxa"/>
            <w:gridSpan w:val="5"/>
            <w:tcBorders>
              <w:top w:val="single" w:sz="8" w:space="0" w:color="000000"/>
              <w:bottom w:val="single" w:sz="8" w:space="0" w:color="000000"/>
              <w:end w:val="single" w:sz="8" w:space="0" w:color="000000"/>
            </w:tcBorders>
            <w:vAlign w:val="bottom"/>
          </w:tcPr>
          <w:p>
            <w:pPr>
              <w:pStyle w:val="Normal"/>
              <w:widowControl/>
              <w:jc w:val="center"/>
              <w:rPr>
                <w:kern w:val="0"/>
                <w:sz w:val="24"/>
              </w:rPr>
            </w:pPr>
            <w:r>
              <w:rPr>
                <w:kern w:val="0"/>
                <w:sz w:val="24"/>
              </w:rPr>
              <w:t>　{{报告日期}}</w:t>
            </w:r>
          </w:p>
        </w:tc>
      </w:tr>
      <w:tr>
        <w:trPr>
          <w:trHeight w:val="420" w:hRule="atLeast"/>
        </w:trPr>
        <w:tc>
          <w:tcPr>
            <w:tcW w:w="2160" w:type="dxa"/>
            <w:tcBorders>
              <w:start w:val="single" w:sz="8" w:space="0" w:color="000000"/>
              <w:bottom w:val="single" w:sz="8" w:space="0" w:color="000000"/>
              <w:end w:val="single" w:sz="8" w:space="0" w:color="000000"/>
            </w:tcBorders>
            <w:shd w:fill="C0C0C0" w:val="clear"/>
            <w:vAlign w:val="bottom"/>
          </w:tcPr>
          <w:p>
            <w:pPr>
              <w:pStyle w:val="Normal"/>
              <w:widowControl/>
              <w:jc w:val="start"/>
              <w:rPr>
                <w:rFonts w:ascii="宋体;SimSun" w:hAnsi="宋体;SimSun"/>
                <w:b/>
                <w:bCs/>
                <w:kern w:val="0"/>
                <w:sz w:val="22"/>
                <w:szCs w:val="22"/>
              </w:rPr>
            </w:pPr>
            <w:r>
              <w:rPr>
                <w:rFonts w:ascii="宋体;SimSun" w:hAnsi="宋体;SimSun"/>
                <w:b/>
                <w:bCs/>
                <w:kern w:val="0"/>
                <w:sz w:val="22"/>
                <w:szCs w:val="22"/>
              </w:rPr>
              <w:t>房屋建筑面积</w:t>
            </w:r>
          </w:p>
        </w:tc>
        <w:tc>
          <w:tcPr>
            <w:tcW w:w="7825" w:type="dxa"/>
            <w:gridSpan w:val="5"/>
            <w:tcBorders>
              <w:top w:val="single" w:sz="8" w:space="0" w:color="000000"/>
              <w:bottom w:val="single" w:sz="8" w:space="0" w:color="000000"/>
              <w:end w:val="single" w:sz="8" w:space="0" w:color="000000"/>
            </w:tcBorders>
            <w:vAlign w:val="bottom"/>
          </w:tcPr>
          <w:p>
            <w:pPr>
              <w:pStyle w:val="Normal"/>
              <w:widowControl/>
              <w:jc w:val="center"/>
              <w:rPr>
                <w:kern w:val="0"/>
                <w:sz w:val="24"/>
              </w:rPr>
            </w:pPr>
            <w:r>
              <w:rPr>
                <w:kern w:val="0"/>
                <w:sz w:val="24"/>
              </w:rPr>
              <w:t>{{建筑面积}}</w:t>
            </w:r>
          </w:p>
        </w:tc>
      </w:tr>
      <w:tr>
        <w:trPr>
          <w:trHeight w:val="420" w:hRule="atLeast"/>
        </w:trPr>
        <w:tc>
          <w:tcPr>
            <w:tcW w:w="2160" w:type="dxa"/>
            <w:tcBorders>
              <w:start w:val="single" w:sz="8" w:space="0" w:color="000000"/>
              <w:bottom w:val="single" w:sz="8" w:space="0" w:color="000000"/>
              <w:end w:val="single" w:sz="8" w:space="0" w:color="000000"/>
            </w:tcBorders>
            <w:shd w:fill="C0C0C0" w:val="clear"/>
            <w:vAlign w:val="bottom"/>
          </w:tcPr>
          <w:p>
            <w:pPr>
              <w:pStyle w:val="Normal"/>
              <w:widowControl/>
              <w:jc w:val="start"/>
              <w:rPr>
                <w:rFonts w:ascii="宋体;SimSun" w:hAnsi="宋体;SimSun"/>
                <w:b/>
                <w:bCs/>
                <w:kern w:val="0"/>
                <w:sz w:val="22"/>
                <w:szCs w:val="22"/>
              </w:rPr>
            </w:pPr>
            <w:r>
              <w:rPr>
                <w:rFonts w:ascii="宋体;SimSun" w:hAnsi="宋体;SimSun"/>
                <w:b/>
                <w:bCs/>
                <w:kern w:val="0"/>
                <w:sz w:val="22"/>
                <w:szCs w:val="22"/>
              </w:rPr>
              <w:t>土地使用权面积</w:t>
            </w:r>
          </w:p>
        </w:tc>
        <w:tc>
          <w:tcPr>
            <w:tcW w:w="7825" w:type="dxa"/>
            <w:gridSpan w:val="5"/>
            <w:tcBorders>
              <w:top w:val="single" w:sz="8" w:space="0" w:color="000000"/>
              <w:bottom w:val="single" w:sz="8" w:space="0" w:color="000000"/>
              <w:end w:val="single" w:sz="8" w:space="0" w:color="000000"/>
            </w:tcBorders>
            <w:vAlign w:val="bottom"/>
          </w:tcPr>
          <w:p>
            <w:pPr>
              <w:pStyle w:val="Normal"/>
              <w:widowControl/>
              <w:jc w:val="center"/>
              <w:rPr>
                <w:kern w:val="0"/>
                <w:sz w:val="24"/>
              </w:rPr>
            </w:pPr>
            <w:r>
              <w:rPr>
                <w:kern w:val="0"/>
                <w:sz w:val="24"/>
              </w:rPr>
              <w:t>17</w:t>
            </w:r>
          </w:p>
        </w:tc>
      </w:tr>
      <w:tr>
        <w:trPr>
          <w:trHeight w:val="420" w:hRule="atLeast"/>
        </w:trPr>
        <w:tc>
          <w:tcPr>
            <w:tcW w:w="2160" w:type="dxa"/>
            <w:vMerge w:val="restart"/>
            <w:tcBorders>
              <w:start w:val="single" w:sz="8" w:space="0" w:color="000000"/>
              <w:bottom w:val="single" w:sz="8" w:space="0" w:color="000000"/>
            </w:tcBorders>
            <w:shd w:fill="C0C0C0" w:val="clear"/>
            <w:vAlign w:val="center"/>
          </w:tcPr>
          <w:p>
            <w:pPr>
              <w:pStyle w:val="Normal"/>
              <w:widowControl/>
              <w:jc w:val="start"/>
              <w:rPr>
                <w:rFonts w:ascii="宋体;SimSun" w:hAnsi="宋体;SimSun"/>
                <w:b/>
                <w:bCs/>
                <w:kern w:val="0"/>
                <w:sz w:val="22"/>
                <w:szCs w:val="22"/>
              </w:rPr>
            </w:pPr>
            <w:r>
              <w:rPr>
                <w:rFonts w:ascii="宋体;SimSun" w:hAnsi="宋体;SimSun"/>
                <w:b/>
                <w:bCs/>
                <w:kern w:val="0"/>
                <w:sz w:val="22"/>
                <w:szCs w:val="22"/>
              </w:rPr>
              <w:t>评估价值</w:t>
            </w:r>
          </w:p>
        </w:tc>
        <w:tc>
          <w:tcPr>
            <w:tcW w:w="1260" w:type="dxa"/>
            <w:tcBorders>
              <w:start w:val="single" w:sz="8" w:space="0" w:color="000000"/>
              <w:bottom w:val="single" w:sz="8" w:space="0" w:color="000000"/>
              <w:end w:val="single" w:sz="8" w:space="0" w:color="000000"/>
            </w:tcBorders>
            <w:shd w:fill="C0C0C0" w:val="clear"/>
            <w:vAlign w:val="bottom"/>
          </w:tcPr>
          <w:p>
            <w:pPr>
              <w:pStyle w:val="Normal"/>
              <w:widowControl/>
              <w:jc w:val="start"/>
              <w:rPr>
                <w:rFonts w:ascii="宋体;SimSun" w:hAnsi="宋体;SimSun"/>
                <w:b/>
                <w:bCs/>
                <w:kern w:val="0"/>
                <w:sz w:val="22"/>
                <w:szCs w:val="22"/>
              </w:rPr>
            </w:pPr>
            <w:r>
              <w:rPr>
                <w:rFonts w:ascii="宋体;SimSun" w:hAnsi="宋体;SimSun"/>
                <w:b/>
                <w:bCs/>
                <w:kern w:val="0"/>
                <w:sz w:val="22"/>
                <w:szCs w:val="22"/>
              </w:rPr>
              <w:t>评估总价</w:t>
            </w:r>
          </w:p>
        </w:tc>
        <w:tc>
          <w:tcPr>
            <w:tcW w:w="2700" w:type="dxa"/>
            <w:gridSpan w:val="2"/>
            <w:tcBorders>
              <w:top w:val="single" w:sz="8" w:space="0" w:color="000000"/>
              <w:bottom w:val="single" w:sz="8" w:space="0" w:color="000000"/>
              <w:end w:val="single" w:sz="8" w:space="0" w:color="000000"/>
            </w:tcBorders>
            <w:vAlign w:val="center"/>
          </w:tcPr>
          <w:p>
            <w:pPr>
              <w:pStyle w:val="Normal"/>
              <w:widowControl/>
              <w:jc w:val="start"/>
              <w:rPr>
                <w:kern w:val="0"/>
                <w:sz w:val="22"/>
                <w:szCs w:val="22"/>
              </w:rPr>
            </w:pPr>
            <w:r>
              <w:rPr>
                <w:kern w:val="0"/>
                <w:sz w:val="22"/>
                <w:szCs w:val="22"/>
              </w:rPr>
              <w:t>{{评估总价}}</w:t>
            </w:r>
          </w:p>
        </w:tc>
        <w:tc>
          <w:tcPr>
            <w:tcW w:w="1099" w:type="dxa"/>
            <w:tcBorders>
              <w:bottom w:val="single" w:sz="8" w:space="0" w:color="000000"/>
              <w:end w:val="single" w:sz="8" w:space="0" w:color="000000"/>
            </w:tcBorders>
            <w:shd w:fill="C0C0C0" w:val="clear"/>
            <w:vAlign w:val="bottom"/>
          </w:tcPr>
          <w:p>
            <w:pPr>
              <w:pStyle w:val="Normal"/>
              <w:widowControl/>
              <w:jc w:val="start"/>
              <w:rPr>
                <w:rFonts w:ascii="宋体;SimSun" w:hAnsi="宋体;SimSun"/>
                <w:b/>
                <w:bCs/>
                <w:kern w:val="0"/>
                <w:sz w:val="22"/>
                <w:szCs w:val="22"/>
              </w:rPr>
            </w:pPr>
            <w:r>
              <w:rPr>
                <w:rFonts w:ascii="宋体;SimSun" w:hAnsi="宋体;SimSun"/>
                <w:b/>
                <w:bCs/>
                <w:kern w:val="0"/>
                <w:sz w:val="22"/>
                <w:szCs w:val="22"/>
              </w:rPr>
              <w:t>大写</w:t>
            </w:r>
          </w:p>
        </w:tc>
        <w:tc>
          <w:tcPr>
            <w:tcW w:w="2766" w:type="dxa"/>
            <w:tcBorders>
              <w:bottom w:val="single" w:sz="8" w:space="0" w:color="000000"/>
              <w:end w:val="single" w:sz="8" w:space="0" w:color="000000"/>
            </w:tcBorders>
            <w:vAlign w:val="bottom"/>
          </w:tcPr>
          <w:p>
            <w:pPr>
              <w:pStyle w:val="Normal"/>
              <w:widowControl/>
              <w:jc w:val="center"/>
              <w:rPr>
                <w:kern w:val="0"/>
                <w:sz w:val="22"/>
                <w:szCs w:val="22"/>
              </w:rPr>
            </w:pPr>
            <w:r>
              <w:rPr>
                <w:kern w:val="0"/>
                <w:sz w:val="22"/>
                <w:szCs w:val="22"/>
              </w:rPr>
              <w:t>壹佰伍拾伍万元</w:t>
            </w:r>
          </w:p>
        </w:tc>
      </w:tr>
      <w:tr>
        <w:trPr>
          <w:trHeight w:val="420" w:hRule="atLeast"/>
        </w:trPr>
        <w:tc>
          <w:tcPr>
            <w:tcW w:w="2160" w:type="dxa"/>
            <w:vMerge w:val="continue"/>
            <w:tcBorders>
              <w:start w:val="single" w:sz="8" w:space="0" w:color="000000"/>
              <w:bottom w:val="single" w:sz="8" w:space="0" w:color="000000"/>
            </w:tcBorders>
            <w:shd w:fill="C0C0C0" w:val="clear"/>
            <w:vAlign w:val="center"/>
          </w:tcPr>
          <w:p>
            <w:pPr>
              <w:pStyle w:val="Normal"/>
              <w:widowControl/>
              <w:snapToGrid w:val="false"/>
              <w:jc w:val="start"/>
              <w:rPr>
                <w:rFonts w:ascii="宋体;SimSun" w:hAnsi="宋体;SimSun"/>
                <w:b/>
                <w:bCs/>
                <w:kern w:val="0"/>
                <w:sz w:val="22"/>
                <w:szCs w:val="22"/>
              </w:rPr>
            </w:pPr>
            <w:r>
              <w:rPr>
                <w:rFonts w:ascii="宋体;SimSun" w:hAnsi="宋体;SimSun"/>
                <w:b/>
                <w:bCs/>
                <w:kern w:val="0"/>
                <w:sz w:val="22"/>
                <w:szCs w:val="22"/>
              </w:rPr>
            </w:r>
          </w:p>
        </w:tc>
        <w:tc>
          <w:tcPr>
            <w:tcW w:w="1260" w:type="dxa"/>
            <w:tcBorders>
              <w:start w:val="single" w:sz="8" w:space="0" w:color="000000"/>
              <w:bottom w:val="single" w:sz="8" w:space="0" w:color="000000"/>
              <w:end w:val="single" w:sz="8" w:space="0" w:color="000000"/>
            </w:tcBorders>
            <w:shd w:fill="C0C0C0" w:val="clear"/>
            <w:vAlign w:val="bottom"/>
          </w:tcPr>
          <w:p>
            <w:pPr>
              <w:pStyle w:val="Normal"/>
              <w:widowControl/>
              <w:jc w:val="start"/>
              <w:rPr>
                <w:rFonts w:ascii="宋体;SimSun" w:hAnsi="宋体;SimSun"/>
                <w:b/>
                <w:bCs/>
                <w:kern w:val="0"/>
                <w:sz w:val="22"/>
                <w:szCs w:val="22"/>
              </w:rPr>
            </w:pPr>
            <w:r>
              <w:rPr>
                <w:rFonts w:ascii="宋体;SimSun" w:hAnsi="宋体;SimSun"/>
                <w:b/>
                <w:bCs/>
                <w:kern w:val="0"/>
                <w:sz w:val="22"/>
                <w:szCs w:val="22"/>
              </w:rPr>
              <w:t>评估单价</w:t>
            </w:r>
          </w:p>
        </w:tc>
        <w:tc>
          <w:tcPr>
            <w:tcW w:w="2700" w:type="dxa"/>
            <w:gridSpan w:val="2"/>
            <w:tcBorders>
              <w:top w:val="single" w:sz="8" w:space="0" w:color="000000"/>
              <w:bottom w:val="single" w:sz="8" w:space="0" w:color="000000"/>
              <w:end w:val="single" w:sz="8" w:space="0" w:color="000000"/>
            </w:tcBorders>
            <w:vAlign w:val="center"/>
          </w:tcPr>
          <w:p>
            <w:pPr>
              <w:pStyle w:val="Normal"/>
              <w:widowControl/>
              <w:jc w:val="start"/>
              <w:rPr>
                <w:kern w:val="0"/>
                <w:sz w:val="22"/>
                <w:szCs w:val="22"/>
              </w:rPr>
            </w:pPr>
            <w:r>
              <w:rPr>
                <w:kern w:val="0"/>
                <w:sz w:val="22"/>
                <w:szCs w:val="22"/>
              </w:rPr>
              <w:t>{{评估单价}}</w:t>
            </w:r>
          </w:p>
        </w:tc>
        <w:tc>
          <w:tcPr>
            <w:tcW w:w="1099" w:type="dxa"/>
            <w:tcBorders>
              <w:bottom w:val="single" w:sz="8" w:space="0" w:color="000000"/>
              <w:end w:val="single" w:sz="8" w:space="0" w:color="000000"/>
            </w:tcBorders>
            <w:shd w:fill="C0C0C0" w:val="clear"/>
            <w:vAlign w:val="bottom"/>
          </w:tcPr>
          <w:p>
            <w:pPr>
              <w:pStyle w:val="Normal"/>
              <w:widowControl/>
              <w:jc w:val="start"/>
              <w:rPr>
                <w:rFonts w:ascii="宋体;SimSun" w:hAnsi="宋体;SimSun"/>
                <w:b/>
                <w:bCs/>
                <w:kern w:val="0"/>
                <w:sz w:val="22"/>
                <w:szCs w:val="22"/>
              </w:rPr>
            </w:pPr>
            <w:r>
              <w:rPr>
                <w:rFonts w:ascii="宋体;SimSun" w:hAnsi="宋体;SimSun"/>
                <w:b/>
                <w:bCs/>
                <w:kern w:val="0"/>
                <w:sz w:val="22"/>
                <w:szCs w:val="22"/>
              </w:rPr>
              <w:t>大写</w:t>
            </w:r>
          </w:p>
        </w:tc>
        <w:tc>
          <w:tcPr>
            <w:tcW w:w="2766" w:type="dxa"/>
            <w:tcBorders>
              <w:bottom w:val="single" w:sz="8" w:space="0" w:color="000000"/>
              <w:end w:val="single" w:sz="8" w:space="0" w:color="000000"/>
            </w:tcBorders>
            <w:vAlign w:val="bottom"/>
          </w:tcPr>
          <w:p>
            <w:pPr>
              <w:pStyle w:val="Normal"/>
              <w:widowControl/>
              <w:jc w:val="center"/>
              <w:rPr>
                <w:kern w:val="0"/>
                <w:sz w:val="22"/>
                <w:szCs w:val="22"/>
              </w:rPr>
            </w:pPr>
            <w:r>
              <w:rPr>
                <w:kern w:val="0"/>
                <w:sz w:val="22"/>
                <w:szCs w:val="22"/>
              </w:rPr>
              <w:t>壹万柒仟肆佰零捌元/平方米</w:t>
            </w:r>
          </w:p>
        </w:tc>
      </w:tr>
      <w:tr>
        <w:trPr>
          <w:trHeight w:val="420" w:hRule="atLeast"/>
        </w:trPr>
        <w:tc>
          <w:tcPr>
            <w:tcW w:w="2160" w:type="dxa"/>
            <w:tcBorders>
              <w:start w:val="single" w:sz="8" w:space="0" w:color="000000"/>
              <w:bottom w:val="single" w:sz="8" w:space="0" w:color="000000"/>
              <w:end w:val="single" w:sz="8" w:space="0" w:color="000000"/>
            </w:tcBorders>
            <w:shd w:fill="C0C0C0" w:val="clear"/>
            <w:vAlign w:val="bottom"/>
          </w:tcPr>
          <w:p>
            <w:pPr>
              <w:pStyle w:val="Normal"/>
              <w:widowControl/>
              <w:jc w:val="start"/>
              <w:rPr>
                <w:rFonts w:ascii="宋体;SimSun" w:hAnsi="宋体;SimSun"/>
                <w:b/>
                <w:bCs/>
                <w:kern w:val="0"/>
                <w:sz w:val="22"/>
                <w:szCs w:val="22"/>
              </w:rPr>
            </w:pPr>
            <w:r>
              <w:rPr>
                <w:rFonts w:ascii="宋体;SimSun" w:hAnsi="宋体;SimSun"/>
                <w:b/>
                <w:bCs/>
                <w:kern w:val="0"/>
                <w:sz w:val="22"/>
                <w:szCs w:val="22"/>
              </w:rPr>
              <w:t>评估目的</w:t>
            </w:r>
          </w:p>
        </w:tc>
        <w:tc>
          <w:tcPr>
            <w:tcW w:w="7825" w:type="dxa"/>
            <w:gridSpan w:val="5"/>
            <w:tcBorders>
              <w:bottom w:val="single" w:sz="8" w:space="0" w:color="000000"/>
              <w:end w:val="single" w:sz="8" w:space="0" w:color="000000"/>
            </w:tcBorders>
            <w:vAlign w:val="bottom"/>
          </w:tcPr>
          <w:p>
            <w:pPr>
              <w:pStyle w:val="Normal"/>
              <w:widowControl/>
              <w:jc w:val="center"/>
              <w:rPr>
                <w:kern w:val="0"/>
                <w:sz w:val="22"/>
                <w:szCs w:val="22"/>
              </w:rPr>
            </w:pPr>
            <w:r>
              <w:rPr>
                <w:kern w:val="0"/>
                <w:sz w:val="22"/>
                <w:szCs w:val="22"/>
              </w:rPr>
              <w:t>司法裁决</w:t>
            </w:r>
          </w:p>
        </w:tc>
      </w:tr>
      <w:tr>
        <w:trPr>
          <w:trHeight w:val="420" w:hRule="atLeast"/>
        </w:trPr>
        <w:tc>
          <w:tcPr>
            <w:tcW w:w="2160" w:type="dxa"/>
            <w:tcBorders>
              <w:start w:val="single" w:sz="8" w:space="0" w:color="000000"/>
              <w:bottom w:val="single" w:sz="8" w:space="0" w:color="000000"/>
              <w:end w:val="single" w:sz="8" w:space="0" w:color="000000"/>
            </w:tcBorders>
            <w:shd w:fill="C0C0C0" w:val="clear"/>
            <w:vAlign w:val="bottom"/>
          </w:tcPr>
          <w:p>
            <w:pPr>
              <w:pStyle w:val="Normal"/>
              <w:widowControl/>
              <w:jc w:val="start"/>
              <w:rPr>
                <w:rFonts w:ascii="宋体;SimSun" w:hAnsi="宋体;SimSun"/>
                <w:b/>
                <w:bCs/>
                <w:kern w:val="0"/>
                <w:sz w:val="22"/>
                <w:szCs w:val="22"/>
              </w:rPr>
            </w:pPr>
            <w:r>
              <w:rPr>
                <w:rFonts w:ascii="宋体;SimSun" w:hAnsi="宋体;SimSun"/>
                <w:b/>
                <w:bCs/>
                <w:kern w:val="0"/>
                <w:sz w:val="22"/>
                <w:szCs w:val="22"/>
              </w:rPr>
              <w:t>评估报告编号</w:t>
            </w:r>
          </w:p>
        </w:tc>
        <w:tc>
          <w:tcPr>
            <w:tcW w:w="7825" w:type="dxa"/>
            <w:gridSpan w:val="5"/>
            <w:tcBorders>
              <w:top w:val="single" w:sz="8" w:space="0" w:color="000000"/>
              <w:bottom w:val="single" w:sz="8" w:space="0" w:color="000000"/>
              <w:end w:val="single" w:sz="8" w:space="0" w:color="000000"/>
            </w:tcBorders>
            <w:shd w:fill="FFFFFF" w:val="clear"/>
            <w:vAlign w:val="bottom"/>
          </w:tcPr>
          <w:p>
            <w:pPr>
              <w:pStyle w:val="Normal"/>
              <w:widowControl/>
              <w:jc w:val="center"/>
              <w:rPr>
                <w:kern w:val="0"/>
                <w:sz w:val="22"/>
                <w:szCs w:val="22"/>
              </w:rPr>
            </w:pPr>
            <w:r>
              <w:rPr>
                <w:kern w:val="0"/>
                <w:sz w:val="22"/>
                <w:szCs w:val="22"/>
              </w:rPr>
              <w:t>{{报告编号}}</w:t>
            </w:r>
          </w:p>
        </w:tc>
      </w:tr>
      <w:tr>
        <w:trPr>
          <w:trHeight w:val="420" w:hRule="atLeast"/>
        </w:trPr>
        <w:tc>
          <w:tcPr>
            <w:tcW w:w="2160" w:type="dxa"/>
            <w:tcBorders>
              <w:start w:val="single" w:sz="8" w:space="0" w:color="000000"/>
              <w:bottom w:val="single" w:sz="8" w:space="0" w:color="000000"/>
              <w:end w:val="single" w:sz="8" w:space="0" w:color="000000"/>
            </w:tcBorders>
            <w:shd w:fill="C0C0C0" w:val="clear"/>
            <w:vAlign w:val="bottom"/>
          </w:tcPr>
          <w:p>
            <w:pPr>
              <w:pStyle w:val="Normal"/>
              <w:widowControl/>
              <w:jc w:val="start"/>
              <w:rPr>
                <w:rFonts w:ascii="宋体;SimSun" w:hAnsi="宋体;SimSun"/>
                <w:b/>
                <w:bCs/>
                <w:kern w:val="0"/>
                <w:sz w:val="22"/>
                <w:szCs w:val="22"/>
              </w:rPr>
            </w:pPr>
            <w:r>
              <w:rPr>
                <w:rFonts w:ascii="宋体;SimSun" w:hAnsi="宋体;SimSun"/>
                <w:b/>
                <w:bCs/>
                <w:kern w:val="0"/>
                <w:sz w:val="22"/>
                <w:szCs w:val="22"/>
              </w:rPr>
              <w:t>估价方法</w:t>
            </w:r>
          </w:p>
        </w:tc>
        <w:tc>
          <w:tcPr>
            <w:tcW w:w="7825" w:type="dxa"/>
            <w:gridSpan w:val="5"/>
            <w:tcBorders>
              <w:top w:val="single" w:sz="8" w:space="0" w:color="000000"/>
              <w:bottom w:val="single" w:sz="8" w:space="0" w:color="000000"/>
              <w:end w:val="single" w:sz="8" w:space="0" w:color="000000"/>
            </w:tcBorders>
            <w:vAlign w:val="bottom"/>
          </w:tcPr>
          <w:p>
            <w:pPr>
              <w:pStyle w:val="Normal"/>
              <w:widowControl/>
              <w:jc w:val="center"/>
              <w:rPr>
                <w:kern w:val="0"/>
                <w:sz w:val="22"/>
                <w:szCs w:val="22"/>
              </w:rPr>
            </w:pPr>
            <w:r>
              <w:rPr>
                <w:kern w:val="0"/>
                <w:sz w:val="22"/>
                <w:szCs w:val="22"/>
              </w:rPr>
              <w:t>　比较法、收益法</w:t>
            </w:r>
          </w:p>
        </w:tc>
      </w:tr>
      <w:tr>
        <w:trPr>
          <w:trHeight w:val="420" w:hRule="atLeast"/>
        </w:trPr>
        <w:tc>
          <w:tcPr>
            <w:tcW w:w="2160" w:type="dxa"/>
            <w:tcBorders>
              <w:start w:val="single" w:sz="8" w:space="0" w:color="000000"/>
              <w:bottom w:val="single" w:sz="8" w:space="0" w:color="000000"/>
              <w:end w:val="single" w:sz="8" w:space="0" w:color="000000"/>
            </w:tcBorders>
            <w:shd w:fill="C0C0C0" w:val="clear"/>
            <w:vAlign w:val="bottom"/>
          </w:tcPr>
          <w:p>
            <w:pPr>
              <w:pStyle w:val="Normal"/>
              <w:widowControl/>
              <w:jc w:val="start"/>
              <w:rPr>
                <w:rFonts w:ascii="宋体;SimSun" w:hAnsi="宋体;SimSun"/>
                <w:b/>
                <w:bCs/>
                <w:kern w:val="0"/>
                <w:sz w:val="22"/>
                <w:szCs w:val="22"/>
              </w:rPr>
            </w:pPr>
            <w:r>
              <w:rPr>
                <w:rFonts w:ascii="宋体;SimSun" w:hAnsi="宋体;SimSun"/>
                <w:b/>
                <w:bCs/>
                <w:kern w:val="0"/>
                <w:sz w:val="22"/>
                <w:szCs w:val="22"/>
              </w:rPr>
              <w:t>《房屋所有权证》号</w:t>
            </w:r>
          </w:p>
        </w:tc>
        <w:tc>
          <w:tcPr>
            <w:tcW w:w="7825" w:type="dxa"/>
            <w:gridSpan w:val="5"/>
            <w:tcBorders>
              <w:top w:val="single" w:sz="8" w:space="0" w:color="000000"/>
              <w:bottom w:val="single" w:sz="8" w:space="0" w:color="000000"/>
              <w:end w:val="single" w:sz="8" w:space="0" w:color="000000"/>
            </w:tcBorders>
            <w:vAlign w:val="bottom"/>
          </w:tcPr>
          <w:p>
            <w:pPr>
              <w:pStyle w:val="Normal"/>
              <w:widowControl/>
              <w:jc w:val="center"/>
              <w:rPr>
                <w:kern w:val="0"/>
                <w:sz w:val="22"/>
                <w:szCs w:val="22"/>
              </w:rPr>
            </w:pPr>
            <w:r>
              <w:rPr>
                <w:kern w:val="0"/>
                <w:sz w:val="22"/>
                <w:szCs w:val="22"/>
              </w:rPr>
              <w:t>证号A</w:t>
            </w:r>
          </w:p>
        </w:tc>
      </w:tr>
      <w:tr>
        <w:trPr>
          <w:trHeight w:val="420" w:hRule="atLeast"/>
        </w:trPr>
        <w:tc>
          <w:tcPr>
            <w:tcW w:w="2160" w:type="dxa"/>
            <w:tcBorders>
              <w:start w:val="single" w:sz="8" w:space="0" w:color="000000"/>
              <w:bottom w:val="single" w:sz="8" w:space="0" w:color="000000"/>
              <w:end w:val="single" w:sz="8" w:space="0" w:color="000000"/>
            </w:tcBorders>
            <w:shd w:fill="C0C0C0" w:val="clear"/>
            <w:vAlign w:val="bottom"/>
          </w:tcPr>
          <w:p>
            <w:pPr>
              <w:pStyle w:val="Normal"/>
              <w:widowControl/>
              <w:jc w:val="start"/>
              <w:rPr>
                <w:rFonts w:ascii="宋体;SimSun" w:hAnsi="宋体;SimSun"/>
                <w:b/>
                <w:bCs/>
                <w:kern w:val="0"/>
                <w:sz w:val="22"/>
                <w:szCs w:val="22"/>
              </w:rPr>
            </w:pPr>
            <w:r>
              <w:rPr>
                <w:rFonts w:ascii="宋体;SimSun" w:hAnsi="宋体;SimSun"/>
                <w:b/>
                <w:bCs/>
                <w:kern w:val="0"/>
                <w:sz w:val="22"/>
                <w:szCs w:val="22"/>
              </w:rPr>
              <w:t>《房屋共有权证》号</w:t>
            </w:r>
          </w:p>
        </w:tc>
        <w:tc>
          <w:tcPr>
            <w:tcW w:w="7825" w:type="dxa"/>
            <w:gridSpan w:val="5"/>
            <w:tcBorders>
              <w:top w:val="single" w:sz="8" w:space="0" w:color="000000"/>
              <w:bottom w:val="single" w:sz="8" w:space="0" w:color="000000"/>
              <w:end w:val="single" w:sz="8" w:space="0" w:color="000000"/>
            </w:tcBorders>
            <w:vAlign w:val="bottom"/>
          </w:tcPr>
          <w:p>
            <w:pPr>
              <w:pStyle w:val="Normal"/>
              <w:widowControl/>
              <w:jc w:val="center"/>
              <w:rPr>
                <w:kern w:val="0"/>
                <w:sz w:val="22"/>
                <w:szCs w:val="22"/>
              </w:rPr>
            </w:pPr>
            <w:r>
              <w:rPr>
                <w:kern w:val="0"/>
                <w:sz w:val="22"/>
                <w:szCs w:val="22"/>
              </w:rPr>
              <w:t>证号B</w:t>
            </w:r>
          </w:p>
        </w:tc>
      </w:tr>
      <w:tr>
        <w:trPr>
          <w:trHeight w:val="420" w:hRule="atLeast"/>
        </w:trPr>
        <w:tc>
          <w:tcPr>
            <w:tcW w:w="2160" w:type="dxa"/>
            <w:tcBorders>
              <w:start w:val="single" w:sz="8" w:space="0" w:color="000000"/>
              <w:bottom w:val="single" w:sz="8" w:space="0" w:color="000000"/>
              <w:end w:val="single" w:sz="8" w:space="0" w:color="000000"/>
            </w:tcBorders>
            <w:shd w:fill="C0C0C0" w:val="clear"/>
            <w:vAlign w:val="bottom"/>
          </w:tcPr>
          <w:p>
            <w:pPr>
              <w:pStyle w:val="Normal"/>
              <w:widowControl/>
              <w:jc w:val="start"/>
              <w:rPr>
                <w:rFonts w:ascii="宋体;SimSun" w:hAnsi="宋体;SimSun"/>
                <w:b/>
                <w:bCs/>
                <w:kern w:val="0"/>
                <w:sz w:val="22"/>
                <w:szCs w:val="22"/>
              </w:rPr>
            </w:pPr>
            <w:r>
              <w:rPr>
                <w:rFonts w:ascii="宋体;SimSun" w:hAnsi="宋体;SimSun"/>
                <w:b/>
                <w:bCs/>
                <w:kern w:val="0"/>
                <w:sz w:val="22"/>
                <w:szCs w:val="22"/>
              </w:rPr>
              <w:t>《土地使用证》号</w:t>
            </w:r>
          </w:p>
        </w:tc>
        <w:tc>
          <w:tcPr>
            <w:tcW w:w="3360" w:type="dxa"/>
            <w:gridSpan w:val="2"/>
            <w:tcBorders>
              <w:top w:val="single" w:sz="8" w:space="0" w:color="000000"/>
              <w:bottom w:val="single" w:sz="8" w:space="0" w:color="000000"/>
              <w:end w:val="single" w:sz="8" w:space="0" w:color="000000"/>
            </w:tcBorders>
            <w:vAlign w:val="bottom"/>
          </w:tcPr>
          <w:p>
            <w:pPr>
              <w:pStyle w:val="Normal"/>
              <w:widowControl/>
              <w:jc w:val="center"/>
              <w:rPr>
                <w:kern w:val="0"/>
                <w:sz w:val="22"/>
                <w:szCs w:val="22"/>
              </w:rPr>
            </w:pPr>
            <w:r>
              <w:rPr>
                <w:kern w:val="0"/>
                <w:sz w:val="22"/>
                <w:szCs w:val="22"/>
              </w:rPr>
              <w:t>证号C</w:t>
            </w:r>
          </w:p>
        </w:tc>
        <w:tc>
          <w:tcPr>
            <w:tcW w:w="1699" w:type="dxa"/>
            <w:gridSpan w:val="2"/>
            <w:tcBorders>
              <w:top w:val="single" w:sz="8" w:space="0" w:color="000000"/>
              <w:bottom w:val="single" w:sz="8" w:space="0" w:color="000000"/>
              <w:end w:val="single" w:sz="8" w:space="0" w:color="000000"/>
            </w:tcBorders>
            <w:shd w:fill="C0C0C0" w:val="clear"/>
            <w:vAlign w:val="bottom"/>
          </w:tcPr>
          <w:p>
            <w:pPr>
              <w:pStyle w:val="Normal"/>
              <w:widowControl/>
              <w:jc w:val="start"/>
              <w:rPr>
                <w:rFonts w:ascii="宋体;SimSun" w:hAnsi="宋体;SimSun"/>
                <w:b/>
                <w:bCs/>
                <w:kern w:val="0"/>
                <w:sz w:val="22"/>
                <w:szCs w:val="22"/>
              </w:rPr>
            </w:pPr>
            <w:r>
              <w:rPr>
                <w:rFonts w:ascii="宋体;SimSun" w:hAnsi="宋体;SimSun"/>
                <w:b/>
                <w:bCs/>
                <w:kern w:val="0"/>
                <w:sz w:val="22"/>
                <w:szCs w:val="22"/>
              </w:rPr>
              <w:t>土地使用权人</w:t>
            </w:r>
          </w:p>
        </w:tc>
        <w:tc>
          <w:tcPr>
            <w:tcW w:w="2766" w:type="dxa"/>
            <w:tcBorders>
              <w:bottom w:val="single" w:sz="8" w:space="0" w:color="000000"/>
              <w:end w:val="single" w:sz="8" w:space="0" w:color="000000"/>
            </w:tcBorders>
            <w:vAlign w:val="bottom"/>
          </w:tcPr>
          <w:p>
            <w:pPr>
              <w:pStyle w:val="Normal"/>
              <w:widowControl/>
              <w:jc w:val="center"/>
              <w:rPr>
                <w:kern w:val="0"/>
                <w:sz w:val="22"/>
                <w:szCs w:val="22"/>
              </w:rPr>
            </w:pPr>
            <w:r>
              <w:rPr>
                <w:kern w:val="0"/>
                <w:sz w:val="24"/>
              </w:rPr>
              <w:t>{{权属人}}</w:t>
            </w:r>
          </w:p>
        </w:tc>
      </w:tr>
      <w:tr>
        <w:trPr>
          <w:trHeight w:val="420" w:hRule="atLeast"/>
        </w:trPr>
        <w:tc>
          <w:tcPr>
            <w:tcW w:w="2160" w:type="dxa"/>
            <w:tcBorders>
              <w:start w:val="single" w:sz="8" w:space="0" w:color="000000"/>
              <w:bottom w:val="single" w:sz="8" w:space="0" w:color="000000"/>
              <w:end w:val="single" w:sz="8" w:space="0" w:color="000000"/>
            </w:tcBorders>
            <w:shd w:fill="C0C0C0" w:val="clear"/>
            <w:vAlign w:val="bottom"/>
          </w:tcPr>
          <w:p>
            <w:pPr>
              <w:pStyle w:val="Normal"/>
              <w:widowControl/>
              <w:jc w:val="start"/>
              <w:rPr>
                <w:rFonts w:ascii="宋体;SimSun" w:hAnsi="宋体;SimSun"/>
                <w:b/>
                <w:bCs/>
                <w:kern w:val="0"/>
                <w:sz w:val="22"/>
                <w:szCs w:val="22"/>
              </w:rPr>
            </w:pPr>
            <w:r>
              <w:rPr>
                <w:rFonts w:ascii="宋体;SimSun" w:hAnsi="宋体;SimSun"/>
                <w:b/>
                <w:bCs/>
                <w:kern w:val="0"/>
                <w:sz w:val="22"/>
                <w:szCs w:val="22"/>
              </w:rPr>
              <w:t>使用权类型</w:t>
            </w:r>
          </w:p>
        </w:tc>
        <w:tc>
          <w:tcPr>
            <w:tcW w:w="3360" w:type="dxa"/>
            <w:gridSpan w:val="2"/>
            <w:tcBorders>
              <w:top w:val="single" w:sz="8" w:space="0" w:color="000000"/>
              <w:bottom w:val="single" w:sz="8" w:space="0" w:color="000000"/>
              <w:end w:val="single" w:sz="8" w:space="0" w:color="000000"/>
            </w:tcBorders>
            <w:vAlign w:val="bottom"/>
          </w:tcPr>
          <w:p>
            <w:pPr>
              <w:pStyle w:val="Normal"/>
              <w:widowControl/>
              <w:jc w:val="center"/>
              <w:rPr>
                <w:kern w:val="0"/>
                <w:sz w:val="22"/>
                <w:szCs w:val="22"/>
              </w:rPr>
            </w:pPr>
            <w:r>
              <w:rPr>
                <w:kern w:val="0"/>
                <w:sz w:val="22"/>
                <w:szCs w:val="22"/>
              </w:rPr>
              <w:t>出让</w:t>
            </w:r>
          </w:p>
        </w:tc>
        <w:tc>
          <w:tcPr>
            <w:tcW w:w="1699" w:type="dxa"/>
            <w:gridSpan w:val="2"/>
            <w:tcBorders>
              <w:top w:val="single" w:sz="8" w:space="0" w:color="000000"/>
              <w:bottom w:val="single" w:sz="8" w:space="0" w:color="000000"/>
              <w:end w:val="single" w:sz="8" w:space="0" w:color="000000"/>
            </w:tcBorders>
            <w:shd w:fill="C0C0C0" w:val="clear"/>
            <w:vAlign w:val="bottom"/>
          </w:tcPr>
          <w:p>
            <w:pPr>
              <w:pStyle w:val="Normal"/>
              <w:widowControl/>
              <w:jc w:val="start"/>
              <w:rPr>
                <w:rFonts w:ascii="宋体;SimSun" w:hAnsi="宋体;SimSun"/>
                <w:b/>
                <w:bCs/>
                <w:kern w:val="0"/>
                <w:sz w:val="22"/>
                <w:szCs w:val="22"/>
              </w:rPr>
            </w:pPr>
            <w:r>
              <w:rPr>
                <w:rFonts w:ascii="宋体;SimSun" w:hAnsi="宋体;SimSun"/>
                <w:b/>
                <w:bCs/>
                <w:kern w:val="0"/>
                <w:sz w:val="22"/>
                <w:szCs w:val="22"/>
              </w:rPr>
              <w:t>土地等级</w:t>
            </w:r>
          </w:p>
        </w:tc>
        <w:tc>
          <w:tcPr>
            <w:tcW w:w="2766" w:type="dxa"/>
            <w:tcBorders>
              <w:bottom w:val="single" w:sz="8" w:space="0" w:color="000000"/>
              <w:end w:val="single" w:sz="8" w:space="0" w:color="000000"/>
            </w:tcBorders>
            <w:vAlign w:val="bottom"/>
          </w:tcPr>
          <w:p>
            <w:pPr>
              <w:pStyle w:val="Normal"/>
              <w:widowControl/>
              <w:jc w:val="center"/>
              <w:rPr>
                <w:kern w:val="0"/>
                <w:sz w:val="22"/>
                <w:szCs w:val="22"/>
              </w:rPr>
            </w:pPr>
            <w:r>
              <w:rPr>
                <w:kern w:val="0"/>
                <w:sz w:val="22"/>
                <w:szCs w:val="22"/>
              </w:rPr>
              <w:t>/</w:t>
            </w:r>
          </w:p>
        </w:tc>
      </w:tr>
      <w:tr>
        <w:trPr>
          <w:trHeight w:val="420" w:hRule="atLeast"/>
        </w:trPr>
        <w:tc>
          <w:tcPr>
            <w:tcW w:w="2160" w:type="dxa"/>
            <w:tcBorders>
              <w:start w:val="single" w:sz="8" w:space="0" w:color="000000"/>
              <w:bottom w:val="single" w:sz="8" w:space="0" w:color="000000"/>
              <w:end w:val="single" w:sz="8" w:space="0" w:color="000000"/>
            </w:tcBorders>
            <w:shd w:fill="C0C0C0" w:val="clear"/>
            <w:vAlign w:val="bottom"/>
          </w:tcPr>
          <w:p>
            <w:pPr>
              <w:pStyle w:val="Normal"/>
              <w:widowControl/>
              <w:jc w:val="start"/>
              <w:rPr>
                <w:rFonts w:ascii="宋体;SimSun" w:hAnsi="宋体;SimSun"/>
                <w:b/>
                <w:bCs/>
                <w:kern w:val="0"/>
                <w:sz w:val="22"/>
                <w:szCs w:val="22"/>
              </w:rPr>
            </w:pPr>
            <w:r>
              <w:rPr>
                <w:rFonts w:ascii="宋体;SimSun" w:hAnsi="宋体;SimSun"/>
                <w:b/>
                <w:bCs/>
                <w:kern w:val="0"/>
                <w:sz w:val="22"/>
                <w:szCs w:val="22"/>
              </w:rPr>
              <w:t>地类（用途）</w:t>
            </w:r>
          </w:p>
        </w:tc>
        <w:tc>
          <w:tcPr>
            <w:tcW w:w="3360" w:type="dxa"/>
            <w:gridSpan w:val="2"/>
            <w:tcBorders>
              <w:top w:val="single" w:sz="8" w:space="0" w:color="000000"/>
              <w:bottom w:val="single" w:sz="8" w:space="0" w:color="000000"/>
              <w:end w:val="single" w:sz="8" w:space="0" w:color="000000"/>
            </w:tcBorders>
            <w:vAlign w:val="bottom"/>
          </w:tcPr>
          <w:p>
            <w:pPr>
              <w:pStyle w:val="Normal"/>
              <w:widowControl/>
              <w:jc w:val="center"/>
              <w:rPr>
                <w:kern w:val="0"/>
                <w:sz w:val="22"/>
                <w:szCs w:val="22"/>
              </w:rPr>
            </w:pPr>
            <w:r>
              <w:rPr>
                <w:kern w:val="0"/>
                <w:sz w:val="22"/>
                <w:szCs w:val="22"/>
              </w:rPr>
              <w:t>住宅</w:t>
            </w:r>
          </w:p>
        </w:tc>
        <w:tc>
          <w:tcPr>
            <w:tcW w:w="1699" w:type="dxa"/>
            <w:gridSpan w:val="2"/>
            <w:tcBorders>
              <w:top w:val="single" w:sz="8" w:space="0" w:color="000000"/>
              <w:bottom w:val="single" w:sz="8" w:space="0" w:color="000000"/>
              <w:end w:val="single" w:sz="8" w:space="0" w:color="000000"/>
            </w:tcBorders>
            <w:shd w:fill="C0C0C0" w:val="clear"/>
            <w:vAlign w:val="bottom"/>
          </w:tcPr>
          <w:p>
            <w:pPr>
              <w:pStyle w:val="Normal"/>
              <w:widowControl/>
              <w:jc w:val="start"/>
              <w:rPr>
                <w:rFonts w:ascii="宋体;SimSun" w:hAnsi="宋体;SimSun"/>
                <w:b/>
                <w:bCs/>
                <w:kern w:val="0"/>
                <w:sz w:val="22"/>
                <w:szCs w:val="22"/>
              </w:rPr>
            </w:pPr>
            <w:r>
              <w:rPr>
                <w:rFonts w:ascii="宋体;SimSun" w:hAnsi="宋体;SimSun"/>
                <w:b/>
                <w:bCs/>
                <w:kern w:val="0"/>
                <w:sz w:val="22"/>
                <w:szCs w:val="22"/>
              </w:rPr>
              <w:t>终止日期</w:t>
            </w:r>
          </w:p>
        </w:tc>
        <w:tc>
          <w:tcPr>
            <w:tcW w:w="2766" w:type="dxa"/>
            <w:tcBorders>
              <w:bottom w:val="single" w:sz="8" w:space="0" w:color="000000"/>
              <w:end w:val="single" w:sz="8" w:space="0" w:color="000000"/>
            </w:tcBorders>
            <w:vAlign w:val="bottom"/>
          </w:tcPr>
          <w:p>
            <w:pPr>
              <w:pStyle w:val="Normal"/>
              <w:widowControl/>
              <w:jc w:val="center"/>
              <w:rPr>
                <w:kern w:val="0"/>
                <w:sz w:val="22"/>
                <w:szCs w:val="22"/>
              </w:rPr>
            </w:pPr>
            <w:r>
              <w:rPr>
                <w:kern w:val="0"/>
                <w:sz w:val="22"/>
                <w:szCs w:val="22"/>
              </w:rPr>
              <w:t>至日期D</w:t>
            </w:r>
          </w:p>
        </w:tc>
      </w:tr>
      <w:tr>
        <w:trPr>
          <w:trHeight w:val="420" w:hRule="atLeast"/>
        </w:trPr>
        <w:tc>
          <w:tcPr>
            <w:tcW w:w="2160" w:type="dxa"/>
            <w:tcBorders>
              <w:start w:val="single" w:sz="8" w:space="0" w:color="000000"/>
              <w:bottom w:val="single" w:sz="8" w:space="0" w:color="000000"/>
              <w:end w:val="single" w:sz="8" w:space="0" w:color="000000"/>
            </w:tcBorders>
            <w:shd w:fill="C0C0C0" w:val="clear"/>
            <w:vAlign w:val="bottom"/>
          </w:tcPr>
          <w:p>
            <w:pPr>
              <w:pStyle w:val="Normal"/>
              <w:widowControl/>
              <w:jc w:val="start"/>
              <w:rPr>
                <w:rFonts w:ascii="宋体;SimSun" w:hAnsi="宋体;SimSun"/>
                <w:b/>
                <w:bCs/>
                <w:kern w:val="0"/>
                <w:sz w:val="22"/>
                <w:szCs w:val="22"/>
              </w:rPr>
            </w:pPr>
            <w:r>
              <w:rPr>
                <w:rFonts w:ascii="宋体;SimSun" w:hAnsi="宋体;SimSun"/>
                <w:b/>
                <w:bCs/>
                <w:kern w:val="0"/>
                <w:sz w:val="22"/>
                <w:szCs w:val="22"/>
              </w:rPr>
              <w:t>使用权面积</w:t>
            </w:r>
          </w:p>
        </w:tc>
        <w:tc>
          <w:tcPr>
            <w:tcW w:w="3360" w:type="dxa"/>
            <w:gridSpan w:val="2"/>
            <w:tcBorders>
              <w:top w:val="single" w:sz="8" w:space="0" w:color="000000"/>
              <w:bottom w:val="single" w:sz="8" w:space="0" w:color="000000"/>
              <w:end w:val="single" w:sz="8" w:space="0" w:color="000000"/>
            </w:tcBorders>
            <w:vAlign w:val="bottom"/>
          </w:tcPr>
          <w:p>
            <w:pPr>
              <w:pStyle w:val="Normal"/>
              <w:widowControl/>
              <w:jc w:val="center"/>
              <w:rPr>
                <w:kern w:val="0"/>
                <w:sz w:val="22"/>
                <w:szCs w:val="22"/>
              </w:rPr>
            </w:pPr>
            <w:r>
              <w:rPr>
                <w:kern w:val="0"/>
                <w:sz w:val="22"/>
                <w:szCs w:val="22"/>
              </w:rPr>
              <w:t>17</w:t>
            </w:r>
          </w:p>
        </w:tc>
        <w:tc>
          <w:tcPr>
            <w:tcW w:w="1699" w:type="dxa"/>
            <w:gridSpan w:val="2"/>
            <w:tcBorders>
              <w:top w:val="single" w:sz="8" w:space="0" w:color="000000"/>
              <w:bottom w:val="single" w:sz="8" w:space="0" w:color="000000"/>
              <w:end w:val="single" w:sz="8" w:space="0" w:color="000000"/>
            </w:tcBorders>
            <w:shd w:fill="C0C0C0" w:val="clear"/>
            <w:vAlign w:val="bottom"/>
          </w:tcPr>
          <w:p>
            <w:pPr>
              <w:pStyle w:val="Normal"/>
              <w:widowControl/>
              <w:jc w:val="start"/>
              <w:rPr>
                <w:rFonts w:ascii="宋体;SimSun" w:hAnsi="宋体;SimSun"/>
                <w:b/>
                <w:bCs/>
                <w:kern w:val="0"/>
                <w:sz w:val="22"/>
                <w:szCs w:val="22"/>
              </w:rPr>
            </w:pPr>
            <w:r>
              <w:rPr>
                <w:rFonts w:ascii="宋体;SimSun" w:hAnsi="宋体;SimSun"/>
                <w:b/>
                <w:bCs/>
                <w:kern w:val="0"/>
                <w:sz w:val="22"/>
                <w:szCs w:val="22"/>
              </w:rPr>
              <w:t>分摊面积</w:t>
            </w:r>
          </w:p>
        </w:tc>
        <w:tc>
          <w:tcPr>
            <w:tcW w:w="2766" w:type="dxa"/>
            <w:tcBorders>
              <w:bottom w:val="single" w:sz="8" w:space="0" w:color="000000"/>
              <w:end w:val="single" w:sz="8" w:space="0" w:color="000000"/>
            </w:tcBorders>
            <w:vAlign w:val="bottom"/>
          </w:tcPr>
          <w:p>
            <w:pPr>
              <w:pStyle w:val="Normal"/>
              <w:widowControl/>
              <w:jc w:val="center"/>
              <w:rPr>
                <w:kern w:val="0"/>
                <w:sz w:val="22"/>
                <w:szCs w:val="22"/>
              </w:rPr>
            </w:pPr>
            <w:r>
              <w:rPr>
                <w:kern w:val="0"/>
                <w:sz w:val="22"/>
                <w:szCs w:val="22"/>
              </w:rPr>
              <w:t>17</w:t>
            </w:r>
          </w:p>
        </w:tc>
      </w:tr>
      <w:tr>
        <w:trPr>
          <w:trHeight w:val="493" w:hRule="atLeast"/>
        </w:trPr>
        <w:tc>
          <w:tcPr>
            <w:tcW w:w="2160" w:type="dxa"/>
            <w:tcBorders>
              <w:start w:val="single" w:sz="8" w:space="0" w:color="000000"/>
              <w:bottom w:val="single" w:sz="8" w:space="0" w:color="000000"/>
              <w:end w:val="single" w:sz="8" w:space="0" w:color="000000"/>
            </w:tcBorders>
            <w:shd w:fill="C0C0C0" w:val="clear"/>
            <w:vAlign w:val="center"/>
          </w:tcPr>
          <w:p>
            <w:pPr>
              <w:pStyle w:val="Normal"/>
              <w:widowControl/>
              <w:jc w:val="start"/>
              <w:rPr>
                <w:rFonts w:ascii="宋体;SimSun" w:hAnsi="宋体;SimSun"/>
                <w:b/>
                <w:bCs/>
                <w:kern w:val="0"/>
                <w:sz w:val="22"/>
                <w:szCs w:val="22"/>
              </w:rPr>
            </w:pPr>
            <w:r>
              <w:rPr>
                <w:rFonts w:ascii="宋体;SimSun" w:hAnsi="宋体;SimSun"/>
                <w:b/>
                <w:bCs/>
                <w:kern w:val="0"/>
                <w:sz w:val="22"/>
                <w:szCs w:val="22"/>
              </w:rPr>
              <w:t>房地产查勘</w:t>
            </w:r>
          </w:p>
        </w:tc>
        <w:tc>
          <w:tcPr>
            <w:tcW w:w="3360" w:type="dxa"/>
            <w:gridSpan w:val="2"/>
            <w:tcBorders>
              <w:top w:val="single" w:sz="8" w:space="0" w:color="000000"/>
              <w:bottom w:val="single" w:sz="8" w:space="0" w:color="000000"/>
              <w:end w:val="single" w:sz="8" w:space="0" w:color="000000"/>
            </w:tcBorders>
            <w:vAlign w:val="bottom"/>
          </w:tcPr>
          <w:p>
            <w:pPr>
              <w:pStyle w:val="Normal"/>
              <w:widowControl/>
              <w:jc w:val="center"/>
              <w:rPr>
                <w:kern w:val="0"/>
                <w:sz w:val="22"/>
                <w:szCs w:val="22"/>
              </w:rPr>
            </w:pPr>
            <w:r>
              <w:rPr>
                <w:kern w:val="0"/>
                <w:sz w:val="22"/>
                <w:szCs w:val="22"/>
              </w:rPr>
              <w:t>马成、寿璐鹏</w:t>
            </w:r>
          </w:p>
        </w:tc>
        <w:tc>
          <w:tcPr>
            <w:tcW w:w="1699" w:type="dxa"/>
            <w:gridSpan w:val="2"/>
            <w:tcBorders>
              <w:top w:val="single" w:sz="8" w:space="0" w:color="000000"/>
              <w:bottom w:val="single" w:sz="8" w:space="0" w:color="000000"/>
              <w:end w:val="single" w:sz="8" w:space="0" w:color="000000"/>
            </w:tcBorders>
            <w:shd w:fill="C0C0C0" w:val="clear"/>
            <w:vAlign w:val="center"/>
          </w:tcPr>
          <w:p>
            <w:pPr>
              <w:pStyle w:val="Normal"/>
              <w:widowControl/>
              <w:jc w:val="start"/>
              <w:rPr>
                <w:rFonts w:ascii="宋体;SimSun" w:hAnsi="宋体;SimSun"/>
                <w:b/>
                <w:bCs/>
                <w:kern w:val="0"/>
                <w:sz w:val="22"/>
                <w:szCs w:val="22"/>
              </w:rPr>
            </w:pPr>
            <w:r>
              <w:rPr>
                <w:rFonts w:ascii="宋体;SimSun" w:hAnsi="宋体;SimSun"/>
                <w:b/>
                <w:bCs/>
                <w:kern w:val="0"/>
                <w:sz w:val="22"/>
                <w:szCs w:val="22"/>
              </w:rPr>
              <w:t>报告制作</w:t>
            </w:r>
          </w:p>
        </w:tc>
        <w:tc>
          <w:tcPr>
            <w:tcW w:w="2766" w:type="dxa"/>
            <w:tcBorders>
              <w:bottom w:val="single" w:sz="8" w:space="0" w:color="000000"/>
              <w:end w:val="single" w:sz="8" w:space="0" w:color="000000"/>
            </w:tcBorders>
            <w:vAlign w:val="center"/>
          </w:tcPr>
          <w:p>
            <w:pPr>
              <w:pStyle w:val="Normal"/>
              <w:widowControl/>
              <w:jc w:val="center"/>
              <w:rPr>
                <w:kern w:val="0"/>
                <w:sz w:val="22"/>
                <w:szCs w:val="22"/>
              </w:rPr>
            </w:pPr>
            <w:r>
              <w:rPr>
                <w:kern w:val="0"/>
                <w:sz w:val="22"/>
                <w:szCs w:val="22"/>
              </w:rPr>
              <w:t>马成</w:t>
            </w:r>
          </w:p>
        </w:tc>
      </w:tr>
      <w:tr>
        <w:trPr>
          <w:trHeight w:val="1065" w:hRule="atLeast"/>
        </w:trPr>
        <w:tc>
          <w:tcPr>
            <w:tcW w:w="2160" w:type="dxa"/>
            <w:tcBorders>
              <w:start w:val="single" w:sz="8" w:space="0" w:color="000000"/>
              <w:bottom w:val="single" w:sz="8" w:space="0" w:color="000000"/>
              <w:end w:val="single" w:sz="8" w:space="0" w:color="000000"/>
            </w:tcBorders>
            <w:shd w:fill="C0C0C0" w:val="clear"/>
            <w:vAlign w:val="center"/>
          </w:tcPr>
          <w:p>
            <w:pPr>
              <w:pStyle w:val="Normal"/>
              <w:widowControl/>
              <w:jc w:val="start"/>
              <w:rPr>
                <w:rFonts w:ascii="宋体;SimSun" w:hAnsi="宋体;SimSun"/>
                <w:b/>
                <w:bCs/>
                <w:kern w:val="0"/>
                <w:sz w:val="22"/>
                <w:szCs w:val="22"/>
              </w:rPr>
            </w:pPr>
            <w:r>
              <w:rPr>
                <w:rFonts w:ascii="宋体;SimSun" w:hAnsi="宋体;SimSun"/>
                <w:b/>
                <w:bCs/>
                <w:kern w:val="0"/>
                <w:sz w:val="22"/>
                <w:szCs w:val="22"/>
              </w:rPr>
              <w:t>文字核对</w:t>
            </w:r>
          </w:p>
        </w:tc>
        <w:tc>
          <w:tcPr>
            <w:tcW w:w="7825" w:type="dxa"/>
            <w:gridSpan w:val="5"/>
            <w:tcBorders>
              <w:top w:val="single" w:sz="8" w:space="0" w:color="000000"/>
              <w:bottom w:val="single" w:sz="8" w:space="0" w:color="000000"/>
              <w:end w:val="single" w:sz="8" w:space="0" w:color="000000"/>
            </w:tcBorders>
            <w:vAlign w:val="bottom"/>
          </w:tcPr>
          <w:p>
            <w:pPr>
              <w:pStyle w:val="Normal"/>
              <w:widowControl/>
              <w:jc w:val="end"/>
              <w:rPr>
                <w:rFonts w:ascii="宋体;SimSun" w:hAnsi="宋体;SimSun"/>
                <w:kern w:val="0"/>
                <w:sz w:val="22"/>
                <w:szCs w:val="22"/>
              </w:rPr>
            </w:pPr>
            <w:r>
              <w:rPr>
                <w:rFonts w:eastAsia="宋体;SimSun" w:ascii="宋体;SimSun" w:hAnsi="宋体;SimSun"/>
                <w:kern w:val="0"/>
                <w:sz w:val="22"/>
                <w:szCs w:val="22"/>
              </w:rPr>
              <w:t xml:space="preserve">   </w:t>
            </w:r>
            <w:r>
              <w:rPr>
                <w:rFonts w:ascii="宋体;SimSun" w:hAnsi="宋体;SimSun"/>
                <w:kern w:val="0"/>
                <w:sz w:val="22"/>
                <w:szCs w:val="22"/>
              </w:rPr>
              <w:t>年</w:t>
            </w:r>
            <w:r>
              <w:rPr>
                <w:rFonts w:ascii="宋体;SimSun" w:hAnsi="宋体;SimSun" w:eastAsia="宋体;SimSun"/>
                <w:kern w:val="0"/>
                <w:sz w:val="22"/>
                <w:szCs w:val="22"/>
              </w:rPr>
              <w:t xml:space="preserve">   </w:t>
            </w:r>
            <w:r>
              <w:rPr>
                <w:rFonts w:ascii="宋体;SimSun" w:hAnsi="宋体;SimSun"/>
                <w:kern w:val="0"/>
                <w:sz w:val="22"/>
                <w:szCs w:val="22"/>
              </w:rPr>
              <w:t>月</w:t>
            </w:r>
            <w:r>
              <w:rPr>
                <w:rFonts w:ascii="宋体;SimSun" w:hAnsi="宋体;SimSun" w:eastAsia="宋体;SimSun"/>
                <w:kern w:val="0"/>
                <w:sz w:val="22"/>
                <w:szCs w:val="22"/>
              </w:rPr>
              <w:t xml:space="preserve">   </w:t>
            </w:r>
            <w:r>
              <w:rPr>
                <w:rFonts w:ascii="宋体;SimSun" w:hAnsi="宋体;SimSun"/>
                <w:kern w:val="0"/>
                <w:sz w:val="22"/>
                <w:szCs w:val="22"/>
              </w:rPr>
              <w:t>日</w:t>
            </w:r>
          </w:p>
        </w:tc>
      </w:tr>
      <w:tr>
        <w:trPr>
          <w:trHeight w:val="1065" w:hRule="atLeast"/>
        </w:trPr>
        <w:tc>
          <w:tcPr>
            <w:tcW w:w="2160" w:type="dxa"/>
            <w:tcBorders>
              <w:start w:val="single" w:sz="8" w:space="0" w:color="000000"/>
              <w:bottom w:val="single" w:sz="8" w:space="0" w:color="000000"/>
              <w:end w:val="single" w:sz="8" w:space="0" w:color="000000"/>
            </w:tcBorders>
            <w:shd w:fill="C0C0C0" w:val="clear"/>
            <w:vAlign w:val="center"/>
          </w:tcPr>
          <w:p>
            <w:pPr>
              <w:pStyle w:val="Normal"/>
              <w:widowControl/>
              <w:jc w:val="start"/>
              <w:rPr>
                <w:rFonts w:ascii="宋体;SimSun" w:hAnsi="宋体;SimSun"/>
                <w:b/>
                <w:bCs/>
                <w:kern w:val="0"/>
                <w:sz w:val="22"/>
                <w:szCs w:val="22"/>
              </w:rPr>
            </w:pPr>
            <w:r>
              <w:rPr>
                <w:rFonts w:ascii="宋体;SimSun" w:hAnsi="宋体;SimSun"/>
                <w:b/>
                <w:bCs/>
                <w:kern w:val="0"/>
                <w:sz w:val="22"/>
                <w:szCs w:val="22"/>
              </w:rPr>
              <w:t>部门审核</w:t>
            </w:r>
          </w:p>
        </w:tc>
        <w:tc>
          <w:tcPr>
            <w:tcW w:w="7825" w:type="dxa"/>
            <w:gridSpan w:val="5"/>
            <w:tcBorders>
              <w:top w:val="single" w:sz="8" w:space="0" w:color="000000"/>
              <w:bottom w:val="single" w:sz="8" w:space="0" w:color="000000"/>
              <w:end w:val="single" w:sz="8" w:space="0" w:color="000000"/>
            </w:tcBorders>
            <w:vAlign w:val="bottom"/>
          </w:tcPr>
          <w:p>
            <w:pPr>
              <w:pStyle w:val="Normal"/>
              <w:widowControl/>
              <w:jc w:val="end"/>
              <w:rPr>
                <w:rFonts w:ascii="宋体;SimSun" w:hAnsi="宋体;SimSun"/>
                <w:kern w:val="0"/>
                <w:sz w:val="22"/>
                <w:szCs w:val="22"/>
              </w:rPr>
            </w:pPr>
            <w:r>
              <w:rPr>
                <w:rFonts w:eastAsia="宋体;SimSun" w:ascii="宋体;SimSun" w:hAnsi="宋体;SimSun"/>
                <w:kern w:val="0"/>
                <w:sz w:val="22"/>
                <w:szCs w:val="22"/>
              </w:rPr>
              <w:t xml:space="preserve">   </w:t>
            </w:r>
            <w:r>
              <w:rPr>
                <w:rFonts w:ascii="宋体;SimSun" w:hAnsi="宋体;SimSun"/>
                <w:kern w:val="0"/>
                <w:sz w:val="22"/>
                <w:szCs w:val="22"/>
              </w:rPr>
              <w:t>年</w:t>
            </w:r>
            <w:r>
              <w:rPr>
                <w:rFonts w:ascii="宋体;SimSun" w:hAnsi="宋体;SimSun" w:eastAsia="宋体;SimSun"/>
                <w:kern w:val="0"/>
                <w:sz w:val="22"/>
                <w:szCs w:val="22"/>
              </w:rPr>
              <w:t xml:space="preserve">   </w:t>
            </w:r>
            <w:r>
              <w:rPr>
                <w:rFonts w:ascii="宋体;SimSun" w:hAnsi="宋体;SimSun"/>
                <w:kern w:val="0"/>
                <w:sz w:val="22"/>
                <w:szCs w:val="22"/>
              </w:rPr>
              <w:t>月</w:t>
            </w:r>
            <w:r>
              <w:rPr>
                <w:rFonts w:ascii="宋体;SimSun" w:hAnsi="宋体;SimSun" w:eastAsia="宋体;SimSun"/>
                <w:kern w:val="0"/>
                <w:sz w:val="22"/>
                <w:szCs w:val="22"/>
              </w:rPr>
              <w:t xml:space="preserve">   </w:t>
            </w:r>
            <w:r>
              <w:rPr>
                <w:rFonts w:ascii="宋体;SimSun" w:hAnsi="宋体;SimSun"/>
                <w:kern w:val="0"/>
                <w:sz w:val="22"/>
                <w:szCs w:val="22"/>
              </w:rPr>
              <w:t>日</w:t>
            </w:r>
          </w:p>
        </w:tc>
      </w:tr>
      <w:tr>
        <w:trPr>
          <w:trHeight w:val="1065" w:hRule="atLeast"/>
        </w:trPr>
        <w:tc>
          <w:tcPr>
            <w:tcW w:w="2160" w:type="dxa"/>
            <w:tcBorders>
              <w:start w:val="single" w:sz="8" w:space="0" w:color="000000"/>
              <w:bottom w:val="single" w:sz="8" w:space="0" w:color="000000"/>
              <w:end w:val="single" w:sz="8" w:space="0" w:color="000000"/>
            </w:tcBorders>
            <w:shd w:fill="C0C0C0" w:val="clear"/>
            <w:vAlign w:val="center"/>
          </w:tcPr>
          <w:p>
            <w:pPr>
              <w:pStyle w:val="Normal"/>
              <w:widowControl/>
              <w:jc w:val="start"/>
              <w:rPr>
                <w:rFonts w:ascii="宋体;SimSun" w:hAnsi="宋体;SimSun"/>
                <w:b/>
                <w:bCs/>
                <w:kern w:val="0"/>
                <w:sz w:val="22"/>
                <w:szCs w:val="22"/>
              </w:rPr>
            </w:pPr>
            <w:r>
              <w:rPr>
                <w:rFonts w:ascii="宋体;SimSun" w:hAnsi="宋体;SimSun"/>
                <w:b/>
                <w:bCs/>
                <w:kern w:val="0"/>
                <w:sz w:val="22"/>
                <w:szCs w:val="22"/>
              </w:rPr>
              <w:t>公司审核</w:t>
            </w:r>
          </w:p>
        </w:tc>
        <w:tc>
          <w:tcPr>
            <w:tcW w:w="7825" w:type="dxa"/>
            <w:gridSpan w:val="5"/>
            <w:tcBorders>
              <w:top w:val="single" w:sz="8" w:space="0" w:color="000000"/>
              <w:bottom w:val="single" w:sz="8" w:space="0" w:color="000000"/>
              <w:end w:val="single" w:sz="8" w:space="0" w:color="000000"/>
            </w:tcBorders>
            <w:vAlign w:val="bottom"/>
          </w:tcPr>
          <w:p>
            <w:pPr>
              <w:pStyle w:val="Normal"/>
              <w:widowControl/>
              <w:jc w:val="end"/>
              <w:rPr>
                <w:rFonts w:ascii="宋体;SimSun" w:hAnsi="宋体;SimSun"/>
                <w:kern w:val="0"/>
                <w:sz w:val="22"/>
                <w:szCs w:val="22"/>
              </w:rPr>
            </w:pPr>
            <w:r>
              <w:rPr>
                <w:rFonts w:eastAsia="宋体;SimSun" w:ascii="宋体;SimSun" w:hAnsi="宋体;SimSun"/>
                <w:kern w:val="0"/>
                <w:sz w:val="22"/>
                <w:szCs w:val="22"/>
              </w:rPr>
              <w:t xml:space="preserve">   </w:t>
            </w:r>
            <w:r>
              <w:rPr>
                <w:rFonts w:ascii="宋体;SimSun" w:hAnsi="宋体;SimSun"/>
                <w:kern w:val="0"/>
                <w:sz w:val="22"/>
                <w:szCs w:val="22"/>
              </w:rPr>
              <w:t>年</w:t>
            </w:r>
            <w:r>
              <w:rPr>
                <w:rFonts w:ascii="宋体;SimSun" w:hAnsi="宋体;SimSun" w:eastAsia="宋体;SimSun"/>
                <w:kern w:val="0"/>
                <w:sz w:val="22"/>
                <w:szCs w:val="22"/>
              </w:rPr>
              <w:t xml:space="preserve">   </w:t>
            </w:r>
            <w:r>
              <w:rPr>
                <w:rFonts w:ascii="宋体;SimSun" w:hAnsi="宋体;SimSun"/>
                <w:kern w:val="0"/>
                <w:sz w:val="22"/>
                <w:szCs w:val="22"/>
              </w:rPr>
              <w:t>月</w:t>
            </w:r>
            <w:r>
              <w:rPr>
                <w:rFonts w:ascii="宋体;SimSun" w:hAnsi="宋体;SimSun" w:eastAsia="宋体;SimSun"/>
                <w:kern w:val="0"/>
                <w:sz w:val="22"/>
                <w:szCs w:val="22"/>
              </w:rPr>
              <w:t xml:space="preserve">   </w:t>
            </w:r>
            <w:r>
              <w:rPr>
                <w:rFonts w:ascii="宋体;SimSun" w:hAnsi="宋体;SimSun"/>
                <w:kern w:val="0"/>
                <w:sz w:val="22"/>
                <w:szCs w:val="22"/>
              </w:rPr>
              <w:t>日</w:t>
            </w:r>
          </w:p>
        </w:tc>
      </w:tr>
    </w:tbl>
    <w:p>
      <w:pPr>
        <w:pStyle w:val="Normal"/>
        <w:rPr/>
      </w:pPr>
      <w:r>
        <w:rPr/>
      </w:r>
    </w:p>
    <w:sectPr>
      <w:headerReference w:type="default" r:id="rId39"/>
      <w:headerReference w:type="first" r:id="rId40"/>
      <w:footerReference w:type="default" r:id="rId41"/>
      <w:footerReference w:type="first" r:id="rId42"/>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黑体">
    <w:altName w:val="SimHei"/>
    <w:charset w:val="86"/>
    <w:family w:val="modern"/>
    <w:pitch w:val="default"/>
  </w:font>
  <w:font w:name="Wingdings">
    <w:charset w:val="02"/>
    <w:family w:val="auto"/>
    <w:pitch w:val="variable"/>
  </w:font>
  <w:font w:name="仿宋体">
    <w:altName w:val="宋体"/>
    <w:charset w:val="86"/>
    <w:family w:val="roman"/>
    <w:pitch w:val="default"/>
  </w:font>
  <w:font w:name="Liberation Sans">
    <w:altName w:val="Arial"/>
    <w:charset w:val="01" w:characterSet="utf-8"/>
    <w:family w:val="swiss"/>
    <w:pitch w:val="variable"/>
  </w:font>
  <w:font w:name="Calibri">
    <w:charset w:val="00" w:characterSet="windows-1252"/>
    <w:family w:val="swiss"/>
    <w:pitch w:val="variable"/>
  </w:font>
  <w:font w:name="楷体">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1" allowOverlap="1" relativeHeight="0">
              <wp:simplePos x="0" y="0"/>
              <wp:positionH relativeFrom="margin">
                <wp:align>center</wp:align>
              </wp:positionH>
              <wp:positionV relativeFrom="paragraph">
                <wp:posOffset>635</wp:posOffset>
              </wp:positionV>
              <wp:extent cx="88900" cy="20955"/>
              <wp:effectExtent l="0" t="0" r="0" b="0"/>
              <wp:wrapSquare wrapText="bothSides"/>
              <wp:docPr id="1" name="Frame1"/>
              <a:graphic xmlns:a="http://schemas.openxmlformats.org/drawingml/2006/main">
                <a:graphicData uri="http://schemas.microsoft.com/office/word/2010/wordprocessingShape">
                  <wps:wsp>
                    <wps:cNvSpPr txBox="1"/>
                    <wps:spPr>
                      <a:xfrm>
                        <a:off x="0" y="0"/>
                        <a:ext cx="88900" cy="209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pt;height:1.6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nil"/>
      </w:pBd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nil"/>
      </w:pBd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nil"/>
      </w:pBd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nil"/>
      </w:pBdr>
      <w:jc w:val="end"/>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nil"/>
      </w:pBd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Cs w:val="21"/>
      </w:rPr>
      <w:t>地址：</w:t>
    </w:r>
    <w:r>
      <w:rPr>
        <w:rFonts w:cs="微软雅黑"/>
        <w:bCs/>
        <w:szCs w:val="21"/>
      </w:rPr>
      <w:t>杭州市拱墅区嘉联华铭座</w:t>
    </w:r>
    <w:r>
      <w:rPr>
        <w:rFonts w:cs="微软雅黑"/>
        <w:bCs/>
        <w:szCs w:val="21"/>
      </w:rPr>
      <w:t>1003</w:t>
    </w:r>
    <w:r>
      <w:rPr>
        <w:rFonts w:cs="微软雅黑"/>
        <w:bCs/>
        <w:szCs w:val="21"/>
      </w:rPr>
      <w:t xml:space="preserve">室        </w:t>
    </w:r>
    <w:r>
      <w:rPr>
        <w:szCs w:val="21"/>
      </w:rPr>
      <w:t xml:space="preserve">                       电话：</w:t>
    </w:r>
    <w:r>
      <w:rPr>
        <w:szCs w:val="21"/>
      </w:rPr>
      <w:t>0571-28066616</w:t>
    </w:r>
  </w:p>
  <w:p>
    <w:pPr>
      <w:pStyle w:val="Footer"/>
      <w:jc w:val="end"/>
      <w:rPr/>
    </w:pPr>
    <w:r>
      <w:rPr/>
      <w:t>第</w:t>
    </w:r>
    <w:r>
      <w:rPr/>
      <w:t>2</w:t>
    </w:r>
    <w:r>
      <w:rPr/>
      <w:t>页</w: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szCs w:val="21"/>
      </w:rPr>
    </w:pPr>
    <w:r>
      <w:rPr>
        <w:szCs w:val="21"/>
      </w:rPr>
      <w:t>地址：</w:t>
    </w:r>
    <w:r>
      <w:rPr>
        <w:rFonts w:cs="微软雅黑"/>
        <w:bCs/>
        <w:szCs w:val="21"/>
      </w:rPr>
      <w:t>杭州市拱墅区嘉联华铭座</w:t>
    </w:r>
    <w:r>
      <w:rPr>
        <w:rFonts w:cs="微软雅黑"/>
        <w:bCs/>
        <w:szCs w:val="21"/>
      </w:rPr>
      <w:t>1003</w:t>
    </w:r>
    <w:r>
      <w:rPr>
        <w:rFonts w:cs="微软雅黑"/>
        <w:bCs/>
        <w:szCs w:val="21"/>
      </w:rPr>
      <w:t>室</w:t>
    </w:r>
    <w:r>
      <w:rPr>
        <w:szCs w:val="21"/>
      </w:rPr>
      <w:t xml:space="preserve">                               电话：</w:t>
    </w:r>
    <w:r>
      <w:rPr>
        <w:szCs w:val="21"/>
      </w:rPr>
      <w:t>0571-28066616</w:t>
    </w:r>
  </w:p>
  <w:p>
    <w:pPr>
      <w:pStyle w:val="Footer"/>
      <w:jc w:val="end"/>
      <w:rPr/>
    </w:pPr>
    <w:r>
      <w:rPr>
        <w:rStyle w:val="PageNumber"/>
        <w:szCs w:val="21"/>
      </w:rPr>
      <w:t>第</w:t>
    </w:r>
    <w:r>
      <w:rPr>
        <w:rStyle w:val="PageNumber"/>
        <w:szCs w:val="21"/>
      </w:rPr>
      <w:fldChar w:fldCharType="begin"/>
    </w:r>
    <w:r>
      <w:rPr>
        <w:rStyle w:val="PageNumber"/>
        <w:szCs w:val="21"/>
      </w:rPr>
      <w:instrText xml:space="preserve"> PAGE </w:instrText>
    </w:r>
    <w:r>
      <w:rPr>
        <w:rStyle w:val="PageNumber"/>
        <w:szCs w:val="21"/>
      </w:rPr>
      <w:fldChar w:fldCharType="separate"/>
    </w:r>
    <w:r>
      <w:rPr>
        <w:rStyle w:val="PageNumber"/>
        <w:szCs w:val="21"/>
      </w:rPr>
      <w:t>1</w:t>
    </w:r>
    <w:r>
      <w:rPr>
        <w:rStyle w:val="PageNumber"/>
        <w:szCs w:val="21"/>
      </w:rPr>
      <w:fldChar w:fldCharType="end"/>
    </w:r>
    <w:r>
      <w:rPr>
        <w:rStyle w:val="PageNumber"/>
        <w:szCs w:val="21"/>
      </w:rPr>
      <w:t>页</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rPr>
    </w:pPr>
    <w:r>
      <w:rPr>
        <w:szCs w:val="21"/>
      </w:rPr>
      <w:t>地址：</w:t>
    </w:r>
    <w:r>
      <w:rPr>
        <w:rFonts w:cs="微软雅黑"/>
        <w:bCs/>
        <w:szCs w:val="21"/>
      </w:rPr>
      <w:t>杭州市拱墅区嘉联华铭座</w:t>
    </w:r>
    <w:r>
      <w:rPr>
        <w:rFonts w:cs="微软雅黑"/>
        <w:bCs/>
        <w:szCs w:val="21"/>
      </w:rPr>
      <w:t>1003</w:t>
    </w:r>
    <w:r>
      <w:rPr>
        <w:rFonts w:cs="微软雅黑"/>
        <w:bCs/>
        <w:szCs w:val="21"/>
      </w:rPr>
      <w:t xml:space="preserve">室        </w:t>
    </w:r>
    <w:r>
      <w:rPr>
        <w:szCs w:val="21"/>
      </w:rPr>
      <w:t xml:space="preserve">                        电话：</w:t>
    </w:r>
    <w:r>
      <w:rPr>
        <w:szCs w:val="21"/>
      </w:rPr>
      <w:t>0571-28066616</w:t>
    </w:r>
  </w:p>
  <w:p>
    <w:pPr>
      <w:pStyle w:val="Footer"/>
      <w:jc w:val="end"/>
      <w:rPr/>
    </w:pPr>
    <w:r>
      <w:rPr>
        <w:rStyle w:val="PageNumber"/>
      </w:rPr>
      <w:t>第</w:t>
    </w: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r>
      <w:rPr>
        <w:rStyle w:val="PageNumber"/>
      </w:rPr>
      <w:t>页</w: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Cs w:val="21"/>
      </w:rPr>
      <w:t>地址：</w:t>
    </w:r>
    <w:r>
      <w:rPr>
        <w:rFonts w:cs="微软雅黑"/>
        <w:bCs/>
        <w:szCs w:val="21"/>
      </w:rPr>
      <w:t>杭州市拱墅区嘉联华铭座</w:t>
    </w:r>
    <w:r>
      <w:rPr>
        <w:rFonts w:cs="微软雅黑"/>
        <w:bCs/>
        <w:szCs w:val="21"/>
      </w:rPr>
      <w:t>1003</w:t>
    </w:r>
    <w:r>
      <w:rPr>
        <w:rFonts w:cs="微软雅黑"/>
        <w:bCs/>
        <w:szCs w:val="21"/>
      </w:rPr>
      <w:t>室</w:t>
    </w:r>
    <w:r>
      <w:rPr>
        <w:szCs w:val="21"/>
      </w:rPr>
      <w:t xml:space="preserve">                               电话：</w:t>
    </w:r>
    <w:r>
      <w:rPr>
        <w:szCs w:val="21"/>
      </w:rPr>
      <w:t>0571-28066616</w:t>
    </w:r>
  </w:p>
  <w:p>
    <w:pPr>
      <w:pStyle w:val="Footer"/>
      <w:jc w:val="end"/>
      <w:rPr/>
    </w:pPr>
    <w:r>
      <w:rPr>
        <w:rStyle w:val="PageNumber"/>
        <w:szCs w:val="21"/>
      </w:rPr>
      <w:t>第</w:t>
    </w:r>
    <w:r>
      <w:rPr>
        <w:rStyle w:val="PageNumber"/>
        <w:szCs w:val="21"/>
      </w:rPr>
      <w:fldChar w:fldCharType="begin"/>
    </w:r>
    <w:r>
      <w:rPr>
        <w:rStyle w:val="PageNumber"/>
        <w:szCs w:val="21"/>
      </w:rPr>
      <w:instrText xml:space="preserve"> PAGE </w:instrText>
    </w:r>
    <w:r>
      <w:rPr>
        <w:rStyle w:val="PageNumber"/>
        <w:szCs w:val="21"/>
      </w:rPr>
      <w:fldChar w:fldCharType="separate"/>
    </w:r>
    <w:r>
      <w:rPr>
        <w:rStyle w:val="PageNumber"/>
        <w:szCs w:val="21"/>
      </w:rPr>
      <w:t>3</w:t>
    </w:r>
    <w:r>
      <w:rPr>
        <w:rStyle w:val="PageNumber"/>
        <w:szCs w:val="21"/>
      </w:rPr>
      <w:fldChar w:fldCharType="end"/>
    </w:r>
    <w:r>
      <w:rPr>
        <w:rStyle w:val="PageNumber"/>
        <w:szCs w:val="21"/>
      </w:rPr>
      <w:t>页</w: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Cs w:val="21"/>
      </w:rPr>
      <w:t>地址：</w:t>
    </w:r>
    <w:r>
      <w:rPr>
        <w:rFonts w:cs="微软雅黑"/>
        <w:bCs/>
        <w:szCs w:val="21"/>
      </w:rPr>
      <w:t>杭州市拱墅区嘉联华铭座</w:t>
    </w:r>
    <w:r>
      <w:rPr>
        <w:rFonts w:cs="微软雅黑"/>
        <w:bCs/>
        <w:szCs w:val="21"/>
      </w:rPr>
      <w:t>1003</w:t>
    </w:r>
    <w:r>
      <w:rPr>
        <w:rFonts w:cs="微软雅黑"/>
        <w:bCs/>
        <w:szCs w:val="21"/>
      </w:rPr>
      <w:t xml:space="preserve">室        </w:t>
    </w:r>
    <w:r>
      <w:rPr>
        <w:szCs w:val="21"/>
      </w:rPr>
      <w:t xml:space="preserve">                        电话：</w:t>
    </w:r>
    <w:r>
      <w:rPr>
        <w:szCs w:val="21"/>
      </w:rPr>
      <w:t>0571-28066616</w:t>
    </w:r>
  </w:p>
  <w:p>
    <w:pPr>
      <w:pStyle w:val="Footer"/>
      <w:jc w:val="end"/>
      <w:rPr/>
    </w:pPr>
    <w:r>
      <w:rPr>
        <w:rStyle w:val="PageNumber"/>
      </w:rPr>
      <w:t>第</w:t>
    </w: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r>
      <w:rPr>
        <w:rStyle w:val="PageNumber"/>
      </w:rPr>
      <w:t>页</w: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Cs w:val="21"/>
      </w:rPr>
      <w:t>地址：</w:t>
    </w:r>
    <w:r>
      <w:rPr>
        <w:rFonts w:cs="微软雅黑"/>
        <w:bCs/>
        <w:szCs w:val="21"/>
      </w:rPr>
      <w:t>杭州市拱墅区嘉联华铭座</w:t>
    </w:r>
    <w:r>
      <w:rPr>
        <w:rFonts w:cs="微软雅黑"/>
        <w:bCs/>
        <w:szCs w:val="21"/>
      </w:rPr>
      <w:t>1003</w:t>
    </w:r>
    <w:r>
      <w:rPr>
        <w:rFonts w:cs="微软雅黑"/>
        <w:bCs/>
        <w:szCs w:val="21"/>
      </w:rPr>
      <w:t>室</w:t>
    </w:r>
    <w:r>
      <w:rPr>
        <w:szCs w:val="21"/>
      </w:rPr>
      <w:t xml:space="preserve">                               电话：</w:t>
    </w:r>
    <w:r>
      <w:rPr>
        <w:szCs w:val="21"/>
      </w:rPr>
      <w:t>0571-28066616</w:t>
    </w:r>
  </w:p>
  <w:p>
    <w:pPr>
      <w:pStyle w:val="Footer"/>
      <w:jc w:val="end"/>
      <w:rPr/>
    </w:pPr>
    <w:r>
      <w:rPr>
        <w:rStyle w:val="PageNumber"/>
        <w:szCs w:val="21"/>
      </w:rPr>
      <w:t>第</w:t>
    </w:r>
    <w:r>
      <w:rPr>
        <w:rStyle w:val="PageNumber"/>
        <w:szCs w:val="21"/>
      </w:rPr>
      <w:fldChar w:fldCharType="begin"/>
    </w:r>
    <w:r>
      <w:rPr>
        <w:rStyle w:val="PageNumber"/>
        <w:szCs w:val="21"/>
      </w:rPr>
      <w:instrText xml:space="preserve"> PAGE </w:instrText>
    </w:r>
    <w:r>
      <w:rPr>
        <w:rStyle w:val="PageNumber"/>
        <w:szCs w:val="21"/>
      </w:rPr>
      <w:fldChar w:fldCharType="separate"/>
    </w:r>
    <w:r>
      <w:rPr>
        <w:rStyle w:val="PageNumber"/>
        <w:szCs w:val="21"/>
      </w:rPr>
      <w:t>7</w:t>
    </w:r>
    <w:r>
      <w:rPr>
        <w:rStyle w:val="PageNumber"/>
        <w:szCs w:val="21"/>
      </w:rPr>
      <w:fldChar w:fldCharType="end"/>
    </w:r>
    <w:r>
      <w:rPr>
        <w:rStyle w:val="PageNumber"/>
        <w:szCs w:val="21"/>
      </w:rPr>
      <w:t>页</w: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Cs w:val="21"/>
      </w:rPr>
      <w:t>地址：</w:t>
    </w:r>
    <w:r>
      <w:rPr>
        <w:rFonts w:cs="微软雅黑"/>
        <w:bCs/>
        <w:szCs w:val="21"/>
      </w:rPr>
      <w:t>杭州市拱墅区嘉联华铭座</w:t>
    </w:r>
    <w:r>
      <w:rPr>
        <w:rFonts w:cs="微软雅黑"/>
        <w:bCs/>
        <w:szCs w:val="21"/>
      </w:rPr>
      <w:t>1003</w:t>
    </w:r>
    <w:r>
      <w:rPr>
        <w:rFonts w:cs="微软雅黑"/>
        <w:bCs/>
        <w:szCs w:val="21"/>
      </w:rPr>
      <w:t xml:space="preserve">室        </w:t>
    </w:r>
    <w:r>
      <w:rPr>
        <w:szCs w:val="21"/>
      </w:rPr>
      <w:t xml:space="preserve">                        电话：</w:t>
    </w:r>
    <w:r>
      <w:rPr>
        <w:szCs w:val="21"/>
      </w:rPr>
      <w:t>0571-28066616</w:t>
    </w:r>
  </w:p>
  <w:p>
    <w:pPr>
      <w:pStyle w:val="Footer"/>
      <w:jc w:val="end"/>
      <w:rPr/>
    </w:pPr>
    <w:r>
      <w:rPr>
        <w:rStyle w:val="PageNumber"/>
      </w:rPr>
      <w:t>第</w:t>
    </w:r>
    <w:r>
      <w:rPr>
        <w:rStyle w:val="PageNumber"/>
      </w:rPr>
      <w:fldChar w:fldCharType="begin"/>
    </w:r>
    <w:r>
      <w:rPr>
        <w:rStyle w:val="PageNumber"/>
      </w:rPr>
      <w:instrText xml:space="preserve"> PAGE </w:instrText>
    </w:r>
    <w:r>
      <w:rPr>
        <w:rStyle w:val="PageNumber"/>
      </w:rPr>
      <w:fldChar w:fldCharType="separate"/>
    </w:r>
    <w:r>
      <w:rPr>
        <w:rStyle w:val="PageNumber"/>
      </w:rPr>
      <w:t>43</w:t>
    </w:r>
    <w:r>
      <w:rPr>
        <w:rStyle w:val="PageNumber"/>
      </w:rPr>
      <w:fldChar w:fldCharType="end"/>
    </w:r>
    <w:r>
      <w:rPr>
        <w:rStyle w:val="PageNumber"/>
      </w:rPr>
      <w:t>页</w: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Cs w:val="21"/>
      </w:rPr>
      <w:t>地址：</w:t>
    </w:r>
    <w:r>
      <w:rPr>
        <w:rFonts w:cs="微软雅黑"/>
        <w:bCs/>
        <w:szCs w:val="21"/>
      </w:rPr>
      <w:t>杭州市拱墅区嘉联华铭座</w:t>
    </w:r>
    <w:r>
      <w:rPr>
        <w:rFonts w:cs="微软雅黑"/>
        <w:bCs/>
        <w:szCs w:val="21"/>
      </w:rPr>
      <w:t>1003</w:t>
    </w:r>
    <w:r>
      <w:rPr>
        <w:rFonts w:cs="微软雅黑"/>
        <w:bCs/>
        <w:szCs w:val="21"/>
      </w:rPr>
      <w:t>室</w:t>
    </w:r>
    <w:r>
      <w:rPr>
        <w:szCs w:val="21"/>
      </w:rPr>
      <w:t xml:space="preserve">                               电话：</w:t>
    </w:r>
    <w:r>
      <w:rPr>
        <w:szCs w:val="21"/>
      </w:rPr>
      <w:t>0571-28066616</w:t>
    </w:r>
  </w:p>
  <w:p>
    <w:pPr>
      <w:pStyle w:val="Footer"/>
      <w:jc w:val="end"/>
      <w:rPr/>
    </w:pPr>
    <w:r>
      <w:rPr>
        <w:rStyle w:val="PageNumber"/>
        <w:szCs w:val="21"/>
      </w:rPr>
      <w:t>第</w:t>
    </w:r>
    <w:r>
      <w:rPr>
        <w:rStyle w:val="PageNumber"/>
        <w:szCs w:val="21"/>
      </w:rPr>
      <w:fldChar w:fldCharType="begin"/>
    </w:r>
    <w:r>
      <w:rPr>
        <w:rStyle w:val="PageNumber"/>
        <w:szCs w:val="21"/>
      </w:rPr>
      <w:instrText xml:space="preserve"> PAGE </w:instrText>
    </w:r>
    <w:r>
      <w:rPr>
        <w:rStyle w:val="PageNumber"/>
        <w:szCs w:val="21"/>
      </w:rPr>
      <w:fldChar w:fldCharType="separate"/>
    </w:r>
    <w:r>
      <w:rPr>
        <w:rStyle w:val="PageNumber"/>
        <w:szCs w:val="21"/>
      </w:rPr>
      <w:t>15</w:t>
    </w:r>
    <w:r>
      <w:rPr>
        <w:rStyle w:val="PageNumber"/>
        <w:szCs w:val="21"/>
      </w:rPr>
      <w:fldChar w:fldCharType="end"/>
    </w:r>
    <w:r>
      <w:rPr>
        <w:rStyle w:val="PageNumber"/>
        <w:szCs w:val="21"/>
      </w:rPr>
      <w:t>页</w: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nil"/>
      </w:pBd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Cs w:val="21"/>
      </w:rPr>
      <w:t>地址：</w:t>
    </w:r>
    <w:r>
      <w:rPr>
        <w:rFonts w:cs="微软雅黑"/>
        <w:bCs/>
        <w:szCs w:val="21"/>
      </w:rPr>
      <w:t>杭州市拱墅区嘉联华铭座</w:t>
    </w:r>
    <w:r>
      <w:rPr>
        <w:rFonts w:cs="微软雅黑"/>
        <w:bCs/>
        <w:szCs w:val="21"/>
      </w:rPr>
      <w:t>1003</w:t>
    </w:r>
    <w:r>
      <w:rPr>
        <w:rFonts w:cs="微软雅黑"/>
        <w:bCs/>
        <w:szCs w:val="21"/>
      </w:rPr>
      <w:t>室</w:t>
    </w:r>
    <w:r>
      <w:rPr>
        <w:szCs w:val="21"/>
      </w:rPr>
      <w:t xml:space="preserve">                               电话：</w:t>
    </w:r>
    <w:r>
      <w:rPr>
        <w:szCs w:val="21"/>
      </w:rPr>
      <w:t>0571-28066616</w:t>
    </w:r>
  </w:p>
  <w:p>
    <w:pPr>
      <w:pStyle w:val="Footer"/>
      <w:jc w:val="end"/>
      <w:rPr/>
    </w:pPr>
    <w:r>
      <w:rPr>
        <w:rStyle w:val="PageNumber"/>
        <w:szCs w:val="21"/>
      </w:rPr>
      <w:t>第</w:t>
    </w:r>
    <w:r>
      <w:rPr>
        <w:rStyle w:val="PageNumber"/>
        <w:szCs w:val="21"/>
      </w:rPr>
      <w:fldChar w:fldCharType="begin"/>
    </w:r>
    <w:r>
      <w:rPr>
        <w:rStyle w:val="PageNumber"/>
        <w:szCs w:val="21"/>
      </w:rPr>
      <w:instrText xml:space="preserve"> PAGE </w:instrText>
    </w:r>
    <w:r>
      <w:rPr>
        <w:rStyle w:val="PageNumber"/>
        <w:szCs w:val="21"/>
      </w:rPr>
      <w:fldChar w:fldCharType="separate"/>
    </w:r>
    <w:r>
      <w:rPr>
        <w:rStyle w:val="PageNumber"/>
        <w:szCs w:val="21"/>
      </w:rPr>
      <w:t>44</w:t>
    </w:r>
    <w:r>
      <w:rPr>
        <w:rStyle w:val="PageNumber"/>
        <w:szCs w:val="21"/>
      </w:rPr>
      <w:fldChar w:fldCharType="end"/>
    </w:r>
    <w:r>
      <w:rPr>
        <w:rStyle w:val="PageNumber"/>
        <w:szCs w:val="21"/>
      </w:rPr>
      <w:t>页</w: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nil"/>
      </w:pBd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浙江国信房地产土地估价咨询有限公司</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432560" cy="467360"/>
          <wp:effectExtent l="0" t="0" r="0" b="0"/>
          <wp:docPr id="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title=""/>
                  <pic:cNvPicPr>
                    <a:picLocks noChangeAspect="1" noChangeArrowheads="1"/>
                  </pic:cNvPicPr>
                </pic:nvPicPr>
                <pic:blipFill>
                  <a:blip r:embed="rId1"/>
                  <a:srcRect l="-5" t="-17" r="-5" b="-17"/>
                  <a:stretch>
                    <a:fillRect/>
                  </a:stretch>
                </pic:blipFill>
                <pic:spPr bwMode="auto">
                  <a:xfrm>
                    <a:off x="0" y="0"/>
                    <a:ext cx="1432560" cy="467360"/>
                  </a:xfrm>
                  <a:prstGeom prst="rect">
                    <a:avLst/>
                  </a:prstGeom>
                </pic:spPr>
              </pic:pic>
            </a:graphicData>
          </a:graphic>
        </wp:inline>
      </w:drawing>
    </w:r>
    <w:r>
      <w:rPr>
        <w:rFonts w:cs="仿宋_GB2312"/>
      </w:rPr>
      <w:t xml:space="preserve">                                          </w:t>
    </w:r>
    <w:r>
      <w:rPr/>
      <w:drawing>
        <wp:inline distT="0" distB="0" distL="0" distR="0">
          <wp:extent cx="1769745" cy="467360"/>
          <wp:effectExtent l="0" t="0" r="0" b="0"/>
          <wp:docPr id="7" name="图片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 title=""/>
                  <pic:cNvPicPr>
                    <a:picLocks noChangeAspect="1" noChangeArrowheads="1"/>
                  </pic:cNvPicPr>
                </pic:nvPicPr>
                <pic:blipFill>
                  <a:blip r:embed="rId2"/>
                  <a:srcRect l="-5" t="-20" r="-5" b="-20"/>
                  <a:stretch>
                    <a:fillRect/>
                  </a:stretch>
                </pic:blipFill>
                <pic:spPr bwMode="auto">
                  <a:xfrm>
                    <a:off x="0" y="0"/>
                    <a:ext cx="1769745" cy="467360"/>
                  </a:xfrm>
                  <a:prstGeom prst="rect">
                    <a:avLst/>
                  </a:prstGeom>
                </pic:spPr>
              </pic:pic>
            </a:graphicData>
          </a:graphic>
        </wp:inline>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宋体;SimSun" w:hAnsi="宋体;SimSun" w:eastAsia="宋体;SimSun"/>
      </w:rPr>
    </w:pPr>
    <w:r>
      <w:rPr/>
      <w:drawing>
        <wp:inline distT="0" distB="0" distL="0" distR="0">
          <wp:extent cx="1432560" cy="467360"/>
          <wp:effectExtent l="0" t="0" r="0" b="0"/>
          <wp:docPr id="8" name="图片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 title=""/>
                  <pic:cNvPicPr>
                    <a:picLocks noChangeAspect="1" noChangeArrowheads="1"/>
                  </pic:cNvPicPr>
                </pic:nvPicPr>
                <pic:blipFill>
                  <a:blip r:embed="rId1"/>
                  <a:srcRect l="-5" t="-17" r="-5" b="-17"/>
                  <a:stretch>
                    <a:fillRect/>
                  </a:stretch>
                </pic:blipFill>
                <pic:spPr bwMode="auto">
                  <a:xfrm>
                    <a:off x="0" y="0"/>
                    <a:ext cx="1432560" cy="467360"/>
                  </a:xfrm>
                  <a:prstGeom prst="rect">
                    <a:avLst/>
                  </a:prstGeom>
                </pic:spPr>
              </pic:pic>
            </a:graphicData>
          </a:graphic>
        </wp:inline>
      </w:drawing>
    </w:r>
    <w:r>
      <w:rPr>
        <w:rFonts w:cs="仿宋_GB2312"/>
      </w:rPr>
      <w:t xml:space="preserve">                                          </w:t>
    </w:r>
    <w:r>
      <w:rPr/>
      <w:drawing>
        <wp:inline distT="0" distB="0" distL="0" distR="0">
          <wp:extent cx="1769745" cy="467360"/>
          <wp:effectExtent l="0" t="0" r="0" b="0"/>
          <wp:docPr id="9" name="图片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 title=""/>
                  <pic:cNvPicPr>
                    <a:picLocks noChangeAspect="1" noChangeArrowheads="1"/>
                  </pic:cNvPicPr>
                </pic:nvPicPr>
                <pic:blipFill>
                  <a:blip r:embed="rId2"/>
                  <a:srcRect l="-5" t="-20" r="-5" b="-20"/>
                  <a:stretch>
                    <a:fillRect/>
                  </a:stretch>
                </pic:blipFill>
                <pic:spPr bwMode="auto">
                  <a:xfrm>
                    <a:off x="0" y="0"/>
                    <a:ext cx="1769745" cy="467360"/>
                  </a:xfrm>
                  <a:prstGeom prst="rect">
                    <a:avLst/>
                  </a:prstGeom>
                </pic:spPr>
              </pic:pic>
            </a:graphicData>
          </a:graphic>
        </wp:inline>
      </w:drawing>
    </w:r>
  </w:p>
  <w:p>
    <w:pPr>
      <w:pStyle w:val="Header"/>
      <w:pBdr>
        <w:bottom w:val="nil"/>
      </w:pBdr>
      <w:rPr>
        <w:rFonts w:ascii="宋体;SimSun" w:hAnsi="宋体;SimSun" w:eastAsia="宋体;SimSun"/>
      </w:rPr>
    </w:pPr>
    <w:r>
      <w:rPr>
        <w:rFonts w:eastAsia="宋体;SimSun" w:ascii="宋体;SimSun" w:hAnsi="宋体;SimSun"/>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432560" cy="467360"/>
          <wp:effectExtent l="0" t="0" r="0" b="0"/>
          <wp:docPr id="10" name="图片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 title=""/>
                  <pic:cNvPicPr>
                    <a:picLocks noChangeAspect="1" noChangeArrowheads="1"/>
                  </pic:cNvPicPr>
                </pic:nvPicPr>
                <pic:blipFill>
                  <a:blip r:embed="rId1"/>
                  <a:srcRect l="-5" t="-17" r="-5" b="-17"/>
                  <a:stretch>
                    <a:fillRect/>
                  </a:stretch>
                </pic:blipFill>
                <pic:spPr bwMode="auto">
                  <a:xfrm>
                    <a:off x="0" y="0"/>
                    <a:ext cx="1432560" cy="467360"/>
                  </a:xfrm>
                  <a:prstGeom prst="rect">
                    <a:avLst/>
                  </a:prstGeom>
                </pic:spPr>
              </pic:pic>
            </a:graphicData>
          </a:graphic>
        </wp:inline>
      </w:drawing>
    </w:r>
    <w:r>
      <w:rPr>
        <w:rFonts w:cs="仿宋_GB2312"/>
      </w:rPr>
      <w:t xml:space="preserve">                                          </w:t>
    </w:r>
    <w:r>
      <w:rPr/>
      <w:drawing>
        <wp:inline distT="0" distB="0" distL="0" distR="0">
          <wp:extent cx="1769745" cy="467360"/>
          <wp:effectExtent l="0" t="0" r="0" b="0"/>
          <wp:docPr id="11" name="图片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 title=""/>
                  <pic:cNvPicPr>
                    <a:picLocks noChangeAspect="1" noChangeArrowheads="1"/>
                  </pic:cNvPicPr>
                </pic:nvPicPr>
                <pic:blipFill>
                  <a:blip r:embed="rId2"/>
                  <a:srcRect l="-5" t="-20" r="-5" b="-20"/>
                  <a:stretch>
                    <a:fillRect/>
                  </a:stretch>
                </pic:blipFill>
                <pic:spPr bwMode="auto">
                  <a:xfrm>
                    <a:off x="0" y="0"/>
                    <a:ext cx="1769745" cy="467360"/>
                  </a:xfrm>
                  <a:prstGeom prst="rect">
                    <a:avLst/>
                  </a:prstGeom>
                </pic:spPr>
              </pic:pic>
            </a:graphicData>
          </a:graphic>
        </wp:inline>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432560" cy="467360"/>
          <wp:effectExtent l="0" t="0" r="0" b="0"/>
          <wp:docPr id="12" name="图片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 title=""/>
                  <pic:cNvPicPr>
                    <a:picLocks noChangeAspect="1" noChangeArrowheads="1"/>
                  </pic:cNvPicPr>
                </pic:nvPicPr>
                <pic:blipFill>
                  <a:blip r:embed="rId1"/>
                  <a:srcRect l="-5" t="-17" r="-5" b="-17"/>
                  <a:stretch>
                    <a:fillRect/>
                  </a:stretch>
                </pic:blipFill>
                <pic:spPr bwMode="auto">
                  <a:xfrm>
                    <a:off x="0" y="0"/>
                    <a:ext cx="1432560" cy="467360"/>
                  </a:xfrm>
                  <a:prstGeom prst="rect">
                    <a:avLst/>
                  </a:prstGeom>
                </pic:spPr>
              </pic:pic>
            </a:graphicData>
          </a:graphic>
        </wp:inline>
      </w:drawing>
    </w:r>
    <w:r>
      <w:rPr>
        <w:rFonts w:cs="仿宋_GB2312"/>
      </w:rPr>
      <w:t xml:space="preserve">                                          </w:t>
    </w:r>
    <w:r>
      <w:rPr/>
      <w:drawing>
        <wp:inline distT="0" distB="0" distL="0" distR="0">
          <wp:extent cx="1769745" cy="467360"/>
          <wp:effectExtent l="0" t="0" r="0" b="0"/>
          <wp:docPr id="13" name="图片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 title=""/>
                  <pic:cNvPicPr>
                    <a:picLocks noChangeAspect="1" noChangeArrowheads="1"/>
                  </pic:cNvPicPr>
                </pic:nvPicPr>
                <pic:blipFill>
                  <a:blip r:embed="rId2"/>
                  <a:srcRect l="-5" t="-20" r="-5" b="-20"/>
                  <a:stretch>
                    <a:fillRect/>
                  </a:stretch>
                </pic:blipFill>
                <pic:spPr bwMode="auto">
                  <a:xfrm>
                    <a:off x="0" y="0"/>
                    <a:ext cx="1769745" cy="467360"/>
                  </a:xfrm>
                  <a:prstGeom prst="rect">
                    <a:avLst/>
                  </a:prstGeom>
                </pic:spPr>
              </pic:pic>
            </a:graphicData>
          </a:graphic>
        </wp:inline>
      </w:drawing>
    </w:r>
  </w:p>
  <w:p>
    <w:pPr>
      <w:pStyle w:val="Header"/>
      <w:pBdr>
        <w:bottom w:val="nil"/>
      </w:pBd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432560" cy="467360"/>
          <wp:effectExtent l="0" t="0" r="0" b="0"/>
          <wp:docPr id="1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descr="" title=""/>
                  <pic:cNvPicPr>
                    <a:picLocks noChangeAspect="1" noChangeArrowheads="1"/>
                  </pic:cNvPicPr>
                </pic:nvPicPr>
                <pic:blipFill>
                  <a:blip r:embed="rId1"/>
                  <a:srcRect l="-5" t="-17" r="-5" b="-17"/>
                  <a:stretch>
                    <a:fillRect/>
                  </a:stretch>
                </pic:blipFill>
                <pic:spPr bwMode="auto">
                  <a:xfrm>
                    <a:off x="0" y="0"/>
                    <a:ext cx="1432560" cy="467360"/>
                  </a:xfrm>
                  <a:prstGeom prst="rect">
                    <a:avLst/>
                  </a:prstGeom>
                </pic:spPr>
              </pic:pic>
            </a:graphicData>
          </a:graphic>
        </wp:inline>
      </w:drawing>
    </w:r>
    <w:r>
      <w:rPr>
        <w:rFonts w:cs="仿宋_GB2312"/>
      </w:rPr>
      <w:t xml:space="preserve">                                          </w:t>
    </w:r>
    <w:r>
      <w:rPr/>
      <w:drawing>
        <wp:inline distT="0" distB="0" distL="0" distR="0">
          <wp:extent cx="1769745" cy="467360"/>
          <wp:effectExtent l="0" t="0" r="0" b="0"/>
          <wp:docPr id="15" name="图片 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 title=""/>
                  <pic:cNvPicPr>
                    <a:picLocks noChangeAspect="1" noChangeArrowheads="1"/>
                  </pic:cNvPicPr>
                </pic:nvPicPr>
                <pic:blipFill>
                  <a:blip r:embed="rId2"/>
                  <a:srcRect l="-5" t="-20" r="-5" b="-20"/>
                  <a:stretch>
                    <a:fillRect/>
                  </a:stretch>
                </pic:blipFill>
                <pic:spPr bwMode="auto">
                  <a:xfrm>
                    <a:off x="0" y="0"/>
                    <a:ext cx="1769745" cy="467360"/>
                  </a:xfrm>
                  <a:prstGeom prst="rect">
                    <a:avLst/>
                  </a:prstGeom>
                </pic:spPr>
              </pic:pic>
            </a:graphicData>
          </a:graphic>
        </wp:inline>
      </w:drawing>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432560" cy="467360"/>
          <wp:effectExtent l="0" t="0" r="0" b="0"/>
          <wp:docPr id="16" name="图片 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 title=""/>
                  <pic:cNvPicPr>
                    <a:picLocks noChangeAspect="1" noChangeArrowheads="1"/>
                  </pic:cNvPicPr>
                </pic:nvPicPr>
                <pic:blipFill>
                  <a:blip r:embed="rId1"/>
                  <a:srcRect l="-5" t="-17" r="-5" b="-17"/>
                  <a:stretch>
                    <a:fillRect/>
                  </a:stretch>
                </pic:blipFill>
                <pic:spPr bwMode="auto">
                  <a:xfrm>
                    <a:off x="0" y="0"/>
                    <a:ext cx="1432560" cy="467360"/>
                  </a:xfrm>
                  <a:prstGeom prst="rect">
                    <a:avLst/>
                  </a:prstGeom>
                </pic:spPr>
              </pic:pic>
            </a:graphicData>
          </a:graphic>
        </wp:inline>
      </w:drawing>
    </w:r>
    <w:r>
      <w:rPr>
        <w:rFonts w:cs="仿宋_GB2312"/>
      </w:rPr>
      <w:t xml:space="preserve">                                          </w:t>
    </w:r>
    <w:r>
      <w:rPr/>
      <w:drawing>
        <wp:inline distT="0" distB="0" distL="0" distR="0">
          <wp:extent cx="1769745" cy="467360"/>
          <wp:effectExtent l="0" t="0" r="0" b="0"/>
          <wp:docPr id="17"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 descr="" title=""/>
                  <pic:cNvPicPr>
                    <a:picLocks noChangeAspect="1" noChangeArrowheads="1"/>
                  </pic:cNvPicPr>
                </pic:nvPicPr>
                <pic:blipFill>
                  <a:blip r:embed="rId2"/>
                  <a:srcRect l="-5" t="-20" r="-5" b="-20"/>
                  <a:stretch>
                    <a:fillRect/>
                  </a:stretch>
                </pic:blipFill>
                <pic:spPr bwMode="auto">
                  <a:xfrm>
                    <a:off x="0" y="0"/>
                    <a:ext cx="1769745" cy="467360"/>
                  </a:xfrm>
                  <a:prstGeom prst="rect">
                    <a:avLst/>
                  </a:prstGeom>
                </pic:spPr>
              </pic:pic>
            </a:graphicData>
          </a:graphic>
        </wp:inline>
      </w:drawing>
    </w:r>
  </w:p>
  <w:p>
    <w:pPr>
      <w:pStyle w:val="Header"/>
      <w:pBdr>
        <w:bottom w:val="nil"/>
      </w:pBd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432560" cy="467360"/>
          <wp:effectExtent l="0" t="0" r="0" b="0"/>
          <wp:docPr id="18" name="图片 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 title=""/>
                  <pic:cNvPicPr>
                    <a:picLocks noChangeAspect="1" noChangeArrowheads="1"/>
                  </pic:cNvPicPr>
                </pic:nvPicPr>
                <pic:blipFill>
                  <a:blip r:embed="rId1"/>
                  <a:srcRect l="-5" t="-17" r="-5" b="-17"/>
                  <a:stretch>
                    <a:fillRect/>
                  </a:stretch>
                </pic:blipFill>
                <pic:spPr bwMode="auto">
                  <a:xfrm>
                    <a:off x="0" y="0"/>
                    <a:ext cx="1432560" cy="467360"/>
                  </a:xfrm>
                  <a:prstGeom prst="rect">
                    <a:avLst/>
                  </a:prstGeom>
                </pic:spPr>
              </pic:pic>
            </a:graphicData>
          </a:graphic>
        </wp:inline>
      </w:drawing>
    </w:r>
    <w:r>
      <w:rPr>
        <w:rFonts w:cs="仿宋_GB2312"/>
      </w:rPr>
      <w:t xml:space="preserve">                                          </w:t>
    </w:r>
    <w:r>
      <w:rPr/>
      <w:drawing>
        <wp:inline distT="0" distB="0" distL="0" distR="0">
          <wp:extent cx="1769745" cy="467360"/>
          <wp:effectExtent l="0" t="0" r="0" b="0"/>
          <wp:docPr id="19" name="图片 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 title=""/>
                  <pic:cNvPicPr>
                    <a:picLocks noChangeAspect="1" noChangeArrowheads="1"/>
                  </pic:cNvPicPr>
                </pic:nvPicPr>
                <pic:blipFill>
                  <a:blip r:embed="rId2"/>
                  <a:srcRect l="-5" t="-20" r="-5" b="-20"/>
                  <a:stretch>
                    <a:fillRect/>
                  </a:stretch>
                </pic:blipFill>
                <pic:spPr bwMode="auto">
                  <a:xfrm>
                    <a:off x="0" y="0"/>
                    <a:ext cx="1769745" cy="467360"/>
                  </a:xfrm>
                  <a:prstGeom prst="rect">
                    <a:avLst/>
                  </a:prstGeom>
                </pic:spPr>
              </pic:pic>
            </a:graphicData>
          </a:graphic>
        </wp:inline>
      </w:drawing>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432560" cy="467360"/>
          <wp:effectExtent l="0" t="0" r="0" b="0"/>
          <wp:docPr id="20" name="图片 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 title=""/>
                  <pic:cNvPicPr>
                    <a:picLocks noChangeAspect="1" noChangeArrowheads="1"/>
                  </pic:cNvPicPr>
                </pic:nvPicPr>
                <pic:blipFill>
                  <a:blip r:embed="rId1"/>
                  <a:srcRect l="-5" t="-17" r="-5" b="-17"/>
                  <a:stretch>
                    <a:fillRect/>
                  </a:stretch>
                </pic:blipFill>
                <pic:spPr bwMode="auto">
                  <a:xfrm>
                    <a:off x="0" y="0"/>
                    <a:ext cx="1432560" cy="467360"/>
                  </a:xfrm>
                  <a:prstGeom prst="rect">
                    <a:avLst/>
                  </a:prstGeom>
                </pic:spPr>
              </pic:pic>
            </a:graphicData>
          </a:graphic>
        </wp:inline>
      </w:drawing>
    </w:r>
    <w:r>
      <w:rPr>
        <w:rFonts w:cs="仿宋_GB2312"/>
      </w:rPr>
      <w:t xml:space="preserve">                                          </w:t>
    </w:r>
    <w:r>
      <w:rPr/>
      <w:drawing>
        <wp:inline distT="0" distB="0" distL="0" distR="0">
          <wp:extent cx="1769745" cy="467360"/>
          <wp:effectExtent l="0" t="0" r="0" b="0"/>
          <wp:docPr id="21" name="图片 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 title=""/>
                  <pic:cNvPicPr>
                    <a:picLocks noChangeAspect="1" noChangeArrowheads="1"/>
                  </pic:cNvPicPr>
                </pic:nvPicPr>
                <pic:blipFill>
                  <a:blip r:embed="rId2"/>
                  <a:srcRect l="-5" t="-20" r="-5" b="-20"/>
                  <a:stretch>
                    <a:fillRect/>
                  </a:stretch>
                </pic:blipFill>
                <pic:spPr bwMode="auto">
                  <a:xfrm>
                    <a:off x="0" y="0"/>
                    <a:ext cx="1769745" cy="467360"/>
                  </a:xfrm>
                  <a:prstGeom prst="rect">
                    <a:avLst/>
                  </a:prstGeom>
                </pic:spPr>
              </pic:pic>
            </a:graphicData>
          </a:graphic>
        </wp:inline>
      </w:drawing>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432560" cy="467360"/>
          <wp:effectExtent l="0" t="0" r="0" b="0"/>
          <wp:docPr id="22" name="图片 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 title=""/>
                  <pic:cNvPicPr>
                    <a:picLocks noChangeAspect="1" noChangeArrowheads="1"/>
                  </pic:cNvPicPr>
                </pic:nvPicPr>
                <pic:blipFill>
                  <a:blip r:embed="rId1"/>
                  <a:srcRect l="-5" t="-17" r="-5" b="-17"/>
                  <a:stretch>
                    <a:fillRect/>
                  </a:stretch>
                </pic:blipFill>
                <pic:spPr bwMode="auto">
                  <a:xfrm>
                    <a:off x="0" y="0"/>
                    <a:ext cx="1432560" cy="467360"/>
                  </a:xfrm>
                  <a:prstGeom prst="rect">
                    <a:avLst/>
                  </a:prstGeom>
                </pic:spPr>
              </pic:pic>
            </a:graphicData>
          </a:graphic>
        </wp:inline>
      </w:drawing>
    </w:r>
    <w:r>
      <w:rPr>
        <w:rFonts w:cs="仿宋_GB2312"/>
      </w:rPr>
      <w:t xml:space="preserve">                                          </w:t>
    </w:r>
    <w:r>
      <w:rPr/>
      <w:drawing>
        <wp:inline distT="0" distB="0" distL="0" distR="0">
          <wp:extent cx="1769745" cy="467360"/>
          <wp:effectExtent l="0" t="0" r="0" b="0"/>
          <wp:docPr id="23" name="图片 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 title=""/>
                  <pic:cNvPicPr>
                    <a:picLocks noChangeAspect="1" noChangeArrowheads="1"/>
                  </pic:cNvPicPr>
                </pic:nvPicPr>
                <pic:blipFill>
                  <a:blip r:embed="rId2"/>
                  <a:srcRect l="-5" t="-20" r="-5" b="-20"/>
                  <a:stretch>
                    <a:fillRect/>
                  </a:stretch>
                </pic:blipFill>
                <pic:spPr bwMode="auto">
                  <a:xfrm>
                    <a:off x="0" y="0"/>
                    <a:ext cx="1769745" cy="467360"/>
                  </a:xfrm>
                  <a:prstGeom prst="rect">
                    <a:avLst/>
                  </a:prstGeom>
                </pic:spPr>
              </pic:pic>
            </a:graphicData>
          </a:graphic>
        </wp:inline>
      </w:drawing>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432560" cy="467360"/>
          <wp:effectExtent l="0" t="0" r="0" b="0"/>
          <wp:docPr id="24" name="图片 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 title=""/>
                  <pic:cNvPicPr>
                    <a:picLocks noChangeAspect="1" noChangeArrowheads="1"/>
                  </pic:cNvPicPr>
                </pic:nvPicPr>
                <pic:blipFill>
                  <a:blip r:embed="rId1"/>
                  <a:srcRect l="-5" t="-17" r="-5" b="-17"/>
                  <a:stretch>
                    <a:fillRect/>
                  </a:stretch>
                </pic:blipFill>
                <pic:spPr bwMode="auto">
                  <a:xfrm>
                    <a:off x="0" y="0"/>
                    <a:ext cx="1432560" cy="467360"/>
                  </a:xfrm>
                  <a:prstGeom prst="rect">
                    <a:avLst/>
                  </a:prstGeom>
                </pic:spPr>
              </pic:pic>
            </a:graphicData>
          </a:graphic>
        </wp:inline>
      </w:drawing>
    </w:r>
    <w:r>
      <w:rPr>
        <w:rFonts w:cs="仿宋_GB2312"/>
      </w:rPr>
      <w:t xml:space="preserve">                                          </w:t>
    </w:r>
    <w:r>
      <w:rPr/>
      <w:drawing>
        <wp:inline distT="0" distB="0" distL="0" distR="0">
          <wp:extent cx="1769745" cy="467360"/>
          <wp:effectExtent l="0" t="0" r="0" b="0"/>
          <wp:docPr id="25" name="图片 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 title=""/>
                  <pic:cNvPicPr>
                    <a:picLocks noChangeAspect="1" noChangeArrowheads="1"/>
                  </pic:cNvPicPr>
                </pic:nvPicPr>
                <pic:blipFill>
                  <a:blip r:embed="rId2"/>
                  <a:srcRect l="-5" t="-20" r="-5" b="-20"/>
                  <a:stretch>
                    <a:fillRect/>
                  </a:stretch>
                </pic:blipFill>
                <pic:spPr bwMode="auto">
                  <a:xfrm>
                    <a:off x="0" y="0"/>
                    <a:ext cx="1769745" cy="467360"/>
                  </a:xfrm>
                  <a:prstGeom prst="rect">
                    <a:avLst/>
                  </a:prstGeom>
                </pic:spPr>
              </pic:pic>
            </a:graphicData>
          </a:graphic>
        </wp:inline>
      </w:drawing>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432560" cy="467360"/>
          <wp:effectExtent l="0" t="0" r="0" b="0"/>
          <wp:docPr id="31" name="图片 2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2 Copy 1" descr="" title=""/>
                  <pic:cNvPicPr>
                    <a:picLocks noChangeAspect="1" noChangeArrowheads="1"/>
                  </pic:cNvPicPr>
                </pic:nvPicPr>
                <pic:blipFill>
                  <a:blip r:embed="rId1"/>
                  <a:srcRect l="-5" t="-17" r="-5" b="-17"/>
                  <a:stretch>
                    <a:fillRect/>
                  </a:stretch>
                </pic:blipFill>
                <pic:spPr bwMode="auto">
                  <a:xfrm>
                    <a:off x="0" y="0"/>
                    <a:ext cx="1432560" cy="467360"/>
                  </a:xfrm>
                  <a:prstGeom prst="rect">
                    <a:avLst/>
                  </a:prstGeom>
                </pic:spPr>
              </pic:pic>
            </a:graphicData>
          </a:graphic>
        </wp:inline>
      </w:drawing>
    </w:r>
    <w:r>
      <w:rPr>
        <w:rFonts w:cs="仿宋_GB2312"/>
      </w:rPr>
      <w:t xml:space="preserve">                                          </w:t>
    </w:r>
    <w:r>
      <w:rPr/>
      <w:drawing>
        <wp:inline distT="0" distB="0" distL="0" distR="0">
          <wp:extent cx="1769745" cy="467360"/>
          <wp:effectExtent l="0" t="0" r="0" b="0"/>
          <wp:docPr id="32" name="图片 23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Copy 1" descr="" title=""/>
                  <pic:cNvPicPr>
                    <a:picLocks noChangeAspect="1" noChangeArrowheads="1"/>
                  </pic:cNvPicPr>
                </pic:nvPicPr>
                <pic:blipFill>
                  <a:blip r:embed="rId2"/>
                  <a:srcRect l="-5" t="-20" r="-5" b="-20"/>
                  <a:stretch>
                    <a:fillRect/>
                  </a:stretch>
                </pic:blipFill>
                <pic:spPr bwMode="auto">
                  <a:xfrm>
                    <a:off x="0" y="0"/>
                    <a:ext cx="1769745" cy="467360"/>
                  </a:xfrm>
                  <a:prstGeom prst="rect">
                    <a:avLst/>
                  </a:prstGeom>
                </pic:spPr>
              </pic:pic>
            </a:graphicData>
          </a:graphic>
        </wp:inline>
      </w:drawing>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432560" cy="467360"/>
          <wp:effectExtent l="0" t="0" r="0" b="0"/>
          <wp:docPr id="33" name="图片 24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Copy 1" descr="" title=""/>
                  <pic:cNvPicPr>
                    <a:picLocks noChangeAspect="1" noChangeArrowheads="1"/>
                  </pic:cNvPicPr>
                </pic:nvPicPr>
                <pic:blipFill>
                  <a:blip r:embed="rId1"/>
                  <a:srcRect l="-5" t="-17" r="-5" b="-17"/>
                  <a:stretch>
                    <a:fillRect/>
                  </a:stretch>
                </pic:blipFill>
                <pic:spPr bwMode="auto">
                  <a:xfrm>
                    <a:off x="0" y="0"/>
                    <a:ext cx="1432560" cy="467360"/>
                  </a:xfrm>
                  <a:prstGeom prst="rect">
                    <a:avLst/>
                  </a:prstGeom>
                </pic:spPr>
              </pic:pic>
            </a:graphicData>
          </a:graphic>
        </wp:inline>
      </w:drawing>
    </w:r>
    <w:r>
      <w:rPr>
        <w:rFonts w:cs="仿宋_GB2312"/>
      </w:rPr>
      <w:t xml:space="preserve">                                          </w:t>
    </w:r>
    <w:r>
      <w:rPr/>
      <w:drawing>
        <wp:inline distT="0" distB="0" distL="0" distR="0">
          <wp:extent cx="1769745" cy="467360"/>
          <wp:effectExtent l="0" t="0" r="0" b="0"/>
          <wp:docPr id="34" name="图片 25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5 Copy 1" descr="" title=""/>
                  <pic:cNvPicPr>
                    <a:picLocks noChangeAspect="1" noChangeArrowheads="1"/>
                  </pic:cNvPicPr>
                </pic:nvPicPr>
                <pic:blipFill>
                  <a:blip r:embed="rId2"/>
                  <a:srcRect l="-5" t="-20" r="-5" b="-20"/>
                  <a:stretch>
                    <a:fillRect/>
                  </a:stretch>
                </pic:blipFill>
                <pic:spPr bwMode="auto">
                  <a:xfrm>
                    <a:off x="0" y="0"/>
                    <a:ext cx="1769745" cy="467360"/>
                  </a:xfrm>
                  <a:prstGeom prst="rect">
                    <a:avLst/>
                  </a:prstGeom>
                </pic:spPr>
              </pic:pic>
            </a:graphicData>
          </a:graphic>
        </wp:inline>
      </w:drawing>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432560" cy="467360"/>
          <wp:effectExtent l="0" t="0" r="0" b="0"/>
          <wp:docPr id="35" name="图片 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7" descr="" title=""/>
                  <pic:cNvPicPr>
                    <a:picLocks noChangeAspect="1" noChangeArrowheads="1"/>
                  </pic:cNvPicPr>
                </pic:nvPicPr>
                <pic:blipFill>
                  <a:blip r:embed="rId1"/>
                  <a:stretch>
                    <a:fillRect/>
                  </a:stretch>
                </pic:blipFill>
                <pic:spPr bwMode="auto">
                  <a:xfrm>
                    <a:off x="0" y="0"/>
                    <a:ext cx="1432560" cy="467360"/>
                  </a:xfrm>
                  <a:prstGeom prst="rect">
                    <a:avLst/>
                  </a:prstGeom>
                </pic:spPr>
              </pic:pic>
            </a:graphicData>
          </a:graphic>
        </wp:inline>
      </w:drawing>
    </w:r>
    <w:r>
      <w:rPr>
        <w:rFonts w:cs="仿宋_GB2312"/>
      </w:rPr>
      <w:t xml:space="preserve">                                    </w:t>
    </w:r>
    <w:r>
      <w:rPr/>
      <w:drawing>
        <wp:inline distT="0" distB="0" distL="0" distR="0">
          <wp:extent cx="1769745" cy="467360"/>
          <wp:effectExtent l="0" t="0" r="0" b="0"/>
          <wp:docPr id="36" name="图片 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8" descr="" title=""/>
                  <pic:cNvPicPr>
                    <a:picLocks noChangeAspect="1" noChangeArrowheads="1"/>
                  </pic:cNvPicPr>
                </pic:nvPicPr>
                <pic:blipFill>
                  <a:blip r:embed="rId2"/>
                  <a:stretch>
                    <a:fillRect/>
                  </a:stretch>
                </pic:blipFill>
                <pic:spPr bwMode="auto">
                  <a:xfrm>
                    <a:off x="0" y="0"/>
                    <a:ext cx="1769745" cy="467360"/>
                  </a:xfrm>
                  <a:prstGeom prst="rect">
                    <a:avLst/>
                  </a:prstGeom>
                </pic:spPr>
              </pic:pic>
            </a:graphicData>
          </a:graphic>
        </wp:inline>
      </w:drawing>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432560" cy="467360"/>
          <wp:effectExtent l="0" t="0" r="0" b="0"/>
          <wp:docPr id="37" name="图片 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9" descr="" title=""/>
                  <pic:cNvPicPr>
                    <a:picLocks noChangeAspect="1" noChangeArrowheads="1"/>
                  </pic:cNvPicPr>
                </pic:nvPicPr>
                <pic:blipFill>
                  <a:blip r:embed="rId1"/>
                  <a:srcRect l="-5" t="-17" r="-5" b="-17"/>
                  <a:stretch>
                    <a:fillRect/>
                  </a:stretch>
                </pic:blipFill>
                <pic:spPr bwMode="auto">
                  <a:xfrm>
                    <a:off x="0" y="0"/>
                    <a:ext cx="1432560" cy="467360"/>
                  </a:xfrm>
                  <a:prstGeom prst="rect">
                    <a:avLst/>
                  </a:prstGeom>
                </pic:spPr>
              </pic:pic>
            </a:graphicData>
          </a:graphic>
        </wp:inline>
      </w:drawing>
    </w:r>
    <w:r>
      <w:rPr>
        <w:rFonts w:cs="仿宋_GB2312"/>
      </w:rPr>
      <w:t xml:space="preserve">                                          </w:t>
    </w:r>
    <w:r>
      <w:rPr/>
      <w:drawing>
        <wp:inline distT="0" distB="0" distL="0" distR="0">
          <wp:extent cx="1769745" cy="467360"/>
          <wp:effectExtent l="0" t="0" r="0" b="0"/>
          <wp:docPr id="38" name="图片 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0" descr="" title=""/>
                  <pic:cNvPicPr>
                    <a:picLocks noChangeAspect="1" noChangeArrowheads="1"/>
                  </pic:cNvPicPr>
                </pic:nvPicPr>
                <pic:blipFill>
                  <a:blip r:embed="rId2"/>
                  <a:srcRect l="-5" t="-20" r="-5" b="-20"/>
                  <a:stretch>
                    <a:fillRect/>
                  </a:stretch>
                </pic:blipFill>
                <pic:spPr bwMode="auto">
                  <a:xfrm>
                    <a:off x="0" y="0"/>
                    <a:ext cx="1769745" cy="467360"/>
                  </a:xfrm>
                  <a:prstGeom prst="rect">
                    <a:avLst/>
                  </a:prstGeom>
                </pic:spPr>
              </pic:pic>
            </a:graphicData>
          </a:graphic>
        </wp:inline>
      </w:drawing>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432560" cy="467360"/>
          <wp:effectExtent l="0" t="0" r="0" b="0"/>
          <wp:docPr id="39" name="图片 27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7 Copy 1" descr="" title=""/>
                  <pic:cNvPicPr>
                    <a:picLocks noChangeAspect="1" noChangeArrowheads="1"/>
                  </pic:cNvPicPr>
                </pic:nvPicPr>
                <pic:blipFill>
                  <a:blip r:embed="rId1"/>
                  <a:srcRect l="-5" t="-17" r="-5" b="-17"/>
                  <a:stretch>
                    <a:fillRect/>
                  </a:stretch>
                </pic:blipFill>
                <pic:spPr bwMode="auto">
                  <a:xfrm>
                    <a:off x="0" y="0"/>
                    <a:ext cx="1432560" cy="467360"/>
                  </a:xfrm>
                  <a:prstGeom prst="rect">
                    <a:avLst/>
                  </a:prstGeom>
                </pic:spPr>
              </pic:pic>
            </a:graphicData>
          </a:graphic>
        </wp:inline>
      </w:drawing>
    </w:r>
    <w:r>
      <w:rPr>
        <w:rFonts w:cs="仿宋_GB2312"/>
      </w:rPr>
      <w:t xml:space="preserve">                                    </w:t>
    </w:r>
    <w:r>
      <w:rPr/>
      <w:drawing>
        <wp:inline distT="0" distB="0" distL="0" distR="0">
          <wp:extent cx="1769745" cy="467360"/>
          <wp:effectExtent l="0" t="0" r="0" b="0"/>
          <wp:docPr id="40" name="图片 28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8 Copy 1" descr="" title=""/>
                  <pic:cNvPicPr>
                    <a:picLocks noChangeAspect="1" noChangeArrowheads="1"/>
                  </pic:cNvPicPr>
                </pic:nvPicPr>
                <pic:blipFill>
                  <a:blip r:embed="rId2"/>
                  <a:srcRect l="-5" t="-20" r="-5" b="-20"/>
                  <a:stretch>
                    <a:fillRect/>
                  </a:stretch>
                </pic:blipFill>
                <pic:spPr bwMode="auto">
                  <a:xfrm>
                    <a:off x="0" y="0"/>
                    <a:ext cx="1769745" cy="467360"/>
                  </a:xfrm>
                  <a:prstGeom prst="rect">
                    <a:avLst/>
                  </a:prstGeom>
                </pic:spPr>
              </pic:pic>
            </a:graphicData>
          </a:graphic>
        </wp:inline>
      </w:drawing>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chineseCountingThousand"/>
      <w:suff w:val="nothing"/>
      <w:lvlText w:val="附件%1、"/>
      <w:lvlJc w:val="start"/>
      <w:pPr>
        <w:tabs>
          <w:tab w:val="num" w:pos="0"/>
        </w:tabs>
        <w:ind w:start="981" w:hanging="420"/>
      </w:pPr>
      <w:rPr/>
    </w:lvl>
    <w:lvl w:ilvl="1">
      <w:start w:val="1"/>
      <w:numFmt w:val="lowerLetter"/>
      <w:lvlText w:val="%2)"/>
      <w:lvlJc w:val="start"/>
      <w:pPr>
        <w:tabs>
          <w:tab w:val="num" w:pos="0"/>
        </w:tabs>
        <w:ind w:start="1401" w:hanging="420"/>
      </w:pPr>
    </w:lvl>
    <w:lvl w:ilvl="2">
      <w:start w:val="1"/>
      <w:numFmt w:val="lowerRoman"/>
      <w:lvlText w:val="%3."/>
      <w:lvlJc w:val="end"/>
      <w:pPr>
        <w:tabs>
          <w:tab w:val="num" w:pos="0"/>
        </w:tabs>
        <w:ind w:start="1821" w:hanging="420"/>
      </w:pPr>
    </w:lvl>
    <w:lvl w:ilvl="3">
      <w:start w:val="1"/>
      <w:numFmt w:val="decimal"/>
      <w:lvlText w:val="%4."/>
      <w:lvlJc w:val="start"/>
      <w:pPr>
        <w:tabs>
          <w:tab w:val="num" w:pos="0"/>
        </w:tabs>
        <w:ind w:start="2241" w:hanging="420"/>
      </w:pPr>
    </w:lvl>
    <w:lvl w:ilvl="4">
      <w:start w:val="1"/>
      <w:numFmt w:val="lowerLetter"/>
      <w:lvlText w:val="%5)"/>
      <w:lvlJc w:val="start"/>
      <w:pPr>
        <w:tabs>
          <w:tab w:val="num" w:pos="0"/>
        </w:tabs>
        <w:ind w:start="2661" w:hanging="420"/>
      </w:pPr>
    </w:lvl>
    <w:lvl w:ilvl="5">
      <w:start w:val="1"/>
      <w:numFmt w:val="lowerRoman"/>
      <w:lvlText w:val="%6."/>
      <w:lvlJc w:val="end"/>
      <w:pPr>
        <w:tabs>
          <w:tab w:val="num" w:pos="0"/>
        </w:tabs>
        <w:ind w:start="3081" w:hanging="420"/>
      </w:pPr>
    </w:lvl>
    <w:lvl w:ilvl="6">
      <w:start w:val="1"/>
      <w:numFmt w:val="decimal"/>
      <w:lvlText w:val="%7."/>
      <w:lvlJc w:val="start"/>
      <w:pPr>
        <w:tabs>
          <w:tab w:val="num" w:pos="0"/>
        </w:tabs>
        <w:ind w:start="3501" w:hanging="420"/>
      </w:pPr>
    </w:lvl>
    <w:lvl w:ilvl="7">
      <w:start w:val="1"/>
      <w:numFmt w:val="lowerLetter"/>
      <w:lvlText w:val="%8)"/>
      <w:lvlJc w:val="start"/>
      <w:pPr>
        <w:tabs>
          <w:tab w:val="num" w:pos="0"/>
        </w:tabs>
        <w:ind w:start="3921" w:hanging="420"/>
      </w:pPr>
    </w:lvl>
    <w:lvl w:ilvl="8">
      <w:start w:val="1"/>
      <w:numFmt w:val="lowerRoman"/>
      <w:lvlText w:val="%9."/>
      <w:lvlJc w:val="end"/>
      <w:pPr>
        <w:tabs>
          <w:tab w:val="num" w:pos="0"/>
        </w:tabs>
        <w:ind w:start="4341" w:hanging="420"/>
      </w:pPr>
    </w:lvl>
  </w:abstractNum>
  <w:num w:numId="1">
    <w:abstractNumId w:val="1"/>
  </w:num>
  <w:num w:numId="2">
    <w:abstractNumId w:val="2"/>
  </w:num>
</w:numbering>
</file>

<file path=word/settings.xml><?xml version="1.0" encoding="utf-8"?>
<w:settings xmlns:w="http://schemas.openxmlformats.org/wordprocessingml/2006/main">
  <w:zoom w:percent="91"/>
  <w:defaultTabStop w:val="709"/>
  <w:autoHyphenation w:val="true"/>
  <w:compat>
    <w:noLeading/>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宋体;SimSun"/>
      <w:color w:val="auto"/>
      <w:kern w:val="2"/>
      <w:sz w:val="28"/>
      <w:szCs w:val="24"/>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ascii="Times New Roman" w:hAnsi="Times New Roman" w:eastAsia="宋体;SimSun" w:cs="Times New Roman"/>
      <w:b/>
      <w:bCs/>
      <w:kern w:val="2"/>
      <w:sz w:val="44"/>
      <w:szCs w:val="44"/>
    </w:rPr>
  </w:style>
  <w:style w:type="paragraph" w:styleId="Heading2">
    <w:name w:val="Heading 2"/>
    <w:basedOn w:val="Normal"/>
    <w:next w:val="Style11"/>
    <w:qFormat/>
    <w:pPr>
      <w:numPr>
        <w:ilvl w:val="1"/>
        <w:numId w:val="1"/>
      </w:numPr>
      <w:spacing w:lineRule="auto" w:line="360" w:before="280" w:after="280"/>
      <w:jc w:val="start"/>
      <w:outlineLvl w:val="1"/>
    </w:pPr>
    <w:rPr>
      <w:rFonts w:ascii="宋体;SimSun" w:hAnsi="宋体;SimSun" w:eastAsia="宋体;SimSun" w:cs="Arial"/>
      <w:b/>
      <w:kern w:val="0"/>
      <w:sz w:val="32"/>
      <w:szCs w:val="20"/>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paragraph" w:styleId="Heading9">
    <w:name w:val="Heading 9"/>
    <w:basedOn w:val="Normal"/>
    <w:next w:val="Style11"/>
    <w:qFormat/>
    <w:pPr>
      <w:numPr>
        <w:ilvl w:val="8"/>
        <w:numId w:val="1"/>
      </w:numPr>
      <w:autoSpaceDE w:val="false"/>
      <w:spacing w:lineRule="auto" w:line="360" w:before="200" w:after="200"/>
      <w:jc w:val="start"/>
      <w:outlineLvl w:val="8"/>
    </w:pPr>
    <w:rPr>
      <w:rFonts w:ascii="黑体;SimHei" w:hAnsi="黑体;SimHei" w:eastAsia="黑体;SimHei" w:cs="Times New Roman"/>
      <w:kern w:val="0"/>
      <w:szCs w:val="20"/>
    </w:rPr>
  </w:style>
  <w:style w:type="character" w:styleId="WW8Num1z0">
    <w:name w:val="WW8Num1z0"/>
    <w:qFormat/>
    <w:rPr/>
  </w:style>
  <w:style w:type="character" w:styleId="WW8Num2z0">
    <w:name w:val="WW8Num2z0"/>
    <w:qFormat/>
    <w:rPr>
      <w:rFonts w:ascii="Wingdings" w:hAnsi="Wingdings" w:cs="Wingdings"/>
    </w:rPr>
  </w:style>
  <w:style w:type="character" w:styleId="Style10">
    <w:name w:val="默认段落字体"/>
    <w:qFormat/>
    <w:rPr/>
  </w:style>
  <w:style w:type="character" w:styleId="1Char">
    <w:name w:val="标题 1 Char"/>
    <w:qFormat/>
    <w:rPr>
      <w:rFonts w:ascii="Times New Roman" w:hAnsi="Times New Roman" w:eastAsia="宋体;SimSun" w:cs="Times New Roman"/>
      <w:b/>
      <w:bCs/>
      <w:kern w:val="2"/>
      <w:sz w:val="44"/>
      <w:szCs w:val="44"/>
    </w:rPr>
  </w:style>
  <w:style w:type="character" w:styleId="2Char">
    <w:name w:val="标题 2 Char"/>
    <w:qFormat/>
    <w:rPr>
      <w:rFonts w:ascii="宋体;SimSun" w:hAnsi="宋体;SimSun" w:eastAsia="宋体;SimSun" w:cs="宋体;SimSun"/>
      <w:b/>
      <w:kern w:val="0"/>
      <w:sz w:val="32"/>
      <w:szCs w:val="20"/>
    </w:rPr>
  </w:style>
  <w:style w:type="character" w:styleId="3Char">
    <w:name w:val="标题 3 Char"/>
    <w:qFormat/>
    <w:rPr>
      <w:rFonts w:ascii="仿宋_GB2312" w:hAnsi="仿宋_GB2312" w:eastAsia="仿宋_GB2312" w:cs="宋体;SimSun"/>
      <w:b/>
      <w:bCs/>
      <w:kern w:val="2"/>
      <w:sz w:val="32"/>
      <w:szCs w:val="32"/>
    </w:rPr>
  </w:style>
  <w:style w:type="character" w:styleId="9Char">
    <w:name w:val="标题 9 Char"/>
    <w:qFormat/>
    <w:rPr>
      <w:rFonts w:ascii="黑体;SimHei" w:hAnsi="黑体;SimHei" w:eastAsia="黑体;SimHei" w:cs="Times New Roman"/>
      <w:kern w:val="0"/>
      <w:sz w:val="28"/>
      <w:szCs w:val="20"/>
    </w:rPr>
  </w:style>
  <w:style w:type="character" w:styleId="Char">
    <w:name w:val="正文文本 Char"/>
    <w:qFormat/>
    <w:rPr>
      <w:rFonts w:ascii="仿宋_GB2312" w:hAnsi="仿宋_GB2312" w:eastAsia="仿宋_GB2312" w:cs="宋体;SimSun"/>
      <w:sz w:val="28"/>
      <w:szCs w:val="24"/>
    </w:rPr>
  </w:style>
  <w:style w:type="character" w:styleId="Char1">
    <w:name w:val="日期 Char"/>
    <w:qFormat/>
    <w:rPr>
      <w:rFonts w:ascii="仿宋体;宋体" w:hAnsi="仿宋体;宋体" w:eastAsia="仿宋体;宋体" w:cs="Times New Roman"/>
      <w:kern w:val="0"/>
      <w:sz w:val="28"/>
      <w:szCs w:val="20"/>
    </w:rPr>
  </w:style>
  <w:style w:type="character" w:styleId="2Char1">
    <w:name w:val="正文文本缩进 2 Char"/>
    <w:qFormat/>
    <w:rPr>
      <w:rFonts w:ascii="仿宋_GB2312" w:hAnsi="仿宋_GB2312" w:eastAsia="仿宋_GB2312" w:cs="Times New Roman"/>
      <w:kern w:val="0"/>
      <w:sz w:val="28"/>
      <w:szCs w:val="20"/>
    </w:rPr>
  </w:style>
  <w:style w:type="character" w:styleId="Char2">
    <w:name w:val="批注框文本 Char"/>
    <w:qFormat/>
    <w:rPr>
      <w:rFonts w:ascii="仿宋_GB2312" w:hAnsi="仿宋_GB2312" w:eastAsia="仿宋_GB2312" w:cs="宋体;SimSun"/>
      <w:sz w:val="18"/>
      <w:szCs w:val="18"/>
    </w:rPr>
  </w:style>
  <w:style w:type="character" w:styleId="Char3">
    <w:name w:val="页脚 Char"/>
    <w:qFormat/>
    <w:rPr>
      <w:rFonts w:ascii="仿宋_GB2312" w:hAnsi="仿宋_GB2312" w:eastAsia="仿宋_GB2312" w:cs="宋体;SimSun"/>
      <w:kern w:val="2"/>
      <w:sz w:val="21"/>
      <w:szCs w:val="18"/>
    </w:rPr>
  </w:style>
  <w:style w:type="character" w:styleId="Char4">
    <w:name w:val="页眉 Char"/>
    <w:qFormat/>
    <w:rPr>
      <w:sz w:val="18"/>
      <w:szCs w:val="18"/>
    </w:rPr>
  </w:style>
  <w:style w:type="character" w:styleId="Strong">
    <w:name w:val="Strong"/>
    <w:qFormat/>
    <w:rPr>
      <w:b/>
      <w:bCs/>
    </w:rPr>
  </w:style>
  <w:style w:type="character" w:styleId="PageNumber">
    <w:name w:val="Page Number"/>
    <w:rPr/>
  </w:style>
  <w:style w:type="character" w:styleId="Emphasis">
    <w:name w:val="Emphasis"/>
    <w:qFormat/>
    <w:rPr>
      <w:i/>
      <w:iCs/>
    </w:rPr>
  </w:style>
  <w:style w:type="character" w:styleId="Hyperlink">
    <w:name w:val="Hyperlink"/>
    <w:rPr>
      <w:strike w:val="false"/>
      <w:dstrike w:val="false"/>
      <w:color w:val="00007F"/>
      <w:u w:val="none"/>
    </w:rPr>
  </w:style>
  <w:style w:type="character" w:styleId="s">
    <w:name w:val="s_地址"/>
    <w:qFormat/>
    <w:rPr/>
  </w:style>
  <w:style w:type="character" w:styleId="s1">
    <w:name w:val="s_权利人"/>
    <w:qFormat/>
    <w:rPr/>
  </w:style>
  <w:style w:type="character" w:styleId="s2">
    <w:name w:val="s_估价类型"/>
    <w:qFormat/>
    <w:rPr/>
  </w:style>
  <w:style w:type="character" w:styleId="r">
    <w:name w:val="r_价值类型"/>
    <w:qFormat/>
    <w:rPr/>
  </w:style>
  <w:style w:type="character" w:styleId="client1">
    <w:name w:val="client1"/>
    <w:qFormat/>
    <w:rPr/>
  </w:style>
  <w:style w:type="character" w:styleId="corp1name">
    <w:name w:val="corp1name"/>
    <w:qFormat/>
    <w:rPr/>
  </w:style>
  <w:style w:type="character" w:styleId="appraisers">
    <w:name w:val="appraisers"/>
    <w:qFormat/>
    <w:rPr/>
  </w:style>
  <w:style w:type="character" w:styleId="r1">
    <w:name w:val="r_估价师"/>
    <w:qFormat/>
    <w:rPr/>
  </w:style>
  <w:style w:type="character" w:styleId="r2">
    <w:name w:val="r_开始日期(长)"/>
    <w:qFormat/>
    <w:rPr/>
  </w:style>
  <w:style w:type="character" w:styleId="r3">
    <w:name w:val="r_结束日期(长)"/>
    <w:qFormat/>
    <w:rPr/>
  </w:style>
  <w:style w:type="character" w:styleId="grame">
    <w:name w:val="grame"/>
    <w:qFormat/>
    <w:rPr/>
  </w:style>
  <w:style w:type="character" w:styleId="r4">
    <w:name w:val="r_报告编号"/>
    <w:qFormat/>
    <w:rPr/>
  </w:style>
  <w:style w:type="character" w:styleId="r5">
    <w:name w:val="r_估价期日"/>
    <w:qFormat/>
    <w:rPr/>
  </w:style>
  <w:style w:type="character" w:styleId="r6">
    <w:name w:val="r_总价(小写)"/>
    <w:qFormat/>
    <w:rPr/>
  </w:style>
  <w:style w:type="character" w:styleId="r7">
    <w:name w:val="r_总价(大写)"/>
    <w:qFormat/>
    <w:rPr/>
  </w:style>
  <w:style w:type="character" w:styleId="s3">
    <w:name w:val="s_单价(小写)"/>
    <w:qFormat/>
    <w:rPr/>
  </w:style>
  <w:style w:type="character" w:styleId="s4">
    <w:name w:val="s_单价(大写)"/>
    <w:qFormat/>
    <w:rPr/>
  </w:style>
  <w:style w:type="character" w:styleId="r8">
    <w:name w:val="r_有效年期"/>
    <w:qFormat/>
    <w:rPr/>
  </w:style>
  <w:style w:type="character" w:styleId="s5">
    <w:name w:val="s_土地证号"/>
    <w:qFormat/>
    <w:rPr/>
  </w:style>
  <w:style w:type="character" w:styleId="s6">
    <w:name w:val="s_土地使用者"/>
    <w:qFormat/>
    <w:rPr/>
  </w:style>
  <w:style w:type="character" w:styleId="s7">
    <w:name w:val="s_土地用途"/>
    <w:qFormat/>
    <w:rPr/>
  </w:style>
  <w:style w:type="character" w:styleId="s8">
    <w:name w:val="s_用地面积"/>
    <w:qFormat/>
    <w:rPr/>
  </w:style>
  <w:style w:type="character" w:styleId="s9">
    <w:name w:val="s_土地性质"/>
    <w:qFormat/>
    <w:rPr/>
  </w:style>
  <w:style w:type="character" w:styleId="s10">
    <w:name w:val="s_房产证号"/>
    <w:qFormat/>
    <w:rPr/>
  </w:style>
  <w:style w:type="character" w:styleId="s11">
    <w:name w:val="s_建筑面积"/>
    <w:qFormat/>
    <w:rPr/>
  </w:style>
  <w:style w:type="character" w:styleId="s12">
    <w:name w:val="s_他项权利情况"/>
    <w:qFormat/>
    <w:rPr/>
  </w:style>
  <w:style w:type="character" w:styleId="s13">
    <w:name w:val="s_结构"/>
    <w:qFormat/>
    <w:rPr/>
  </w:style>
  <w:style w:type="character" w:styleId="s14">
    <w:name w:val="s_间数层数"/>
    <w:qFormat/>
    <w:rPr/>
  </w:style>
  <w:style w:type="character" w:styleId="s15">
    <w:name w:val="s_建成年份"/>
    <w:qFormat/>
    <w:rPr/>
  </w:style>
  <w:style w:type="character" w:styleId="s16">
    <w:name w:val="s_外墙"/>
    <w:qFormat/>
    <w:rPr/>
  </w:style>
  <w:style w:type="character" w:styleId="s17">
    <w:name w:val="s_内墙"/>
    <w:qFormat/>
    <w:rPr/>
  </w:style>
  <w:style w:type="character" w:styleId="s18">
    <w:name w:val="s_门"/>
    <w:qFormat/>
    <w:rPr/>
  </w:style>
  <w:style w:type="character" w:styleId="s19">
    <w:name w:val="s_窗"/>
    <w:qFormat/>
    <w:rPr/>
  </w:style>
  <w:style w:type="character" w:styleId="s20">
    <w:name w:val="s_楼地面"/>
    <w:qFormat/>
    <w:rPr/>
  </w:style>
  <w:style w:type="character" w:styleId="s21">
    <w:name w:val="s_配套设施"/>
    <w:qFormat/>
    <w:rPr/>
  </w:style>
  <w:style w:type="character" w:styleId="s22">
    <w:name w:val="s_房地产变现后应先交纳"/>
    <w:qFormat/>
    <w:rPr/>
  </w:style>
  <w:style w:type="character" w:styleId="s23">
    <w:name w:val="s_应缴纳"/>
    <w:qFormat/>
    <w:rPr/>
  </w:style>
  <w:style w:type="character" w:styleId="casecount">
    <w:name w:val="casecount"/>
    <w:qFormat/>
    <w:rPr/>
  </w:style>
  <w:style w:type="character" w:styleId="casenames">
    <w:name w:val="casenames"/>
    <w:qFormat/>
    <w:rPr/>
  </w:style>
  <w:style w:type="character" w:styleId="basefactorname">
    <w:name w:val="basefactorname"/>
    <w:qFormat/>
    <w:rPr/>
  </w:style>
  <w:style w:type="character" w:styleId="v">
    <w:name w:val="v_面积"/>
    <w:qFormat/>
    <w:rPr/>
  </w:style>
  <w:style w:type="character" w:styleId="v1">
    <w:name w:val="v_单价"/>
    <w:qFormat/>
    <w:rPr/>
  </w:style>
  <w:style w:type="character" w:styleId="v2">
    <w:name w:val="v_面积汇总的市场比较法总价"/>
    <w:qFormat/>
    <w:rPr/>
  </w:style>
  <w:style w:type="character" w:styleId="r9">
    <w:name w:val="r_短估价目的"/>
    <w:qFormat/>
    <w:rPr/>
  </w:style>
  <w:style w:type="character" w:styleId="blackfont">
    <w:name w:val="blackfont"/>
    <w:qFormat/>
    <w:rPr/>
  </w:style>
  <w:style w:type="character" w:styleId="font31">
    <w:name w:val="font31"/>
    <w:qFormat/>
    <w:rPr>
      <w:rFonts w:ascii="宋体;SimSun" w:hAnsi="宋体;SimSun" w:eastAsia="宋体;SimSun" w:cs="宋体;SimSun"/>
      <w:b/>
      <w:bCs/>
      <w:i w:val="false"/>
      <w:iCs w:val="false"/>
      <w:strike w:val="false"/>
      <w:dstrike w:val="false"/>
      <w:color w:val="000000"/>
      <w:sz w:val="18"/>
      <w:szCs w:val="18"/>
      <w:u w:val="none"/>
    </w:rPr>
  </w:style>
  <w:style w:type="character" w:styleId="font21">
    <w:name w:val="font21"/>
    <w:qFormat/>
    <w:rPr>
      <w:rFonts w:ascii="宋体;SimSun" w:hAnsi="宋体;SimSun" w:eastAsia="宋体;SimSun" w:cs="宋体;SimSun"/>
      <w:b/>
      <w:bCs/>
      <w:i w:val="false"/>
      <w:iCs w:val="false"/>
      <w:strike w:val="false"/>
      <w:dstrike w:val="false"/>
      <w:color w:val="000000"/>
      <w:sz w:val="18"/>
      <w:szCs w:val="18"/>
      <w:u w: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1">
    <w:name w:val="正文（首行缩进两字）"/>
    <w:basedOn w:val="Normal"/>
    <w:qFormat/>
    <w:pPr/>
    <w:rPr/>
  </w:style>
  <w:style w:type="paragraph" w:styleId="TOC3">
    <w:name w:val="TOC 3"/>
    <w:basedOn w:val="Normal"/>
    <w:next w:val="Normal"/>
    <w:pPr>
      <w:tabs>
        <w:tab w:val="clear" w:pos="420"/>
        <w:tab w:val="right" w:pos="8960" w:leader="hyphen"/>
      </w:tabs>
      <w:spacing w:lineRule="exact" w:line="500"/>
      <w:ind w:hanging="200" w:start="200" w:end="0"/>
      <w:jc w:val="start"/>
    </w:pPr>
    <w:rPr>
      <w:rFonts w:cs="Times New Roman"/>
      <w:szCs w:val="20"/>
    </w:rPr>
  </w:style>
  <w:style w:type="paragraph" w:styleId="Style12">
    <w:name w:val="日期"/>
    <w:basedOn w:val="Normal"/>
    <w:next w:val="Normal"/>
    <w:qFormat/>
    <w:pPr>
      <w:autoSpaceDE w:val="false"/>
      <w:spacing w:lineRule="auto" w:line="360"/>
      <w:jc w:val="end"/>
    </w:pPr>
    <w:rPr>
      <w:rFonts w:ascii="仿宋体;宋体" w:hAnsi="仿宋体;宋体" w:eastAsia="仿宋体;宋体" w:cs="Times New Roman"/>
      <w:kern w:val="0"/>
      <w:szCs w:val="20"/>
    </w:rPr>
  </w:style>
  <w:style w:type="paragraph" w:styleId="2">
    <w:name w:val="正文文本缩进 2"/>
    <w:basedOn w:val="Normal"/>
    <w:qFormat/>
    <w:pPr>
      <w:widowControl/>
      <w:tabs>
        <w:tab w:val="clear" w:pos="420"/>
        <w:tab w:val="left" w:pos="2760" w:leader="none"/>
      </w:tabs>
      <w:autoSpaceDE w:val="false"/>
      <w:spacing w:lineRule="auto" w:line="360"/>
      <w:ind w:firstLine="567" w:start="0" w:end="0"/>
    </w:pPr>
    <w:rPr>
      <w:rFonts w:cs="Times New Roman"/>
      <w:kern w:val="0"/>
      <w:szCs w:val="20"/>
    </w:rPr>
  </w:style>
  <w:style w:type="paragraph" w:styleId="Style13">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pBdr>
        <w:top w:val="single" w:sz="6" w:space="1" w:color="000000"/>
      </w:pBdr>
      <w:tabs>
        <w:tab w:val="clear" w:pos="420"/>
        <w:tab w:val="center" w:pos="4153" w:leader="none"/>
        <w:tab w:val="right" w:pos="8306" w:leader="none"/>
      </w:tabs>
      <w:snapToGrid w:val="false"/>
      <w:jc w:val="start"/>
    </w:pPr>
    <w:rPr>
      <w:sz w:val="21"/>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tabs>
        <w:tab w:val="clear" w:pos="420"/>
        <w:tab w:val="right" w:pos="8960" w:leader="hyphen"/>
      </w:tabs>
      <w:spacing w:lineRule="exact" w:line="500"/>
      <w:jc w:val="start"/>
    </w:pPr>
    <w:rPr>
      <w:rFonts w:cs="Times New Roman"/>
      <w:szCs w:val="20"/>
    </w:rPr>
  </w:style>
  <w:style w:type="paragraph" w:styleId="TOC2">
    <w:name w:val="TOC 2"/>
    <w:basedOn w:val="Normal"/>
    <w:next w:val="Normal"/>
    <w:pPr>
      <w:tabs>
        <w:tab w:val="clear" w:pos="420"/>
        <w:tab w:val="right" w:pos="8960" w:leader="hyphen"/>
      </w:tabs>
      <w:spacing w:lineRule="exact" w:line="500"/>
      <w:jc w:val="start"/>
    </w:pPr>
    <w:rPr>
      <w:rFonts w:cs="Times New Roman"/>
      <w:szCs w:val="20"/>
      <w:lang w:val="en-US" w:eastAsia="en-US"/>
    </w:rPr>
  </w:style>
  <w:style w:type="paragraph" w:styleId="Style14">
    <w:name w:val="普通(网站)"/>
    <w:basedOn w:val="Normal"/>
    <w:qFormat/>
    <w:pPr>
      <w:widowControl/>
      <w:autoSpaceDE w:val="false"/>
      <w:spacing w:before="100" w:after="100"/>
      <w:ind w:firstLine="560" w:start="0" w:end="0"/>
      <w:jc w:val="start"/>
    </w:pPr>
    <w:rPr>
      <w:kern w:val="0"/>
    </w:rPr>
  </w:style>
  <w:style w:type="paragraph" w:styleId="Char5">
    <w:name w:val="Char"/>
    <w:basedOn w:val="Normal"/>
    <w:qFormat/>
    <w:pPr/>
    <w:rPr>
      <w:rFonts w:cs="Times New Roman"/>
      <w:b/>
      <w:sz w:val="32"/>
      <w:szCs w:val="32"/>
    </w:rPr>
  </w:style>
  <w:style w:type="paragraph" w:styleId="Char1CharCharChar">
    <w:name w:val=" Char1 Char Char Char"/>
    <w:basedOn w:val="Normal"/>
    <w:qFormat/>
    <w:pPr/>
    <w:rPr>
      <w:rFonts w:ascii="Times New Roman" w:hAnsi="Times New Roman" w:eastAsia="宋体;SimSun" w:cs="Times New Roman"/>
      <w:sz w:val="21"/>
      <w:szCs w:val="20"/>
    </w:rPr>
  </w:style>
  <w:style w:type="paragraph" w:styleId="1">
    <w:name w:val="1"/>
    <w:basedOn w:val="Normal"/>
    <w:next w:val="2"/>
    <w:qFormat/>
    <w:pPr>
      <w:spacing w:lineRule="auto" w:line="360"/>
      <w:ind w:firstLine="600" w:start="0" w:end="0"/>
      <w:textAlignment w:val="baseline"/>
    </w:pPr>
    <w:rPr>
      <w:rFonts w:ascii="Times New Roman" w:hAnsi="Times New Roman" w:eastAsia="宋体;SimSun" w:cs="Times New Roman"/>
      <w:kern w:val="0"/>
      <w:szCs w:val="20"/>
    </w:rPr>
  </w:style>
  <w:style w:type="paragraph" w:styleId="Style15">
    <w:name w:val="节标题"/>
    <w:basedOn w:val="Normal"/>
    <w:qFormat/>
    <w:pPr>
      <w:spacing w:lineRule="auto" w:line="360"/>
      <w:jc w:val="start"/>
      <w:outlineLvl w:val="1"/>
    </w:pPr>
    <w:rPr>
      <w:rFonts w:ascii="Calibri" w:hAnsi="Calibri" w:cs="Times New Roman"/>
      <w:b/>
      <w:szCs w:val="22"/>
    </w:rPr>
  </w:style>
  <w:style w:type="paragraph" w:styleId="Style16">
    <w:name w:val="三级标题"/>
    <w:basedOn w:val="Style15"/>
    <w:qFormat/>
    <w:pPr>
      <w:outlineLvl w:val="2"/>
    </w:pPr>
    <w:rPr>
      <w:sz w:val="24"/>
    </w:rPr>
  </w:style>
  <w:style w:type="paragraph" w:styleId="Style17">
    <w:name w:val="正文样式"/>
    <w:basedOn w:val="Normal"/>
    <w:qFormat/>
    <w:pPr>
      <w:spacing w:lineRule="auto" w:line="360"/>
      <w:ind w:firstLine="200" w:start="0" w:end="0"/>
    </w:pPr>
    <w:rPr>
      <w:rFonts w:ascii="Calibri" w:hAnsi="Calibri" w:cs="Times New Roman"/>
      <w:sz w:val="24"/>
      <w:szCs w:val="2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header" Target="header16.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header" Target="header18.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Relationships>
</file>

<file path=word/_rels/header3.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header4.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header5.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header6.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header7.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header8.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header9.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header10.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header11.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header12.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header13.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header14.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header15.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header16.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header17.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5894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2014-01-09T01:15:00Z</dcterms:created>
  <dc:creator>hwy</dc:creator>
  <dc:description/>
  <cp:keywords/>
  <dc:language>en-US</dc:language>
  <cp:lastModifiedBy>微软用户</cp:lastModifiedBy>
  <cp:lastPrinted>2025-08-25T09:16:00Z</cp:lastPrinted>
  <dcterms:modified xsi:type="dcterms:W3CDTF">2025-09-11T04:13:00Z</dcterms:modified>
  <cp:revision>196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A061ED047F264E26811BDFA674A41D44_12</vt:lpwstr>
  </property>
  <property fmtid="{D5CDD505-2E9C-101B-9397-08002B2CF9AE}" pid="3" name="KSOProductBuildVer">
    <vt:lpwstr>2052-12.1.0.20784</vt:lpwstr>
  </property>
  <property fmtid="{D5CDD505-2E9C-101B-9397-08002B2CF9AE}" pid="4" name="KSOTemplateDocerSaveRecord">
    <vt:lpwstr>eyJoZGlkIjoiODkyMzMzNTUxMjA0ODQ5NjE1NTM4ZGNkYTliYTRiNjIiLCJ1c2VySWQiOiI0MDUyOTM3In0=</vt:lpwstr>
  </property>
</Properties>
</file>