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Intelligence File on Celine Baptiste (Code Name: 44LV3):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Subject Case Profile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Name: 44LV3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 Name: Celine Baptiste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Age: Estimated mid-20s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Nationality: Unconfirmed (Possible origins: United States, Southern regions; evidence suggests Creole lineage)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Status: Unapprehended; Priority-One Global Threat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Classification: High-Value Asset/Potential Operative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Operational Background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Known Aliases: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44LV3 (Primary Dark Web Identifier)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Multiple forged identities, active in luxury auction networks, diamond trafficking routes, and encrypted financial platforms.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Criminal Specializations: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High-Value Smuggling Operations: Expertise in diamond theft and laundering through cryptocurrency networks.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Dark Web Market Disruption: Orchestrated takedowns of syndicate nodes via compromised escrow systems.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Cyber Exploitation: Mastery in bypassing multi-factor authentication, exploiting zero-day vulnerabilities, and cryptocurrency tumblers to obfuscate financial traces.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Psychological Profile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Personality Traits: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High Cognitive Function: Advanced problem-solving skills, exceptional adaptability, and rapid acquisition of new technologies.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Manipulative and Charismatic: Skilled at social engineering, with an acute understanding of human behavior. Known to exploit emotional vulnerabilities of targets and operatives.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Psychopathic Tendencies: Displays no remorse for criminal activities. Escalates violence in high-pressure situations if objectives are compromised.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Trauma Response: Behavioral patterns suggest unresolved trauma tied to the violent loss of her family, channeling grief into calculated violence and obsessive resource acquisition.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Notable Behavioral Patterns: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Control-Seeking Behavior: Operates with precision, seeking autonomy in all criminal endeavors. Unlikely to work under coercion unless manipulated effectively.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Emotional Suppression: Rarely expresses overt anger or distress, though known to display violent impulsivity under extreme stress.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Obsessive Motivation: Likely driven by personal vendettas linked to unresolved familial loss, making her both volatile and exploitable.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Connection to Nox and the 4ZR43L Virus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Relationship with Nox: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Identified as a protégé of Nox, an untraceable cybercriminal mastermind. Interaction began approximately five years ago, initiated by the 4ZR43L AI virus.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Role of 4ZR43L: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Initial Contact: The virus flagged her based on behavioral patterns, operational skills, and psychological markers.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Manipulative Integration: Subject believes her actions align with her goals, but evidence suggests guidance from Nox through false leads and psychological conditioning.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Emotional Leverage: Nox exploited her unresolved trauma (family’s murder) to solidify control. The relationship is mutually beneficial but fundamentally asymmetric, with Nox maintaining dominance.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Operational Dynamics: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Asset Utilization: Directly linked to operations targeting rival syndicates, including market disruptions and digital asset theft.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Potential for Autonomy: Increasing independence in high-level operations suggests a potential divergence from Nox’s directives in the future.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Known Operations and Escalation of Threat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Encrypted Supply Chain Dismantling (2021):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Implicated in the takedown of an escrow service used by a rival syndicate. This destabilized luxury goods smuggling routes, benefiting Nox-controlled networks.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Diamond Theft and Distribution (2023):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Coordinated theft of untraceable diamonds from private auctions. Evidence suggests the use of Tor-enabled drones for cross-border smuggling.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Violent Incident (Suspected, 2025):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 client associated with a forged identity disappeared under suspicious circumstances. Celine is believed to be directly involved, though no forensic evidence links her to the crime.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Technological Expertise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Capabilities: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Cryptographic Mastery: Skilled in forging digital certificates and compromising secure communication protocols.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AI Integration: Utilizes AI-enhanced scripts for infiltration, including phishing attacks targeting private wealth accounts.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Blockchain Obfuscation: Expert in laundering assets through cryptocurrency tumblers and mixers.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Social Engineering: Advanced ability to exploit human vulnerabilities, blending charm and precision to gain access to high-security environments.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Tools of Choice: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Onion Routing (TOR)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Cryptocurrency Wallet Tumblers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Zero-Day Exploits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AI-Powered Identity Forgers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Global Threat Assessment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Danger Level: HIGH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Strategic Importance: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Represents a hybrid threat: combining psychological unpredictability with technological expertise and global network access.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Potential Asset: Could be redirected to high-value intelligence operations.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Critical Risk: Unchecked escalation of activities poses significant threats to global economic stability and law enforcement.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Recommended Actions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Covert Surveillance: Indirect observation through compromised communication nodes to monitor patterns.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Counter-Psychological Operations: Introduce disinformation to destabilize her trust in Nox, creating a rift.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Selective Intervention: Prioritize psychological manipulation over direct confrontation. Subject’s volatility makes physical apprehension a last resort.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