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pen Sans" w:cs="Open Sans" w:eastAsia="Open Sans" w:hAnsi="Open Sans"/>
        </w:rPr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-323849</wp:posOffset>
            </wp:positionH>
            <wp:positionV relativeFrom="page">
              <wp:posOffset>-276224</wp:posOffset>
            </wp:positionV>
            <wp:extent cx="8520113" cy="11066714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20113" cy="110667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160" w:line="259" w:lineRule="auto"/>
        <w:jc w:val="left"/>
        <w:rPr>
          <w:rFonts w:ascii="Open Sans" w:cs="Open Sans" w:eastAsia="Open Sans" w:hAnsi="Open Sans"/>
        </w:rPr>
      </w:pPr>
      <w:bookmarkStart w:colFirst="0" w:colLast="0" w:name="_nbtuu49n7rh6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3sjicolrzi3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9azrdy31a8i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bookmarkStart w:colFirst="0" w:colLast="0" w:name="_itf0urk8pf1v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/>
      </w:pPr>
      <w:bookmarkStart w:colFirst="0" w:colLast="0" w:name="_nksmm1kq7bxj" w:id="4"/>
      <w:bookmarkEnd w:id="4"/>
      <w:r w:rsidDel="00000000" w:rsidR="00000000" w:rsidRPr="00000000">
        <w:rPr>
          <w:rtl w:val="0"/>
        </w:rPr>
        <w:t xml:space="preserve">Permissioned &amp; Public Blockchains’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spacing w:after="160" w:before="200" w:line="259" w:lineRule="auto"/>
        <w:jc w:val="center"/>
        <w:rPr/>
      </w:pPr>
      <w:bookmarkStart w:colFirst="0" w:colLast="0" w:name="_x5hdwmgv3ucz" w:id="5"/>
      <w:bookmarkEnd w:id="5"/>
      <w:r w:rsidDel="00000000" w:rsidR="00000000" w:rsidRPr="00000000">
        <w:rPr>
          <w:rtl w:val="0"/>
        </w:rPr>
        <w:t xml:space="preserve">READING TASK |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ind w:left="0" w:firstLine="0"/>
        <w:jc w:val="center"/>
        <w:rPr/>
      </w:pPr>
      <w:bookmarkStart w:colFirst="0" w:colLast="0" w:name="_jliuxgdudbn8" w:id="6"/>
      <w:bookmarkEnd w:id="6"/>
      <w:r w:rsidDel="00000000" w:rsidR="00000000" w:rsidRPr="00000000">
        <w:rPr>
          <w:rtl w:val="0"/>
        </w:rPr>
        <w:t xml:space="preserve">Last Updated: January 3, 2022</w:t>
      </w:r>
    </w:p>
    <w:p w:rsidR="00000000" w:rsidDel="00000000" w:rsidP="00000000" w:rsidRDefault="00000000" w:rsidRPr="00000000" w14:paraId="00000009">
      <w:pPr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jc w:val="center"/>
        <w:rPr>
          <w:sz w:val="40"/>
          <w:szCs w:val="40"/>
          <w:u w:val="single"/>
        </w:rPr>
      </w:pPr>
      <w:bookmarkStart w:colFirst="0" w:colLast="0" w:name="_yu9vgll4vj5q" w:id="7"/>
      <w:bookmarkEnd w:id="7"/>
      <w:r w:rsidDel="00000000" w:rsidR="00000000" w:rsidRPr="00000000">
        <w:rPr>
          <w:sz w:val="40"/>
          <w:szCs w:val="40"/>
          <w:u w:val="single"/>
          <w:rtl w:val="0"/>
        </w:rPr>
        <w:t xml:space="preserve">Permissioned &amp; Public Blockchains’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numPr>
          <w:ilvl w:val="0"/>
          <w:numId w:val="2"/>
        </w:numPr>
        <w:spacing w:line="288" w:lineRule="auto"/>
        <w:ind w:left="720" w:hanging="360"/>
      </w:pPr>
      <w:bookmarkStart w:colFirst="0" w:colLast="0" w:name="_resur3p8v6ik" w:id="8"/>
      <w:bookmarkEnd w:id="8"/>
      <w:r w:rsidDel="00000000" w:rsidR="00000000" w:rsidRPr="00000000">
        <w:rPr>
          <w:rtl w:val="0"/>
        </w:rPr>
        <w:t xml:space="preserve">Public Blockchains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Introduction to Public Blockchains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Consensus Algorithms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spacing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Types of Consensus Algorithms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88" w:lineRule="auto"/>
        <w:rPr/>
      </w:pPr>
      <w:r w:rsidDel="00000000" w:rsidR="00000000" w:rsidRPr="00000000">
        <w:rPr>
          <w:rtl w:val="0"/>
        </w:rPr>
        <w:t xml:space="preserve">Bitcoin white paper: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https://bitcoin.org/bitcoin.pdf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88" w:lineRule="auto"/>
        <w:rPr/>
      </w:pPr>
      <w:r w:rsidDel="00000000" w:rsidR="00000000" w:rsidRPr="00000000">
        <w:rPr>
          <w:rtl w:val="0"/>
        </w:rPr>
        <w:t xml:space="preserve">Intro to Ethereum developer Docs: ​​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https://ethereum.org/en/developers/docs/intro-to-ethereum/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 to Ethereum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 to Ether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Dapps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Web2 vs Web3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88" w:lineRule="auto"/>
        <w:ind w:left="720" w:hanging="360"/>
      </w:pPr>
      <w:r w:rsidDel="00000000" w:rsidR="00000000" w:rsidRPr="00000000">
        <w:rPr>
          <w:rtl w:val="0"/>
        </w:rPr>
        <w:t xml:space="preserve">Accounts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88" w:lineRule="auto"/>
        <w:ind w:left="720" w:hanging="360"/>
      </w:pPr>
      <w:r w:rsidDel="00000000" w:rsidR="00000000" w:rsidRPr="00000000">
        <w:rPr>
          <w:rtl w:val="0"/>
        </w:rPr>
        <w:t xml:space="preserve">Transactions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88" w:lineRule="auto"/>
        <w:ind w:left="720" w:hanging="360"/>
      </w:pPr>
      <w:r w:rsidDel="00000000" w:rsidR="00000000" w:rsidRPr="00000000">
        <w:rPr>
          <w:rtl w:val="0"/>
        </w:rPr>
        <w:t xml:space="preserve">Blocks 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88" w:lineRule="auto"/>
        <w:ind w:left="720" w:hanging="360"/>
      </w:pPr>
      <w:r w:rsidDel="00000000" w:rsidR="00000000" w:rsidRPr="00000000">
        <w:rPr>
          <w:rtl w:val="0"/>
        </w:rPr>
        <w:t xml:space="preserve">Ethereum virtual machine (EVM)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88" w:lineRule="auto"/>
        <w:ind w:left="720" w:hanging="360"/>
      </w:pPr>
      <w:r w:rsidDel="00000000" w:rsidR="00000000" w:rsidRPr="00000000">
        <w:rPr>
          <w:rtl w:val="0"/>
        </w:rPr>
        <w:t xml:space="preserve">Opcodes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88" w:lineRule="auto"/>
        <w:ind w:left="720" w:hanging="360"/>
      </w:pPr>
      <w:r w:rsidDel="00000000" w:rsidR="00000000" w:rsidRPr="00000000">
        <w:rPr>
          <w:rtl w:val="0"/>
        </w:rPr>
        <w:t xml:space="preserve">Gas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88" w:lineRule="auto"/>
        <w:ind w:left="720" w:hanging="360"/>
      </w:pPr>
      <w:r w:rsidDel="00000000" w:rsidR="00000000" w:rsidRPr="00000000">
        <w:rPr>
          <w:rtl w:val="0"/>
        </w:rPr>
        <w:t xml:space="preserve">Nodes and clients 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288" w:lineRule="auto"/>
        <w:ind w:left="720" w:hanging="360"/>
      </w:pPr>
      <w:r w:rsidDel="00000000" w:rsidR="00000000" w:rsidRPr="00000000">
        <w:rPr>
          <w:rtl w:val="0"/>
        </w:rPr>
        <w:t xml:space="preserve">Run a node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88" w:lineRule="auto"/>
        <w:ind w:left="720" w:hanging="360"/>
      </w:pPr>
      <w:r w:rsidDel="00000000" w:rsidR="00000000" w:rsidRPr="00000000">
        <w:rPr>
          <w:rtl w:val="0"/>
        </w:rPr>
        <w:t xml:space="preserve">Nodes as a service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288" w:lineRule="auto"/>
        <w:ind w:left="720" w:hanging="360"/>
      </w:pPr>
      <w:r w:rsidDel="00000000" w:rsidR="00000000" w:rsidRPr="00000000">
        <w:rPr>
          <w:rtl w:val="0"/>
        </w:rPr>
        <w:t xml:space="preserve">Networks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88" w:lineRule="auto"/>
        <w:ind w:left="720" w:hanging="360"/>
      </w:pPr>
      <w:r w:rsidDel="00000000" w:rsidR="00000000" w:rsidRPr="00000000">
        <w:rPr>
          <w:rtl w:val="0"/>
        </w:rPr>
        <w:t xml:space="preserve">Consensus mechanisms 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line="288" w:lineRule="auto"/>
        <w:ind w:left="1440" w:hanging="360"/>
      </w:pPr>
      <w:r w:rsidDel="00000000" w:rsidR="00000000" w:rsidRPr="00000000">
        <w:rPr>
          <w:rtl w:val="0"/>
        </w:rPr>
        <w:t xml:space="preserve">Proof-of-work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line="288" w:lineRule="auto"/>
        <w:ind w:left="1440" w:hanging="360"/>
      </w:pPr>
      <w:r w:rsidDel="00000000" w:rsidR="00000000" w:rsidRPr="00000000">
        <w:rPr>
          <w:rtl w:val="0"/>
        </w:rPr>
        <w:t xml:space="preserve">Proof-of-stake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88" w:lineRule="auto"/>
        <w:rPr/>
      </w:pPr>
      <w:r w:rsidDel="00000000" w:rsidR="00000000" w:rsidRPr="00000000">
        <w:rPr>
          <w:rtl w:val="0"/>
        </w:rPr>
        <w:t xml:space="preserve">Ethereum Whitepaper: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https://ethereum.org/en/whitepaper/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88" w:lineRule="auto"/>
        <w:rPr/>
      </w:pPr>
      <w:r w:rsidDel="00000000" w:rsidR="00000000" w:rsidRPr="00000000">
        <w:rPr>
          <w:rtl w:val="0"/>
        </w:rPr>
        <w:t xml:space="preserve">Ethereum consensus mechanism: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https://ethereum.org/en/developers/docs/consensus-mechanisms/#what-is-consensus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numPr>
          <w:ilvl w:val="0"/>
          <w:numId w:val="2"/>
        </w:numPr>
        <w:spacing w:line="288" w:lineRule="auto"/>
        <w:ind w:left="720" w:hanging="360"/>
      </w:pPr>
      <w:bookmarkStart w:colFirst="0" w:colLast="0" w:name="_uw84ku2mo5b" w:id="9"/>
      <w:bookmarkEnd w:id="9"/>
      <w:r w:rsidDel="00000000" w:rsidR="00000000" w:rsidRPr="00000000">
        <w:rPr>
          <w:rtl w:val="0"/>
        </w:rPr>
        <w:t xml:space="preserve">Permissioned Blockchains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Introduction to Permissioned Blockchain and Fabric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line="288" w:lineRule="auto"/>
        <w:ind w:left="144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https://www.investopedia.com/news/public-private-permissioned-blockchains-compared/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line="288" w:lineRule="auto"/>
        <w:ind w:left="144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https://hyperledger-fabric.readthedocs.io/en/release-2.2/whatis.html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3"/>
        </w:numPr>
        <w:spacing w:line="288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2F">
      <w:pPr>
        <w:numPr>
          <w:ilvl w:val="2"/>
          <w:numId w:val="3"/>
        </w:numPr>
        <w:spacing w:line="288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Hyperledger Fabric</w:t>
      </w:r>
    </w:p>
    <w:p w:rsidR="00000000" w:rsidDel="00000000" w:rsidP="00000000" w:rsidRDefault="00000000" w:rsidRPr="00000000" w14:paraId="00000030">
      <w:pPr>
        <w:numPr>
          <w:ilvl w:val="2"/>
          <w:numId w:val="3"/>
        </w:numPr>
        <w:spacing w:line="288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Modularity</w:t>
      </w:r>
    </w:p>
    <w:p w:rsidR="00000000" w:rsidDel="00000000" w:rsidP="00000000" w:rsidRDefault="00000000" w:rsidRPr="00000000" w14:paraId="00000031">
      <w:pPr>
        <w:numPr>
          <w:ilvl w:val="2"/>
          <w:numId w:val="3"/>
        </w:numPr>
        <w:spacing w:line="288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Permissioned vs Permissionless Blockchains</w:t>
      </w:r>
    </w:p>
    <w:p w:rsidR="00000000" w:rsidDel="00000000" w:rsidP="00000000" w:rsidRDefault="00000000" w:rsidRPr="00000000" w14:paraId="00000032">
      <w:pPr>
        <w:numPr>
          <w:ilvl w:val="2"/>
          <w:numId w:val="3"/>
        </w:numPr>
        <w:spacing w:line="288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Smart Contracts</w:t>
      </w:r>
    </w:p>
    <w:p w:rsidR="00000000" w:rsidDel="00000000" w:rsidP="00000000" w:rsidRDefault="00000000" w:rsidRPr="00000000" w14:paraId="00000033">
      <w:pPr>
        <w:numPr>
          <w:ilvl w:val="2"/>
          <w:numId w:val="3"/>
        </w:numPr>
        <w:spacing w:line="288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Privacy and Confidentiality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HyperLedger Fabric Paper: ​​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https://dl.acm.org/doi/10.1145/3190508.3190538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Channels in Fabric: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https://hyperledger-fabric.readthedocs.io/en/release-2.2/channels.html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Components of Hyperledger Fabric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line="288" w:lineRule="auto"/>
        <w:ind w:left="720" w:hanging="360"/>
      </w:pPr>
      <w:r w:rsidDel="00000000" w:rsidR="00000000" w:rsidRPr="00000000">
        <w:rPr>
          <w:rtl w:val="0"/>
        </w:rPr>
        <w:t xml:space="preserve">Hyperledger Fabric Architecture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line="288" w:lineRule="auto"/>
        <w:ind w:left="1440" w:hanging="360"/>
      </w:pPr>
      <w:r w:rsidDel="00000000" w:rsidR="00000000" w:rsidRPr="00000000">
        <w:rPr>
          <w:rtl w:val="0"/>
        </w:rPr>
        <w:t xml:space="preserve">Membership Service Provider(MSP)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line="288" w:lineRule="auto"/>
        <w:ind w:left="1440" w:hanging="360"/>
      </w:pPr>
      <w:r w:rsidDel="00000000" w:rsidR="00000000" w:rsidRPr="00000000">
        <w:rPr>
          <w:rtl w:val="0"/>
        </w:rPr>
        <w:t xml:space="preserve">Client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line="288" w:lineRule="auto"/>
        <w:ind w:left="1440" w:hanging="360"/>
      </w:pPr>
      <w:r w:rsidDel="00000000" w:rsidR="00000000" w:rsidRPr="00000000">
        <w:rPr>
          <w:rtl w:val="0"/>
        </w:rPr>
        <w:t xml:space="preserve">Peers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line="288" w:lineRule="auto"/>
        <w:ind w:left="1440" w:hanging="360"/>
      </w:pPr>
      <w:r w:rsidDel="00000000" w:rsidR="00000000" w:rsidRPr="00000000">
        <w:rPr>
          <w:rtl w:val="0"/>
        </w:rPr>
        <w:t xml:space="preserve">Orderer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line="288" w:lineRule="auto"/>
        <w:ind w:left="144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https://blog.clairvoyantsoft.com/hyperledger-fabric-components-and-architecture-b874b36c4af5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​​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https://blog.clairvoyantsoft.com/hyperledger-fabric-transaction-flow-c6bcc2142b5a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88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Comparison of Fabric and other Blockchains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spacing w:line="288" w:lineRule="auto"/>
        <w:ind w:left="144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https://medium.com/blockchainspace/3-comparison-of-bitcoin-ethereum-and-hyperledger-fabric-cd48810e590c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left="720" w:hanging="360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60" w:line="259" w:lineRule="auto"/>
      <w:jc w:val="center"/>
    </w:pPr>
    <w:rPr>
      <w:rFonts w:ascii="Open Sans" w:cs="Open Sans" w:eastAsia="Open Sans" w:hAnsi="Open Sans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  <w:spacing w:after="160" w:before="200" w:line="259" w:lineRule="auto"/>
      <w:jc w:val="center"/>
    </w:pPr>
    <w:rPr>
      <w:rFonts w:ascii="Open Sans" w:cs="Open Sans" w:eastAsia="Open Sans" w:hAnsi="Open Sans"/>
      <w:b w:val="1"/>
      <w:color w:val="1155cc"/>
      <w:sz w:val="60"/>
      <w:szCs w:val="6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investopedia.com/news/public-private-permissioned-blockchains-compared/" TargetMode="External"/><Relationship Id="rId10" Type="http://schemas.openxmlformats.org/officeDocument/2006/relationships/hyperlink" Target="https://ethereum.org/en/developers/docs/consensus-mechanisms/#what-is-consensus" TargetMode="External"/><Relationship Id="rId13" Type="http://schemas.openxmlformats.org/officeDocument/2006/relationships/hyperlink" Target="https://dl.acm.org/doi/10.1145/3190508.3190538" TargetMode="External"/><Relationship Id="rId12" Type="http://schemas.openxmlformats.org/officeDocument/2006/relationships/hyperlink" Target="https://hyperledger-fabric.readthedocs.io/en/release-2.2/whatis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thereum.org/en/whitepaper/" TargetMode="External"/><Relationship Id="rId15" Type="http://schemas.openxmlformats.org/officeDocument/2006/relationships/hyperlink" Target="https://blog.clairvoyantsoft.com/hyperledger-fabric-components-and-architecture-b874b36c4af5" TargetMode="External"/><Relationship Id="rId14" Type="http://schemas.openxmlformats.org/officeDocument/2006/relationships/hyperlink" Target="https://hyperledger-fabric.readthedocs.io/en/release-2.2/channels.html" TargetMode="External"/><Relationship Id="rId17" Type="http://schemas.openxmlformats.org/officeDocument/2006/relationships/hyperlink" Target="https://medium.com/blockchainspace/3-comparison-of-bitcoin-ethereum-and-hyperledger-fabric-cd48810e590c" TargetMode="External"/><Relationship Id="rId16" Type="http://schemas.openxmlformats.org/officeDocument/2006/relationships/hyperlink" Target="https://blog.clairvoyantsoft.com/hyperledger-fabric-transaction-flow-c6bcc2142b5a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bitcoin.org/bitcoin.pdf" TargetMode="External"/><Relationship Id="rId8" Type="http://schemas.openxmlformats.org/officeDocument/2006/relationships/hyperlink" Target="https://ethereum.org/en/developers/docs/intro-to-ethereu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