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73B6B" w14:textId="08B33F55" w:rsidR="005563D4" w:rsidRPr="00080057" w:rsidRDefault="00000000" w:rsidP="004B3598">
      <w:pPr>
        <w:pStyle w:val="FirstParagraph"/>
        <w:jc w:val="center"/>
        <w:rPr>
          <w:rFonts w:asciiTheme="minorEastAsia" w:hAnsiTheme="minorEastAsia" w:hint="eastAsia"/>
          <w:b/>
          <w:bCs/>
          <w:sz w:val="28"/>
          <w:szCs w:val="28"/>
          <w:lang w:eastAsia="zh-CN"/>
        </w:rPr>
      </w:pPr>
      <w:r w:rsidRPr="00080057">
        <w:rPr>
          <w:rFonts w:asciiTheme="minorEastAsia" w:hAnsiTheme="minorEastAsia"/>
          <w:b/>
          <w:bCs/>
          <w:sz w:val="28"/>
          <w:szCs w:val="28"/>
          <w:lang w:eastAsia="zh-CN"/>
        </w:rPr>
        <w:t>固体导热系数测量</w:t>
      </w:r>
    </w:p>
    <w:p w14:paraId="26BC6175" w14:textId="70D71594" w:rsidR="005563D4" w:rsidRPr="00080057" w:rsidRDefault="00000000" w:rsidP="004B3598">
      <w:pPr>
        <w:pStyle w:val="a0"/>
        <w:rPr>
          <w:rFonts w:asciiTheme="minorEastAsia" w:hAnsiTheme="minorEastAsia" w:hint="eastAsia"/>
          <w:b/>
          <w:bCs/>
          <w:lang w:eastAsia="zh-CN"/>
        </w:rPr>
      </w:pPr>
      <w:r w:rsidRPr="00080057">
        <w:rPr>
          <w:rFonts w:asciiTheme="minorEastAsia" w:hAnsiTheme="minorEastAsia"/>
          <w:b/>
          <w:bCs/>
          <w:lang w:eastAsia="zh-CN"/>
        </w:rPr>
        <w:t xml:space="preserve">1.实验目的 </w:t>
      </w:r>
    </w:p>
    <w:p w14:paraId="23F39468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(1)学习用物体散热速率求热传导速率的方法。</w:t>
      </w:r>
    </w:p>
    <w:p w14:paraId="52911785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(2)学习用稳态法测量导体的导热系数。</w:t>
      </w:r>
    </w:p>
    <w:p w14:paraId="23403CEF" w14:textId="1D0D93FB" w:rsidR="005563D4" w:rsidRPr="00080057" w:rsidRDefault="00000000">
      <w:pPr>
        <w:pStyle w:val="a0"/>
        <w:rPr>
          <w:rFonts w:asciiTheme="minorEastAsia" w:hAnsiTheme="minorEastAsia" w:hint="eastAsia"/>
          <w:b/>
          <w:bCs/>
          <w:lang w:eastAsia="zh-CN"/>
        </w:rPr>
      </w:pPr>
      <w:r w:rsidRPr="00080057">
        <w:rPr>
          <w:rFonts w:asciiTheme="minorEastAsia" w:hAnsiTheme="minorEastAsia"/>
          <w:b/>
          <w:bCs/>
          <w:lang w:eastAsia="zh-CN"/>
        </w:rPr>
        <w:t>2.实验仪器</w:t>
      </w:r>
    </w:p>
    <w:p w14:paraId="726E5AB6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导热系数测定仪，橡胶圆板，秒表。</w:t>
      </w:r>
    </w:p>
    <w:p w14:paraId="0E9AF9AC" w14:textId="77777777" w:rsidR="005563D4" w:rsidRPr="00080057" w:rsidRDefault="00000000">
      <w:pPr>
        <w:pStyle w:val="a0"/>
        <w:rPr>
          <w:rFonts w:asciiTheme="minorEastAsia" w:hAnsiTheme="minorEastAsia" w:hint="eastAsia"/>
          <w:b/>
          <w:bCs/>
          <w:lang w:eastAsia="zh-CN"/>
        </w:rPr>
      </w:pPr>
      <w:r w:rsidRPr="00080057">
        <w:rPr>
          <w:rFonts w:asciiTheme="minorEastAsia" w:hAnsiTheme="minorEastAsia"/>
          <w:b/>
          <w:bCs/>
          <w:lang w:eastAsia="zh-CN"/>
        </w:rPr>
        <w:t>3.实验原理</w:t>
      </w:r>
    </w:p>
    <w:p w14:paraId="6A68F135" w14:textId="77777777" w:rsidR="005563D4" w:rsidRPr="00080057" w:rsidRDefault="00000000" w:rsidP="004B3598">
      <w:pPr>
        <w:pStyle w:val="a0"/>
        <w:ind w:firstLineChars="100" w:firstLine="24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热传导是热量自发地从高温区域流向低温区域的过程。导热系数是衡量材料导热性能的关键物理量。金属的导热系数通常较高，被视为热的良导体；而非金属和液体的导热系数较低，气体的导热系数则最低。这一系数不仅取决于材料的种类，还受到其微观结构、温度、压力以及杂质含量等多种因素的影响。</w:t>
      </w:r>
    </w:p>
    <w:p w14:paraId="56FA6128" w14:textId="77777777" w:rsidR="005563D4" w:rsidRPr="00080057" w:rsidRDefault="00000000" w:rsidP="004B3598">
      <w:pPr>
        <w:pStyle w:val="a0"/>
        <w:ind w:firstLineChars="100" w:firstLine="24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稳态法是一种常用的测量手段。在稳态法中， 先利用热源对样品加热， 样品内部的温差使热量从高温向低温处传导， 样品内部各点的温度将随加热快慢和传热快慢的影响而变动。适当控制实验条件和实验参数可使加热和传热过程达到平衡状态，则待测样品内部可以形成稳定的温度分布， 根据这一温度分布就可以计算出材料的导热系数。</w:t>
      </w:r>
    </w:p>
    <w:p w14:paraId="5E6E32BE" w14:textId="77777777" w:rsidR="005563D4" w:rsidRPr="00080057" w:rsidRDefault="00000000" w:rsidP="004B3598">
      <w:pPr>
        <w:pStyle w:val="a0"/>
        <w:ind w:firstLineChars="100" w:firstLine="24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本实验利用导热系数测定仪测定材料的导热系数</w:t>
      </w:r>
      <m:oMath>
        <m:r>
          <w:rPr>
            <w:rFonts w:ascii="Cambria Math" w:hAnsi="Cambria Math"/>
            <w:lang w:eastAsia="zh-CN"/>
          </w:rPr>
          <m:t>λ</m:t>
        </m:r>
      </m:oMath>
      <w:r w:rsidRPr="00080057">
        <w:rPr>
          <w:rFonts w:asciiTheme="minorEastAsia" w:hAnsiTheme="minorEastAsia"/>
          <w:lang w:eastAsia="zh-CN"/>
        </w:rPr>
        <w:t>。</w:t>
      </w:r>
    </w:p>
    <w:p w14:paraId="449D7C7D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  <w:noProof/>
        </w:rPr>
        <w:drawing>
          <wp:inline distT="0" distB="0" distL="0" distR="0" wp14:anchorId="73BE7778" wp14:editId="6CFA3525">
            <wp:extent cx="5334000" cy="3004628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:\Hexo_Blog\blog-demo\source\img\image-202409031718481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D9C9A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 xml:space="preserve"> 平板稳态法测量导热系数</w:t>
      </w:r>
      <m:oMath>
        <m:r>
          <w:rPr>
            <w:rFonts w:ascii="Cambria Math" w:hAnsi="Cambria Math"/>
            <w:lang w:eastAsia="zh-CN"/>
          </w:rPr>
          <m:t>λ</m:t>
        </m:r>
      </m:oMath>
      <w:r w:rsidRPr="00080057">
        <w:rPr>
          <w:rFonts w:asciiTheme="minorEastAsia" w:hAnsiTheme="minorEastAsia"/>
          <w:lang w:eastAsia="zh-CN"/>
        </w:rPr>
        <w:t>的理论公式为</w:t>
      </w:r>
    </w:p>
    <w:p w14:paraId="4D2DADF1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C76C2E6" w14:textId="77777777" w:rsidR="005563D4" w:rsidRPr="00080057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式中，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 w:rsidRPr="00080057">
        <w:rPr>
          <w:rFonts w:asciiTheme="minorEastAsia" w:hAnsiTheme="minorEastAsia"/>
          <w:lang w:eastAsia="zh-CN"/>
        </w:rPr>
        <w:t>为已知量，分别为散热盘P(铜盘)的质量、比热容、直径和厚度；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</m:oMath>
      <w:r w:rsidRPr="00080057">
        <w:rPr>
          <w:rFonts w:asciiTheme="minorEastAsia" w:hAnsiTheme="minorEastAsia"/>
          <w:lang w:eastAsia="zh-CN"/>
        </w:rPr>
        <w:t>为待测圆盘材料的直径和厚度，可用游标卡尺测量；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080057">
        <w:rPr>
          <w:rFonts w:asciiTheme="minorEastAsia" w:hAnsiTheme="minorEastAsia"/>
          <w:lang w:eastAsia="zh-CN"/>
        </w:rPr>
        <w:t>到稳定状态时，发热盘C和散热盘P的温度，可用温度传感器直接读出；</w:t>
      </w:r>
      <m:oMath>
        <m:r>
          <w:rPr>
            <w:rFonts w:ascii="Cambria Math" w:hAnsi="Cambria Math"/>
            <w:lang w:eastAsia="zh-CN"/>
          </w:rPr>
          <m:t>ΔT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Δt</m:t>
        </m:r>
      </m:oMath>
      <w:r w:rsidRPr="00080057">
        <w:rPr>
          <w:rFonts w:asciiTheme="minorEastAsia" w:hAnsiTheme="minorEastAsia"/>
          <w:lang w:eastAsia="zh-CN"/>
        </w:rPr>
        <w:t>为停止加热后，系统的散热速率， 也就是本实验测量过程的关键参量。</w:t>
      </w:r>
    </w:p>
    <w:p w14:paraId="231FF548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设通过物体横截面积S传递的热流量（在单位时间内通过物体横截面积S传导的热量）为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dQ</m:t>
            </m:r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</m:oMath>
      <w:r w:rsidRPr="00080057">
        <w:rPr>
          <w:rFonts w:asciiTheme="minorEastAsia" w:hAnsiTheme="minorEastAsia"/>
          <w:lang w:eastAsia="zh-CN"/>
        </w:rPr>
        <w:t xml:space="preserve"> ，热传导的基本规律遵从傅立叶导热方程</w:t>
      </w:r>
    </w:p>
    <w:p w14:paraId="1C118B39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λS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6816C8CB" w14:textId="77777777" w:rsidR="005563D4" w:rsidRPr="00080057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其中，热流量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dQ</m:t>
            </m:r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</m:oMath>
      <w:r w:rsidRPr="00080057">
        <w:rPr>
          <w:rFonts w:asciiTheme="minorEastAsia" w:hAnsiTheme="minorEastAsia"/>
          <w:lang w:eastAsia="zh-CN"/>
        </w:rPr>
        <w:t>的单位为</w:t>
      </w:r>
      <m:oMath>
        <m:r>
          <w:rPr>
            <w:rFonts w:ascii="Cambria Math" w:hAnsi="Cambria Math"/>
            <w:lang w:eastAsia="zh-CN"/>
          </w:rPr>
          <m:t>W</m:t>
        </m:r>
      </m:oMath>
      <w:r w:rsidRPr="00080057">
        <w:rPr>
          <w:rFonts w:asciiTheme="minorEastAsia" w:hAnsiTheme="minorEastAsia"/>
          <w:lang w:eastAsia="zh-CN"/>
        </w:rPr>
        <w:t>,负号表示热流量沿温度降低的方向传递；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dT</m:t>
            </m:r>
          </m:num>
          <m:den>
            <m:r>
              <w:rPr>
                <w:rFonts w:ascii="Cambria Math" w:hAnsi="Cambria Math"/>
                <w:lang w:eastAsia="zh-CN"/>
              </w:rPr>
              <m:t>dx</m:t>
            </m:r>
          </m:den>
        </m:f>
      </m:oMath>
      <w:r w:rsidRPr="00080057">
        <w:rPr>
          <w:rFonts w:asciiTheme="minorEastAsia" w:hAnsiTheme="minorEastAsia"/>
          <w:lang w:eastAsia="zh-CN"/>
        </w:rPr>
        <w:t>为温度梯度，单位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m</m:t>
        </m:r>
      </m:oMath>
      <w:r w:rsidRPr="00080057">
        <w:rPr>
          <w:rFonts w:asciiTheme="minorEastAsia" w:hAnsiTheme="minorEastAsia"/>
          <w:lang w:eastAsia="zh-CN"/>
        </w:rPr>
        <w:t>。根据傅立叶导热方程，当物体热传导达到平衡状态，在物体内部取两个与热传导方向垂直，彼此相距H，温度分别为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080057">
        <w:rPr>
          <w:rFonts w:asciiTheme="minorEastAsia" w:hAnsiTheme="minorEastAsia"/>
          <w:lang w:eastAsia="zh-CN"/>
        </w:rPr>
        <w:t>的平行平面，若平面的面积为S, 材料导热系数为</w:t>
      </w:r>
      <m:oMath>
        <m:r>
          <w:rPr>
            <w:rFonts w:ascii="Cambria Math" w:hAnsi="Cambria Math"/>
            <w:lang w:eastAsia="zh-CN"/>
          </w:rPr>
          <m:t>λ</m:t>
        </m:r>
      </m:oMath>
      <w:r w:rsidRPr="00080057">
        <w:rPr>
          <w:rFonts w:asciiTheme="minorEastAsia" w:hAnsiTheme="minorEastAsia"/>
          <w:lang w:eastAsia="zh-CN"/>
        </w:rPr>
        <w:t>，则热传导所传递的热流量</w:t>
      </w:r>
    </w:p>
    <w:p w14:paraId="4D2211B3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2F0DE6D5" w14:textId="77777777" w:rsidR="005563D4" w:rsidRPr="00080057" w:rsidRDefault="00000000">
      <w:pPr>
        <w:pStyle w:val="FirstParagraph"/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  <w:lang w:eastAsia="zh-CN"/>
        </w:rPr>
        <w:t>在实验中，在支架上先放上圆铜盘P，在P的上面放上橡胶片B，再把圆铜盘C放在B上。发热器通电后，热量从C盘传到B盘，再传到P盘。由于C、P盘都是良导体，其温度即可以分别代表B盘上下表面温度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080057">
        <w:rPr>
          <w:rFonts w:asciiTheme="minorEastAsia" w:hAnsiTheme="minorEastAsia"/>
          <w:lang w:eastAsia="zh-CN"/>
        </w:rPr>
        <w:t>。</w:t>
      </w:r>
      <w:r w:rsidRPr="00080057">
        <w:rPr>
          <w:rFonts w:asciiTheme="minorEastAsia" w:hAnsiTheme="minorEastAsia"/>
        </w:rPr>
        <w:t>圆盘B的直径为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080057">
        <w:rPr>
          <w:rFonts w:asciiTheme="minorEastAsia" w:hAnsiTheme="minorEastAsia"/>
        </w:rPr>
        <w:t>,厚度为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080057">
        <w:rPr>
          <w:rFonts w:asciiTheme="minorEastAsia" w:hAnsiTheme="minorEastAsia"/>
        </w:rPr>
        <w:t>，则有</w:t>
      </w:r>
    </w:p>
    <w:p w14:paraId="435D34F2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λπ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69C51143" w14:textId="77777777" w:rsidR="005563D4" w:rsidRPr="00080057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其中</w:t>
      </w:r>
      <m:oMath>
        <m:r>
          <w:rPr>
            <w:rFonts w:ascii="Cambria Math" w:hAnsi="Cambria Math"/>
            <w:lang w:eastAsia="zh-CN"/>
          </w:rPr>
          <m:t>λ</m:t>
        </m:r>
      </m:oMath>
      <w:r w:rsidRPr="00080057">
        <w:rPr>
          <w:rFonts w:asciiTheme="minorEastAsia" w:hAnsiTheme="minorEastAsia"/>
          <w:lang w:eastAsia="zh-CN"/>
        </w:rPr>
        <w:t>为导热系数，单位为</w:t>
      </w:r>
      <m:oMath>
        <m:r>
          <w:rPr>
            <w:rFonts w:ascii="Cambria Math" w:hAnsi="Cambria Math"/>
            <w:lang w:eastAsia="zh-CN"/>
          </w:rPr>
          <m:t>W</m:t>
        </m:r>
        <m:r>
          <m:rPr>
            <m:sty m:val="p"/>
          </m:rPr>
          <w:rPr>
            <w:rFonts w:ascii="Cambria Math" w:hAnsi="Cambria Math"/>
            <w:lang w:eastAsia="zh-CN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 w:rsidRPr="00080057">
        <w:rPr>
          <w:rFonts w:asciiTheme="minorEastAsia" w:hAnsiTheme="minorEastAsia"/>
          <w:lang w:eastAsia="zh-CN"/>
        </w:rPr>
        <w:t>,是表征材料热传导性能的物理量。</w:t>
      </w:r>
    </w:p>
    <w:p w14:paraId="48342004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于是计算</w:t>
      </w:r>
      <m:oMath>
        <m:r>
          <w:rPr>
            <w:rFonts w:ascii="Cambria Math" w:hAnsi="Cambria Math"/>
            <w:lang w:eastAsia="zh-CN"/>
          </w:rPr>
          <m:t>λ</m:t>
        </m:r>
      </m:oMath>
      <w:r w:rsidRPr="00080057">
        <w:rPr>
          <w:rFonts w:asciiTheme="minorEastAsia" w:hAnsiTheme="minorEastAsia"/>
          <w:lang w:eastAsia="zh-CN"/>
        </w:rPr>
        <w:t>只需要再得到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ΔQ</m:t>
            </m:r>
          </m:num>
          <m:den>
            <m:r>
              <w:rPr>
                <w:rFonts w:ascii="Cambria Math" w:hAnsi="Cambria Math"/>
                <w:lang w:eastAsia="zh-CN"/>
              </w:rPr>
              <m:t>Δt</m:t>
            </m:r>
          </m:den>
        </m:f>
      </m:oMath>
      <w:r w:rsidRPr="00080057">
        <w:rPr>
          <w:rFonts w:asciiTheme="minorEastAsia" w:hAnsiTheme="minorEastAsia"/>
          <w:lang w:eastAsia="zh-CN"/>
        </w:rPr>
        <w:t>，实验中使用c盘加热p盘后使p盘自然冷却。记录p盘温度与时间的关系，则有</w:t>
      </w:r>
    </w:p>
    <w:p w14:paraId="12BD09C8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92CE657" w14:textId="77777777" w:rsidR="005563D4" w:rsidRPr="00080057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其中，m为圆盘P的质量，c为圆盘P材料的比热容。</w:t>
      </w:r>
    </w:p>
    <w:p w14:paraId="4A8D89A5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 xml:space="preserve"> 但是，在实验测量时圆盘P全部暴露在空气中的情况，即包含上下底面和侧面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2π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 w:rsidRPr="00080057">
        <w:rPr>
          <w:rFonts w:asciiTheme="minorEastAsia" w:hAnsiTheme="minorEastAsia"/>
          <w:lang w:eastAsia="zh-CN"/>
        </w:rPr>
        <w:t>，但在稳态传热时，圆盘P的上表面被硅橡胶片覆盖，即只包含下底面和侧面，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2π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 w:rsidRPr="00080057">
        <w:rPr>
          <w:rFonts w:asciiTheme="minorEastAsia" w:hAnsiTheme="minorEastAsia"/>
          <w:lang w:eastAsia="zh-CN"/>
        </w:rPr>
        <w:t>。因此，以面积大小为基准，对计算结果做出修正</w:t>
      </w:r>
    </w:p>
    <w:p w14:paraId="32E66A77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4C8F23CF" w14:textId="77777777" w:rsidR="005563D4" w:rsidRPr="00080057" w:rsidRDefault="00000000">
      <w:pPr>
        <w:pStyle w:val="FirstParagraph"/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</w:rPr>
        <w:t>即</w:t>
      </w:r>
    </w:p>
    <w:p w14:paraId="2A5D881A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13B275C" w14:textId="77777777" w:rsidR="005563D4" w:rsidRPr="00080057" w:rsidRDefault="00000000">
      <w:pPr>
        <w:pStyle w:val="FirstParagraph"/>
        <w:rPr>
          <w:rFonts w:asciiTheme="minorEastAsia" w:hAnsiTheme="minorEastAsia" w:hint="eastAsia"/>
          <w:b/>
          <w:bCs/>
          <w:lang w:eastAsia="zh-CN"/>
        </w:rPr>
      </w:pPr>
      <w:r w:rsidRPr="00080057">
        <w:rPr>
          <w:rFonts w:asciiTheme="minorEastAsia" w:hAnsiTheme="minorEastAsia"/>
          <w:b/>
          <w:bCs/>
          <w:lang w:eastAsia="zh-CN"/>
        </w:rPr>
        <w:t>4.实验内容及操作步骤</w:t>
      </w:r>
    </w:p>
    <w:p w14:paraId="3561CD10" w14:textId="2F45A1F8" w:rsidR="005563D4" w:rsidRPr="00080057" w:rsidRDefault="004B3598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 w:hint="eastAsia"/>
          <w:lang w:eastAsia="zh-CN"/>
        </w:rPr>
        <w:t>(1)</w:t>
      </w:r>
      <w:r w:rsidRPr="00080057">
        <w:rPr>
          <w:rFonts w:asciiTheme="minorEastAsia" w:hAnsiTheme="minorEastAsia"/>
          <w:lang w:eastAsia="zh-CN"/>
        </w:rPr>
        <w:t>首先，将两片铜片（加热盘A与散热盘P）分别叠加在硅橡胶片的两端，确保它们紧密贴合于其表面。</w:t>
      </w:r>
    </w:p>
    <w:p w14:paraId="0404B416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  <w:noProof/>
        </w:rPr>
        <w:drawing>
          <wp:inline distT="0" distB="0" distL="0" distR="0" wp14:anchorId="55D5C4B3" wp14:editId="04E7F567">
            <wp:extent cx="3886200" cy="2095500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:\Hexo_Blog\blog-demo\source\img\images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D583B" w14:textId="3CAF53E3" w:rsidR="005563D4" w:rsidRPr="00080057" w:rsidRDefault="004B3598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 w:hint="eastAsia"/>
          <w:lang w:eastAsia="zh-CN"/>
        </w:rPr>
        <w:t>(2)</w:t>
      </w:r>
      <w:r w:rsidRPr="00080057">
        <w:rPr>
          <w:rFonts w:asciiTheme="minorEastAsia" w:hAnsiTheme="minorEastAsia"/>
          <w:lang w:eastAsia="zh-CN"/>
        </w:rPr>
        <w:t>启动实验仪器的电源开关，并设定加热盘A的最高加热温度为80摄氏度。连接好温度传感器后，等待系统达到稳定状态，这一过程大约需要40分钟。稳定状态的判断标准是：在连续60秒内，温度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080057">
        <w:rPr>
          <w:rFonts w:asciiTheme="minorEastAsia" w:hAnsiTheme="minorEastAsia"/>
          <w:lang w:eastAsia="zh-CN"/>
        </w:rPr>
        <w:t>（加热盘侧）与温度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</m:t>
        </m:r>
      </m:oMath>
      <w:r w:rsidRPr="00080057">
        <w:rPr>
          <w:rFonts w:asciiTheme="minorEastAsia" w:hAnsiTheme="minorEastAsia"/>
          <w:lang w:eastAsia="zh-CN"/>
        </w:rPr>
        <w:t>（散热盘侧)的变化幅度均小于0.2摄氏度。此时，准确测量并记录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080057">
        <w:rPr>
          <w:rFonts w:asciiTheme="minorEastAsia" w:hAnsiTheme="minorEastAsia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080057">
        <w:rPr>
          <w:rFonts w:asciiTheme="minorEastAsia" w:hAnsiTheme="minorEastAsia"/>
          <w:lang w:eastAsia="zh-CN"/>
        </w:rPr>
        <w:t>的数值，并将这些数据填入表一。</w:t>
      </w:r>
    </w:p>
    <w:p w14:paraId="3AAE97AA" w14:textId="616C6DD5" w:rsidR="005563D4" w:rsidRPr="00080057" w:rsidRDefault="004B3598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 w:hint="eastAsia"/>
          <w:lang w:eastAsia="zh-CN"/>
        </w:rPr>
        <w:t>(3)</w:t>
      </w:r>
      <w:r w:rsidRPr="00080057">
        <w:rPr>
          <w:rFonts w:asciiTheme="minorEastAsia" w:hAnsiTheme="minorEastAsia"/>
          <w:lang w:eastAsia="zh-CN"/>
        </w:rPr>
        <w:t>完成稳态测量后，移除样品，并操作仪器使发热盘下降直至与散热盘紧密接触。这一操作旨在快速提升散热盘的温度，约升高3摄氏度左右。记录此时散热盘的温度为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 w:rsidRPr="00080057">
        <w:rPr>
          <w:rFonts w:asciiTheme="minorEastAsia" w:hAnsiTheme="minorEastAsia"/>
          <w:lang w:eastAsia="zh-CN"/>
        </w:rPr>
        <w:t>。随后，迅速抬高发热盘，并关闭加热电源，以开始观察散热盘的降温过程。每隔15秒，记录一次散热盘的温度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 w:rsidRPr="00080057">
        <w:rPr>
          <w:rFonts w:asciiTheme="minorEastAsia" w:hAnsiTheme="minorEastAsia"/>
          <w:lang w:eastAsia="zh-CN"/>
        </w:rPr>
        <w:t>，直至其降低到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080057">
        <w:rPr>
          <w:rFonts w:asciiTheme="minorEastAsia" w:hAnsiTheme="minorEastAsia"/>
          <w:lang w:eastAsia="zh-CN"/>
        </w:rPr>
        <w:t>减去3摄氏度左右的水平。整个降温过程中的温度数据需准确记录并填入表二。</w:t>
      </w:r>
    </w:p>
    <w:p w14:paraId="56FD327E" w14:textId="17BE6FC1" w:rsidR="005563D4" w:rsidRPr="00080057" w:rsidRDefault="00000000">
      <w:pPr>
        <w:pStyle w:val="a0"/>
        <w:rPr>
          <w:rFonts w:asciiTheme="minorEastAsia" w:hAnsiTheme="minorEastAsia" w:hint="eastAsia"/>
          <w:b/>
          <w:bCs/>
          <w:lang w:eastAsia="zh-CN"/>
        </w:rPr>
      </w:pPr>
      <w:r w:rsidRPr="00080057">
        <w:rPr>
          <w:rFonts w:asciiTheme="minorEastAsia" w:hAnsiTheme="minorEastAsia"/>
          <w:b/>
          <w:bCs/>
          <w:lang w:eastAsia="zh-CN"/>
        </w:rPr>
        <w:t>5.数据记录及数据处理</w:t>
      </w:r>
    </w:p>
    <w:p w14:paraId="4A86EE87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部分数据已给出（单位转换为cm）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30"/>
        <w:gridCol w:w="816"/>
      </w:tblGrid>
      <w:tr w:rsidR="005563D4" w:rsidRPr="00080057" w14:paraId="5312A7CB" w14:textId="77777777" w:rsidTr="00556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799A51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参数</w:t>
            </w:r>
          </w:p>
        </w:tc>
        <w:tc>
          <w:tcPr>
            <w:tcW w:w="0" w:type="auto"/>
          </w:tcPr>
          <w:p w14:paraId="1521F723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数值</w:t>
            </w:r>
          </w:p>
        </w:tc>
      </w:tr>
      <w:tr w:rsidR="005563D4" w:rsidRPr="00080057" w14:paraId="2AC556F6" w14:textId="77777777">
        <w:tc>
          <w:tcPr>
            <w:tcW w:w="0" w:type="auto"/>
          </w:tcPr>
          <w:p w14:paraId="0DBC0BCA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  <w:lang w:eastAsia="zh-CN"/>
              </w:rPr>
            </w:pPr>
            <w:r w:rsidRPr="00080057">
              <w:rPr>
                <w:rFonts w:asciiTheme="minorEastAsia" w:hAnsiTheme="minorEastAsia"/>
                <w:lang w:eastAsia="zh-CN"/>
              </w:rPr>
              <w:t>散热盘的厚度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cm</m:t>
                  </m:r>
                </m:e>
              </m:d>
            </m:oMath>
          </w:p>
        </w:tc>
        <w:tc>
          <w:tcPr>
            <w:tcW w:w="0" w:type="auto"/>
          </w:tcPr>
          <w:p w14:paraId="021CED39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0.700</w:t>
            </w:r>
          </w:p>
        </w:tc>
      </w:tr>
      <w:tr w:rsidR="005563D4" w:rsidRPr="00080057" w14:paraId="616F2F48" w14:textId="77777777">
        <w:tc>
          <w:tcPr>
            <w:tcW w:w="0" w:type="auto"/>
          </w:tcPr>
          <w:p w14:paraId="6FA5D822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  <w:lang w:eastAsia="zh-CN"/>
              </w:rPr>
            </w:pPr>
            <w:r w:rsidRPr="00080057">
              <w:rPr>
                <w:rFonts w:asciiTheme="minorEastAsia" w:hAnsiTheme="minorEastAsia"/>
                <w:lang w:eastAsia="zh-CN"/>
              </w:rPr>
              <w:t>散热盘的半径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cm</m:t>
                  </m:r>
                </m:e>
              </m:d>
            </m:oMath>
          </w:p>
        </w:tc>
        <w:tc>
          <w:tcPr>
            <w:tcW w:w="0" w:type="auto"/>
          </w:tcPr>
          <w:p w14:paraId="48618D1B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6.500</w:t>
            </w:r>
          </w:p>
        </w:tc>
      </w:tr>
      <w:tr w:rsidR="005563D4" w:rsidRPr="00080057" w14:paraId="744A11DB" w14:textId="77777777">
        <w:tc>
          <w:tcPr>
            <w:tcW w:w="0" w:type="auto"/>
          </w:tcPr>
          <w:p w14:paraId="0175BB45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散热盘质量</w:t>
            </w:r>
            <m:oMath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kg</m:t>
                  </m:r>
                </m:e>
              </m:d>
            </m:oMath>
          </w:p>
        </w:tc>
        <w:tc>
          <w:tcPr>
            <w:tcW w:w="0" w:type="auto"/>
          </w:tcPr>
          <w:p w14:paraId="1C9DFEF1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0.823</w:t>
            </w:r>
          </w:p>
        </w:tc>
      </w:tr>
      <w:tr w:rsidR="005563D4" w:rsidRPr="00080057" w14:paraId="080D56C6" w14:textId="77777777">
        <w:tc>
          <w:tcPr>
            <w:tcW w:w="0" w:type="auto"/>
          </w:tcPr>
          <w:p w14:paraId="589BEDA3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  <w:lang w:eastAsia="zh-CN"/>
              </w:rPr>
            </w:pPr>
            <w:r w:rsidRPr="00080057">
              <w:rPr>
                <w:rFonts w:asciiTheme="minorEastAsia" w:hAnsiTheme="minorEastAsia"/>
                <w:lang w:eastAsia="zh-CN"/>
              </w:rPr>
              <w:lastRenderedPageBreak/>
              <w:t>硅橡胶样品的厚度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cm</m:t>
                  </m:r>
                </m:e>
              </m:d>
            </m:oMath>
          </w:p>
        </w:tc>
        <w:tc>
          <w:tcPr>
            <w:tcW w:w="0" w:type="auto"/>
          </w:tcPr>
          <w:p w14:paraId="70F87E2C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0.500</w:t>
            </w:r>
          </w:p>
        </w:tc>
      </w:tr>
      <w:tr w:rsidR="005563D4" w:rsidRPr="00080057" w14:paraId="0B128E78" w14:textId="77777777">
        <w:tc>
          <w:tcPr>
            <w:tcW w:w="0" w:type="auto"/>
          </w:tcPr>
          <w:p w14:paraId="02C695EB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  <w:lang w:eastAsia="zh-CN"/>
              </w:rPr>
            </w:pPr>
            <w:r w:rsidRPr="00080057">
              <w:rPr>
                <w:rFonts w:asciiTheme="minorEastAsia" w:hAnsiTheme="minorEastAsia"/>
                <w:lang w:eastAsia="zh-CN"/>
              </w:rPr>
              <w:t>硅橡胶样品的半径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cm</m:t>
                  </m:r>
                </m:e>
              </m:d>
            </m:oMath>
          </w:p>
        </w:tc>
        <w:tc>
          <w:tcPr>
            <w:tcW w:w="0" w:type="auto"/>
          </w:tcPr>
          <w:p w14:paraId="1771FD63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6.500</w:t>
            </w:r>
          </w:p>
        </w:tc>
      </w:tr>
    </w:tbl>
    <w:p w14:paraId="61F0515B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</w:rPr>
        <w:t>表一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696"/>
        <w:gridCol w:w="696"/>
      </w:tblGrid>
      <w:tr w:rsidR="005563D4" w:rsidRPr="00080057" w14:paraId="5B90E8E8" w14:textId="77777777" w:rsidTr="00556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6E0000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稳态温度</w:t>
            </w:r>
          </w:p>
        </w:tc>
        <w:tc>
          <w:tcPr>
            <w:tcW w:w="0" w:type="auto"/>
          </w:tcPr>
          <w:p w14:paraId="2602E814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88E0634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563D4" w:rsidRPr="00080057" w14:paraId="0D329B98" w14:textId="77777777">
        <w:tc>
          <w:tcPr>
            <w:tcW w:w="0" w:type="auto"/>
          </w:tcPr>
          <w:p w14:paraId="6143FB53" w14:textId="77777777" w:rsidR="005563D4" w:rsidRPr="00080057" w:rsidRDefault="005563D4">
            <w:pPr>
              <w:pStyle w:val="Compact"/>
              <w:rPr>
                <w:rFonts w:asciiTheme="minorEastAsia" w:hAnsiTheme="minorEastAsia" w:hint="eastAsia"/>
              </w:rPr>
            </w:pPr>
          </w:p>
        </w:tc>
        <w:tc>
          <w:tcPr>
            <w:tcW w:w="0" w:type="auto"/>
          </w:tcPr>
          <w:p w14:paraId="080D8057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77.6</w:t>
            </w:r>
          </w:p>
        </w:tc>
        <w:tc>
          <w:tcPr>
            <w:tcW w:w="0" w:type="auto"/>
          </w:tcPr>
          <w:p w14:paraId="09012D46" w14:textId="77777777" w:rsidR="005563D4" w:rsidRPr="00080057" w:rsidRDefault="00000000">
            <w:pPr>
              <w:pStyle w:val="Compact"/>
              <w:rPr>
                <w:rFonts w:asciiTheme="minorEastAsia" w:hAnsiTheme="minorEastAsia" w:hint="eastAsia"/>
              </w:rPr>
            </w:pPr>
            <w:r w:rsidRPr="00080057">
              <w:rPr>
                <w:rFonts w:asciiTheme="minorEastAsia" w:hAnsiTheme="minorEastAsia"/>
              </w:rPr>
              <w:t>61.3</w:t>
            </w:r>
          </w:p>
        </w:tc>
      </w:tr>
    </w:tbl>
    <w:p w14:paraId="6987BC6E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</w:rPr>
        <w:t>表二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1"/>
        <w:gridCol w:w="565"/>
        <w:gridCol w:w="565"/>
        <w:gridCol w:w="565"/>
        <w:gridCol w:w="565"/>
        <w:gridCol w:w="565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685D1E" w:rsidRPr="00080057" w14:paraId="59FB2943" w14:textId="77777777" w:rsidTr="00685D1E">
        <w:tc>
          <w:tcPr>
            <w:tcW w:w="553" w:type="dxa"/>
          </w:tcPr>
          <w:p w14:paraId="725F7D8C" w14:textId="6043853E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553" w:type="dxa"/>
          </w:tcPr>
          <w:p w14:paraId="54604CC2" w14:textId="6645FD78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553" w:type="dxa"/>
          </w:tcPr>
          <w:p w14:paraId="0D6D93B5" w14:textId="493BF563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553" w:type="dxa"/>
          </w:tcPr>
          <w:p w14:paraId="3FC84971" w14:textId="207BD140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553" w:type="dxa"/>
          </w:tcPr>
          <w:p w14:paraId="01B640DB" w14:textId="6F1CF53A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553" w:type="dxa"/>
          </w:tcPr>
          <w:p w14:paraId="47E2CC01" w14:textId="13D63970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553" w:type="dxa"/>
          </w:tcPr>
          <w:p w14:paraId="62B90FEA" w14:textId="19AF3075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75</w:t>
            </w:r>
          </w:p>
        </w:tc>
        <w:tc>
          <w:tcPr>
            <w:tcW w:w="553" w:type="dxa"/>
          </w:tcPr>
          <w:p w14:paraId="70A474C6" w14:textId="7F52AD53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90</w:t>
            </w:r>
          </w:p>
        </w:tc>
        <w:tc>
          <w:tcPr>
            <w:tcW w:w="554" w:type="dxa"/>
          </w:tcPr>
          <w:p w14:paraId="7020B7ED" w14:textId="7785AD3F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105</w:t>
            </w:r>
          </w:p>
        </w:tc>
        <w:tc>
          <w:tcPr>
            <w:tcW w:w="554" w:type="dxa"/>
          </w:tcPr>
          <w:p w14:paraId="323D03CC" w14:textId="003BA417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554" w:type="dxa"/>
          </w:tcPr>
          <w:p w14:paraId="69C776F5" w14:textId="6EA538DC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135</w:t>
            </w:r>
          </w:p>
        </w:tc>
        <w:tc>
          <w:tcPr>
            <w:tcW w:w="554" w:type="dxa"/>
          </w:tcPr>
          <w:p w14:paraId="242B8AA5" w14:textId="716E2C22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150</w:t>
            </w:r>
          </w:p>
        </w:tc>
        <w:tc>
          <w:tcPr>
            <w:tcW w:w="554" w:type="dxa"/>
          </w:tcPr>
          <w:p w14:paraId="35729629" w14:textId="2ABD53AB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165</w:t>
            </w:r>
          </w:p>
        </w:tc>
        <w:tc>
          <w:tcPr>
            <w:tcW w:w="554" w:type="dxa"/>
          </w:tcPr>
          <w:p w14:paraId="07F781E8" w14:textId="0180E22D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180</w:t>
            </w:r>
          </w:p>
        </w:tc>
        <w:tc>
          <w:tcPr>
            <w:tcW w:w="554" w:type="dxa"/>
          </w:tcPr>
          <w:p w14:paraId="3D3F610C" w14:textId="37A3B3A2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195</w:t>
            </w:r>
          </w:p>
        </w:tc>
        <w:tc>
          <w:tcPr>
            <w:tcW w:w="554" w:type="dxa"/>
          </w:tcPr>
          <w:p w14:paraId="437AD2F0" w14:textId="3629BEA0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210</w:t>
            </w:r>
          </w:p>
        </w:tc>
      </w:tr>
      <w:tr w:rsidR="00685D1E" w:rsidRPr="00080057" w14:paraId="3888080C" w14:textId="77777777" w:rsidTr="00685D1E">
        <w:tc>
          <w:tcPr>
            <w:tcW w:w="553" w:type="dxa"/>
          </w:tcPr>
          <w:p w14:paraId="136AD4A5" w14:textId="47189947" w:rsidR="00685D1E" w:rsidRPr="00080057" w:rsidRDefault="00685D1E" w:rsidP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第一次散热</w:t>
            </w:r>
          </w:p>
        </w:tc>
        <w:tc>
          <w:tcPr>
            <w:tcW w:w="553" w:type="dxa"/>
          </w:tcPr>
          <w:p w14:paraId="046C879A" w14:textId="7C79E657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64.1</w:t>
            </w:r>
          </w:p>
        </w:tc>
        <w:tc>
          <w:tcPr>
            <w:tcW w:w="553" w:type="dxa"/>
          </w:tcPr>
          <w:p w14:paraId="529AC143" w14:textId="254A8A48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63.3</w:t>
            </w:r>
          </w:p>
        </w:tc>
        <w:tc>
          <w:tcPr>
            <w:tcW w:w="553" w:type="dxa"/>
          </w:tcPr>
          <w:p w14:paraId="15F50886" w14:textId="10B1A908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62.8</w:t>
            </w:r>
          </w:p>
        </w:tc>
        <w:tc>
          <w:tcPr>
            <w:tcW w:w="553" w:type="dxa"/>
          </w:tcPr>
          <w:p w14:paraId="7454C6B5" w14:textId="44A65859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62.2</w:t>
            </w:r>
          </w:p>
        </w:tc>
        <w:tc>
          <w:tcPr>
            <w:tcW w:w="553" w:type="dxa"/>
          </w:tcPr>
          <w:p w14:paraId="7357F946" w14:textId="36499AA3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61.7</w:t>
            </w:r>
          </w:p>
        </w:tc>
        <w:tc>
          <w:tcPr>
            <w:tcW w:w="553" w:type="dxa"/>
          </w:tcPr>
          <w:p w14:paraId="1102E573" w14:textId="31FC3EC9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61.3</w:t>
            </w:r>
          </w:p>
        </w:tc>
        <w:tc>
          <w:tcPr>
            <w:tcW w:w="553" w:type="dxa"/>
          </w:tcPr>
          <w:p w14:paraId="3729195C" w14:textId="6FC740D4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60.9</w:t>
            </w:r>
          </w:p>
        </w:tc>
        <w:tc>
          <w:tcPr>
            <w:tcW w:w="554" w:type="dxa"/>
          </w:tcPr>
          <w:p w14:paraId="3EBEBB2F" w14:textId="3B429E5F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60.4</w:t>
            </w:r>
          </w:p>
        </w:tc>
        <w:tc>
          <w:tcPr>
            <w:tcW w:w="554" w:type="dxa"/>
          </w:tcPr>
          <w:p w14:paraId="361FCEF8" w14:textId="0C9E2619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60.0</w:t>
            </w:r>
          </w:p>
        </w:tc>
        <w:tc>
          <w:tcPr>
            <w:tcW w:w="554" w:type="dxa"/>
          </w:tcPr>
          <w:p w14:paraId="7D53D236" w14:textId="5BA39392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59.6</w:t>
            </w:r>
          </w:p>
        </w:tc>
        <w:tc>
          <w:tcPr>
            <w:tcW w:w="554" w:type="dxa"/>
          </w:tcPr>
          <w:p w14:paraId="13B464D2" w14:textId="78A48223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59.2</w:t>
            </w:r>
          </w:p>
        </w:tc>
        <w:tc>
          <w:tcPr>
            <w:tcW w:w="554" w:type="dxa"/>
          </w:tcPr>
          <w:p w14:paraId="0A8C81DE" w14:textId="01BDBAA5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58.8</w:t>
            </w:r>
          </w:p>
        </w:tc>
        <w:tc>
          <w:tcPr>
            <w:tcW w:w="554" w:type="dxa"/>
          </w:tcPr>
          <w:p w14:paraId="4B5ED041" w14:textId="1CF1655C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58.3</w:t>
            </w:r>
          </w:p>
        </w:tc>
        <w:tc>
          <w:tcPr>
            <w:tcW w:w="554" w:type="dxa"/>
          </w:tcPr>
          <w:p w14:paraId="0F6826B5" w14:textId="05EC5684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57.9</w:t>
            </w:r>
          </w:p>
        </w:tc>
        <w:tc>
          <w:tcPr>
            <w:tcW w:w="554" w:type="dxa"/>
          </w:tcPr>
          <w:p w14:paraId="29A1A01B" w14:textId="4D335AEF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57.5</w:t>
            </w:r>
          </w:p>
        </w:tc>
      </w:tr>
      <w:tr w:rsidR="00685D1E" w:rsidRPr="00080057" w14:paraId="7E0F185F" w14:textId="77777777" w:rsidTr="00685D1E">
        <w:tc>
          <w:tcPr>
            <w:tcW w:w="553" w:type="dxa"/>
          </w:tcPr>
          <w:p w14:paraId="4244B8E7" w14:textId="2EFC5F0E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第二次散热</w:t>
            </w:r>
          </w:p>
        </w:tc>
        <w:tc>
          <w:tcPr>
            <w:tcW w:w="553" w:type="dxa"/>
          </w:tcPr>
          <w:p w14:paraId="61764531" w14:textId="181CA56E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62.7</w:t>
            </w:r>
          </w:p>
        </w:tc>
        <w:tc>
          <w:tcPr>
            <w:tcW w:w="553" w:type="dxa"/>
          </w:tcPr>
          <w:p w14:paraId="11494963" w14:textId="3F56A394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62.4</w:t>
            </w:r>
          </w:p>
        </w:tc>
        <w:tc>
          <w:tcPr>
            <w:tcW w:w="553" w:type="dxa"/>
          </w:tcPr>
          <w:p w14:paraId="4391139C" w14:textId="7F3BC19A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62.1</w:t>
            </w:r>
          </w:p>
        </w:tc>
        <w:tc>
          <w:tcPr>
            <w:tcW w:w="553" w:type="dxa"/>
          </w:tcPr>
          <w:p w14:paraId="2FAA2DCD" w14:textId="6D8F689F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61.7</w:t>
            </w:r>
          </w:p>
        </w:tc>
        <w:tc>
          <w:tcPr>
            <w:tcW w:w="553" w:type="dxa"/>
          </w:tcPr>
          <w:p w14:paraId="2EABDB0E" w14:textId="4BE7E3D4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61.3</w:t>
            </w:r>
          </w:p>
        </w:tc>
        <w:tc>
          <w:tcPr>
            <w:tcW w:w="553" w:type="dxa"/>
          </w:tcPr>
          <w:p w14:paraId="11FF69CD" w14:textId="00A4F734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60.9</w:t>
            </w:r>
          </w:p>
        </w:tc>
        <w:tc>
          <w:tcPr>
            <w:tcW w:w="553" w:type="dxa"/>
          </w:tcPr>
          <w:p w14:paraId="0E8A9C6A" w14:textId="2459ED7D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60.6</w:t>
            </w:r>
          </w:p>
        </w:tc>
        <w:tc>
          <w:tcPr>
            <w:tcW w:w="554" w:type="dxa"/>
          </w:tcPr>
          <w:p w14:paraId="769F5829" w14:textId="62AD51BE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60.2</w:t>
            </w:r>
          </w:p>
        </w:tc>
        <w:tc>
          <w:tcPr>
            <w:tcW w:w="554" w:type="dxa"/>
          </w:tcPr>
          <w:p w14:paraId="5A060BF0" w14:textId="0B9E077E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59.2</w:t>
            </w:r>
          </w:p>
        </w:tc>
        <w:tc>
          <w:tcPr>
            <w:tcW w:w="554" w:type="dxa"/>
          </w:tcPr>
          <w:p w14:paraId="3504D785" w14:textId="6DB0DB43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58.8</w:t>
            </w:r>
          </w:p>
        </w:tc>
        <w:tc>
          <w:tcPr>
            <w:tcW w:w="554" w:type="dxa"/>
          </w:tcPr>
          <w:p w14:paraId="15CCE149" w14:textId="2F564F03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58.1</w:t>
            </w:r>
          </w:p>
        </w:tc>
        <w:tc>
          <w:tcPr>
            <w:tcW w:w="554" w:type="dxa"/>
          </w:tcPr>
          <w:p w14:paraId="6FEB6A6F" w14:textId="04622259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57.7</w:t>
            </w:r>
          </w:p>
        </w:tc>
        <w:tc>
          <w:tcPr>
            <w:tcW w:w="554" w:type="dxa"/>
          </w:tcPr>
          <w:p w14:paraId="355F1804" w14:textId="17259272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57.3</w:t>
            </w:r>
          </w:p>
        </w:tc>
        <w:tc>
          <w:tcPr>
            <w:tcW w:w="554" w:type="dxa"/>
          </w:tcPr>
          <w:p w14:paraId="1C291651" w14:textId="603B25C6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56.9</w:t>
            </w:r>
          </w:p>
        </w:tc>
        <w:tc>
          <w:tcPr>
            <w:tcW w:w="554" w:type="dxa"/>
          </w:tcPr>
          <w:p w14:paraId="6F49D220" w14:textId="6C1149CC" w:rsidR="00685D1E" w:rsidRPr="00080057" w:rsidRDefault="00685D1E">
            <w:pPr>
              <w:pStyle w:val="a0"/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</w:pPr>
            <w:r w:rsidRPr="00080057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56.5</w:t>
            </w:r>
          </w:p>
        </w:tc>
      </w:tr>
    </w:tbl>
    <w:p w14:paraId="46EA458E" w14:textId="77777777" w:rsidR="004B3598" w:rsidRPr="00080057" w:rsidRDefault="004B3598">
      <w:pPr>
        <w:pStyle w:val="a0"/>
        <w:rPr>
          <w:rFonts w:asciiTheme="minorEastAsia" w:hAnsiTheme="minorEastAsia" w:hint="eastAsia"/>
          <w:lang w:eastAsia="zh-CN"/>
        </w:rPr>
      </w:pPr>
    </w:p>
    <w:p w14:paraId="17FE0FF1" w14:textId="37F82D2F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第二次测量误差较大，使用第一次散热盘温度。</w:t>
      </w:r>
    </w:p>
    <w:p w14:paraId="08B65437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得到第一次测量的拟合曲线</w:t>
      </w:r>
    </w:p>
    <w:p w14:paraId="55C97648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  <w:noProof/>
        </w:rPr>
        <w:drawing>
          <wp:inline distT="0" distB="0" distL="0" distR="0" wp14:anchorId="51BE12E2" wp14:editId="41498420">
            <wp:extent cx="5089983" cy="2494280"/>
            <wp:effectExtent l="0" t="0" r="0" b="0"/>
            <wp:docPr id="27" name="Picture" descr="image-2024090409544479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:\Hexo_Blog\blog-demo\source\img\image-2024090409544479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11" cy="251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B79C1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lastRenderedPageBreak/>
        <w:t>其模型为：</w:t>
      </w:r>
      <m:oMath>
        <m:r>
          <w:rPr>
            <w:rFonts w:ascii="Cambria Math" w:hAnsi="Cambria Math"/>
            <w:lang w:eastAsia="zh-CN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17.5789</m:t>
        </m:r>
        <m:r>
          <m:rPr>
            <m:sty m:val="p"/>
          </m:rPr>
          <w:rPr>
            <w:rFonts w:ascii="Cambria Math" w:hAnsi="Cambria Math"/>
            <w:lang w:eastAsia="zh-CN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0.0021t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46.3438</m:t>
        </m:r>
      </m:oMath>
      <w:r w:rsidRPr="00080057">
        <w:rPr>
          <w:rFonts w:asciiTheme="minorEastAsia" w:hAnsiTheme="minorEastAsia"/>
          <w:lang w:eastAsia="zh-CN"/>
        </w:rPr>
        <w:t>，得到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dT</m:t>
            </m:r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0.0315</m:t>
        </m:r>
      </m:oMath>
      <w:r w:rsidRPr="00080057">
        <w:rPr>
          <w:rFonts w:asciiTheme="minorEastAsia" w:hAnsiTheme="minorEastAsia"/>
          <w:lang w:eastAsia="zh-CN"/>
        </w:rPr>
        <w:t xml:space="preserve"> °C/s，取其绝对值计算。</w:t>
      </w:r>
    </w:p>
    <w:p w14:paraId="150AB38A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计算结果单位为</w:t>
      </w:r>
      <m:oMath>
        <m:r>
          <w:rPr>
            <w:rFonts w:ascii="Cambria Math" w:hAnsi="Cambria Math"/>
            <w:lang w:eastAsia="zh-CN"/>
          </w:rPr>
          <m:t>Cal</m:t>
        </m:r>
        <m:r>
          <m:rPr>
            <m:sty m:val="p"/>
          </m:rPr>
          <w:rPr>
            <w:rFonts w:ascii="Cambria Math" w:hAnsi="Cambria Math"/>
            <w:lang w:eastAsia="zh-CN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°</m:t>
                </m:r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 w:rsidRPr="00080057">
        <w:rPr>
          <w:rFonts w:asciiTheme="minorEastAsia" w:hAnsiTheme="minorEastAsia"/>
          <w:lang w:eastAsia="zh-CN"/>
        </w:rPr>
        <w:t>换算为</w:t>
      </w:r>
      <m:oMath>
        <m:r>
          <w:rPr>
            <w:rFonts w:ascii="Cambria Math" w:hAnsi="Cambria Math"/>
            <w:lang w:eastAsia="zh-CN"/>
          </w:rPr>
          <m:t>1Cal</m:t>
        </m:r>
        <m:r>
          <m:rPr>
            <m:sty m:val="p"/>
          </m:rPr>
          <w:rPr>
            <w:rFonts w:ascii="Cambria Math" w:hAnsi="Cambria Math"/>
            <w:lang w:eastAsia="zh-CN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°</m:t>
                </m:r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418.6W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⋅</m:t>
        </m:r>
        <m:r>
          <w:rPr>
            <w:rFonts w:ascii="Cambria Math" w:hAnsi="Cambria Math"/>
            <w:lang w:eastAsia="zh-CN"/>
          </w:rPr>
          <m:t>K</m:t>
        </m:r>
      </m:oMath>
    </w:p>
    <w:p w14:paraId="5696611D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</w:rPr>
        <w:t>根据</w:t>
      </w:r>
    </w:p>
    <w:p w14:paraId="62188746" w14:textId="77777777" w:rsidR="005563D4" w:rsidRPr="00080057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20A7E4A" w14:textId="77777777" w:rsidR="005563D4" w:rsidRPr="00080057" w:rsidRDefault="00000000">
      <w:pPr>
        <w:pStyle w:val="FirstParagraph"/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</w:rPr>
        <w:t>得到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0.001281912014Cal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0.537W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K</m:t>
        </m:r>
      </m:oMath>
    </w:p>
    <w:p w14:paraId="479BD25F" w14:textId="22BF76B6" w:rsidR="005563D4" w:rsidRPr="00080057" w:rsidRDefault="00080057" w:rsidP="00080057">
      <w:pPr>
        <w:rPr>
          <w:rFonts w:asciiTheme="minorEastAsia" w:hAnsiTheme="minorEastAsia" w:hint="eastAsia"/>
          <w:b/>
          <w:bCs/>
          <w:lang w:eastAsia="zh-CN"/>
        </w:rPr>
      </w:pPr>
      <w:r w:rsidRPr="00080057">
        <w:rPr>
          <w:rFonts w:asciiTheme="minorEastAsia" w:hAnsiTheme="minorEastAsia" w:hint="eastAsia"/>
          <w:b/>
          <w:bCs/>
          <w:lang w:eastAsia="zh-CN"/>
        </w:rPr>
        <w:t>6.</w:t>
      </w:r>
      <w:r w:rsidRPr="00080057">
        <w:rPr>
          <w:rFonts w:asciiTheme="minorEastAsia" w:hAnsiTheme="minorEastAsia"/>
          <w:b/>
          <w:bCs/>
          <w:lang w:eastAsia="zh-CN"/>
        </w:rPr>
        <w:t>对实验误差形成的原因进行分析并提出改进办法</w:t>
      </w:r>
    </w:p>
    <w:p w14:paraId="69833AC8" w14:textId="162869E5" w:rsidR="005563D4" w:rsidRPr="00080057" w:rsidRDefault="00000000" w:rsidP="00080057">
      <w:pPr>
        <w:numPr>
          <w:ilvl w:val="0"/>
          <w:numId w:val="7"/>
        </w:numPr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</w:rPr>
        <w:t>温度测量误差</w:t>
      </w:r>
    </w:p>
    <w:p w14:paraId="6A72F008" w14:textId="77777777" w:rsidR="005563D4" w:rsidRPr="00080057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 xml:space="preserve">温度传感器可能存在一定的精度限制，导致测量到的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080057">
        <w:rPr>
          <w:rFonts w:asciiTheme="minorEastAsia" w:hAnsiTheme="minorEastAsia"/>
          <w:lang w:eastAsia="zh-CN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080057">
        <w:rPr>
          <w:rFonts w:asciiTheme="minorEastAsia" w:hAnsiTheme="minorEastAsia"/>
          <w:lang w:eastAsia="zh-CN"/>
        </w:rPr>
        <w:t xml:space="preserve"> 的数值有误差。实验中的稳态条件要求温差小于 0.2°C，但温度变化不均匀或传感器响应速度慢，都会对结果产生影响。</w:t>
      </w:r>
    </w:p>
    <w:p w14:paraId="566F59E4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 xml:space="preserve">接触热阻：加热盘和散热盘之间的接触面可能存在热阻，导致实际测得的温度值与材料内部真实温度有差异。这会直接影响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080057">
        <w:rPr>
          <w:rFonts w:asciiTheme="minorEastAsia" w:hAnsiTheme="minorEastAsia"/>
          <w:lang w:eastAsia="zh-CN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080057">
        <w:rPr>
          <w:rFonts w:asciiTheme="minorEastAsia" w:hAnsiTheme="minorEastAsia"/>
          <w:lang w:eastAsia="zh-CN"/>
        </w:rPr>
        <w:t xml:space="preserve"> 的准确性，从而影响导热系数的计算。</w:t>
      </w:r>
    </w:p>
    <w:p w14:paraId="08D86AC1" w14:textId="58C182B3" w:rsidR="005563D4" w:rsidRPr="00080057" w:rsidRDefault="00000000" w:rsidP="00080057">
      <w:pPr>
        <w:numPr>
          <w:ilvl w:val="0"/>
          <w:numId w:val="7"/>
        </w:numPr>
        <w:rPr>
          <w:rFonts w:asciiTheme="minorEastAsia" w:hAnsiTheme="minorEastAsia" w:hint="eastAsia"/>
        </w:rPr>
      </w:pPr>
      <w:r w:rsidRPr="00080057">
        <w:rPr>
          <w:rFonts w:asciiTheme="minorEastAsia" w:hAnsiTheme="minorEastAsia"/>
        </w:rPr>
        <w:t xml:space="preserve">导数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080057">
        <w:rPr>
          <w:rFonts w:asciiTheme="minorEastAsia" w:hAnsiTheme="minorEastAsia"/>
        </w:rPr>
        <w:t xml:space="preserve"> 的误差</w:t>
      </w:r>
    </w:p>
    <w:p w14:paraId="7184294E" w14:textId="77777777" w:rsidR="005563D4" w:rsidRPr="00080057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 xml:space="preserve">虽然使用了拟合曲线来计算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dT</m:t>
            </m:r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</m:oMath>
      <w:r w:rsidRPr="00080057">
        <w:rPr>
          <w:rFonts w:asciiTheme="minorEastAsia" w:hAnsiTheme="minorEastAsia"/>
          <w:lang w:eastAsia="zh-CN"/>
        </w:rPr>
        <w:t>，但拟合模型的准确性会影响结果。拟合曲线的形式和实验数据的误差都会引入误差。此外，模型假设温度下降的规律为指数形式，若实际过程有其他复杂因素影响，拟合结果将不够精确。</w:t>
      </w:r>
    </w:p>
    <w:p w14:paraId="5F2C0061" w14:textId="77777777" w:rsidR="005563D4" w:rsidRPr="00080057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改进：</w:t>
      </w:r>
    </w:p>
    <w:p w14:paraId="6BE3315A" w14:textId="5D72202A" w:rsidR="00CA386F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080057">
        <w:rPr>
          <w:rFonts w:asciiTheme="minorEastAsia" w:hAnsiTheme="minorEastAsia"/>
          <w:lang w:eastAsia="zh-CN"/>
        </w:rPr>
        <w:t>缩短时间间隔：散热过程中每隔15秒测量一次温度，如果温度变化较快，可能会导致数据采集不够密集，影响计算的准确性。可以缩短测量间隔（如每隔5秒采集数据），提高数据的分辨率</w:t>
      </w:r>
      <w:r w:rsidR="00080057" w:rsidRPr="00080057">
        <w:rPr>
          <w:rFonts w:asciiTheme="minorEastAsia" w:hAnsiTheme="minorEastAsia" w:hint="eastAsia"/>
          <w:lang w:eastAsia="zh-CN"/>
        </w:rPr>
        <w:t>，或</w:t>
      </w:r>
      <w:r w:rsidRPr="00080057">
        <w:rPr>
          <w:rFonts w:asciiTheme="minorEastAsia" w:hAnsiTheme="minorEastAsia"/>
          <w:lang w:eastAsia="zh-CN"/>
        </w:rPr>
        <w:t>引入自动化温度监测系统，能精确记录温度随时间变化的细节，避免手动记录误差。</w:t>
      </w:r>
    </w:p>
    <w:p w14:paraId="24CF89A6" w14:textId="6834072F" w:rsidR="00CA386F" w:rsidRDefault="00CA386F">
      <w:pPr>
        <w:pStyle w:val="a0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附实验数据：</w:t>
      </w:r>
    </w:p>
    <w:p w14:paraId="5A1500DB" w14:textId="52A19448" w:rsidR="00CA386F" w:rsidRPr="00080057" w:rsidRDefault="00CA386F">
      <w:pPr>
        <w:pStyle w:val="a0"/>
        <w:rPr>
          <w:rFonts w:asciiTheme="minorEastAsia" w:hAnsiTheme="minorEastAsia" w:hint="eastAsia"/>
          <w:lang w:eastAsia="zh-CN"/>
        </w:rPr>
      </w:pPr>
      <w:r w:rsidRPr="00CA386F">
        <w:rPr>
          <w:rFonts w:asciiTheme="minorEastAsia" w:hAnsiTheme="minorEastAsia"/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51156452" wp14:editId="1BC27470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484495" cy="4110990"/>
            <wp:effectExtent l="0" t="0" r="0" b="0"/>
            <wp:wrapSquare wrapText="bothSides"/>
            <wp:docPr id="107590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386F" w:rsidRPr="0008005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5040D" w14:textId="77777777" w:rsidR="00C73CEE" w:rsidRDefault="00C73CEE" w:rsidP="005533D6">
      <w:pPr>
        <w:spacing w:after="0"/>
      </w:pPr>
      <w:r>
        <w:separator/>
      </w:r>
    </w:p>
  </w:endnote>
  <w:endnote w:type="continuationSeparator" w:id="0">
    <w:p w14:paraId="11D3731F" w14:textId="77777777" w:rsidR="00C73CEE" w:rsidRDefault="00C73CEE" w:rsidP="00553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F2038" w14:textId="77777777" w:rsidR="00C73CEE" w:rsidRDefault="00C73CEE" w:rsidP="005533D6">
      <w:pPr>
        <w:spacing w:after="0"/>
      </w:pPr>
      <w:r>
        <w:separator/>
      </w:r>
    </w:p>
  </w:footnote>
  <w:footnote w:type="continuationSeparator" w:id="0">
    <w:p w14:paraId="0BF69CAC" w14:textId="77777777" w:rsidR="00C73CEE" w:rsidRDefault="00C73CEE" w:rsidP="005533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C1A3E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7AAD9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64CD53A6"/>
    <w:multiLevelType w:val="hybridMultilevel"/>
    <w:tmpl w:val="56124210"/>
    <w:lvl w:ilvl="0" w:tplc="42C4C1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F621F9"/>
    <w:multiLevelType w:val="hybridMultilevel"/>
    <w:tmpl w:val="B1F24516"/>
    <w:lvl w:ilvl="0" w:tplc="96DE48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2743575">
    <w:abstractNumId w:val="0"/>
  </w:num>
  <w:num w:numId="2" w16cid:durableId="4860194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38256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20639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4778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4323043">
    <w:abstractNumId w:val="2"/>
  </w:num>
  <w:num w:numId="7" w16cid:durableId="1799641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3D4"/>
    <w:rsid w:val="00080057"/>
    <w:rsid w:val="000E3434"/>
    <w:rsid w:val="00317CE8"/>
    <w:rsid w:val="004B3598"/>
    <w:rsid w:val="00541951"/>
    <w:rsid w:val="005533D6"/>
    <w:rsid w:val="005563D4"/>
    <w:rsid w:val="005603C8"/>
    <w:rsid w:val="00685D1E"/>
    <w:rsid w:val="00B44FED"/>
    <w:rsid w:val="00C70CBB"/>
    <w:rsid w:val="00C73CEE"/>
    <w:rsid w:val="00CA386F"/>
    <w:rsid w:val="00F4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1C6E4"/>
  <w15:docId w15:val="{B3C2EA5E-1F49-436E-BD90-156DE54C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685D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rsid w:val="00553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5533D6"/>
    <w:rPr>
      <w:sz w:val="18"/>
      <w:szCs w:val="18"/>
    </w:rPr>
  </w:style>
  <w:style w:type="paragraph" w:styleId="af1">
    <w:name w:val="footer"/>
    <w:basedOn w:val="a"/>
    <w:link w:val="af2"/>
    <w:rsid w:val="005533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553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张旭超</cp:lastModifiedBy>
  <cp:revision>6</cp:revision>
  <dcterms:created xsi:type="dcterms:W3CDTF">2024-09-19T08:46:00Z</dcterms:created>
  <dcterms:modified xsi:type="dcterms:W3CDTF">2025-06-29T03:36:00Z</dcterms:modified>
</cp:coreProperties>
</file>