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1.解决了安卓平台打包编译错误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2.完成安卓平台打包和测试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3.下载微信打包插件，完成微信小游戏打包和测试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</w:t>
            </w:r>
            <w:r>
              <w:rPr>
                <w:rFonts w:ascii="微软雅黑" w:hAnsi="微软雅黑" w:cs="微软雅黑" w:eastAsia="微软雅黑"/>
              </w:rPr>
              <w:t>尝试进行了ios平台的打包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1.安卓平台打包提示不能兼容playerandeditor错误，需要禁用ilruntime的debug功能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2.安卓平台打包出现json文件损坏，大概率时ilruntime的dll文件没有更新，删除dll后重新打包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3.微信小游戏出现包体过大错误，小恒将资源上传到自己服务器，在运行游戏时动态加载资源解决问题。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4.微信小游戏出现HotFix.Kongfu.dll下载失败，一般是打包时没打包出来，或者微信缓存或者打包时服务器没关闭等问题，需要逐个检查。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5.ios在mac平台编译后打开出现GetAllocatedBytesForCurrentThread加载错误，是因为ios平台不支持这个方法，在代码中对不同平台做了限制后解决。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6.ios打包后编译出现资源缺失，需要勾选打开场景。</w:t>
            </w:r>
            <w:r>
              <w:br/>
            </w:r>
            <w:r>
              <w:drawing>
                <wp:inline distT="0" distR="0" distB="0" distL="0">
                  <wp:extent cx="4826000" cy="31369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13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渲染可以遵照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高收益优先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 DrawCall ：合批（静态批处理、GPU Instancing、SRP Batcher）、同材质同Shader复用。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 Overdraw ：UI少叠层、透明特效少重叠、粒子尺寸和数量控住。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降低像素负担：先降分辨率或开启动态分辨率，再调抗锯齿和后处理。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 Shader 成本：移动端用精简 Shader，少用分支、少采样、少实时光照计算。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降低阴影成本：减少投射阴影对象、降低阴影分辨率、远处关闭阴影。</w:t>
            </w:r>
            <w:r>
              <w:br/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资源与贴图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贴图压缩按平台：微信端优先 ETC2/ASTC（看机型覆盖）。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降低贴图尺寸：先查“看不出差异”的 2K-&gt;1K、1K-&gt;512。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统一材质参数：同类对象尽量共享材质实例。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Mipmap + 各向异性按需开，不要全量拉满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1.继续检查ios平台的打包问题，完成打包和测试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2.继续完成本周游戏技能的制作。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