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Brief: Charm Alpha Vaults V2 + 4626fun Integration</w:t>
      </w:r>
    </w:p>
    <w:p>
      <w:pPr>
        <w:pStyle w:val="BodyText"/>
      </w:pPr>
      <w:r>
        <w:t>Date: 2026-03-24 Audience: protocol, treasury, and risk stakeholders</w:t>
      </w:r>
    </w:p>
    <w:p>
      <w:pPr>
        <w:pStyle w:val="Heading2"/>
      </w:pPr>
      <w:r>
        <w:t>Bottom Line</w:t>
      </w:r>
    </w:p>
    <w:p>
      <w:pPr>
        <w:pStyle w:val="BodyText"/>
      </w:pPr>
      <w:r>
        <w:t xml:space="preserve">The stack is contract-sound but </w:t>
      </w:r>
      <w:r>
        <w:rPr>
          <w:b/>
        </w:rPr>
        <w:t>economically fragile under synchronous ERC-4626 expectations</w:t>
      </w:r>
      <w:r>
        <w:t xml:space="preserve">. The main risk is not reentrancy-style contract breakage; it is </w:t>
      </w:r>
      <w:r>
        <w:rPr>
          <w:b/>
        </w:rPr>
        <w:t>fairness drift between accounting value and realizable exit value</w:t>
      </w:r>
      <w:r>
        <w:t xml:space="preserve"> when concentrated-liquidity inventory, oracle freshness, and automation liveness diverge.</w:t>
      </w:r>
    </w:p>
    <w:p>
      <w:pPr>
        <w:pStyle w:val="Heading2"/>
      </w:pPr>
      <w:r>
        <w:t>Key Strengths</w:t>
      </w:r>
    </w:p>
    <w:p>
      <w:pPr>
        <w:pStyle w:val="ListBullet"/>
      </w:pPr>
      <w:r>
        <w:t>Native Charm contracts have clear role boundaries and explicit rebalance guards.</w:t>
      </w:r>
    </w:p>
    <w:p>
      <w:pPr>
        <w:pStyle w:val="ListBullet"/>
      </w:pPr>
      <w:r>
        <w:t>4626fun adds valuation-readiness checks, strategy-debt fallbacks, transfer exactness checks, and withdrawal delay controls.</w:t>
      </w:r>
    </w:p>
    <w:p>
      <w:pPr>
        <w:pStyle w:val="ListBullet"/>
      </w:pPr>
      <w:r>
        <w:t>Wrapper layer validates ShareOFT mint/burn behavior and normalization accounting.</w:t>
      </w:r>
    </w:p>
    <w:p>
      <w:pPr>
        <w:pStyle w:val="ListBullet"/>
      </w:pPr>
      <w:r>
        <w:t>Queue + CSW execution path includes dedupe/retry controls and owner-index checks.</w:t>
      </w:r>
    </w:p>
    <w:p>
      <w:pPr>
        <w:pStyle w:val="Heading2"/>
      </w:pPr>
      <w:r>
        <w:t>Highest Risks</w:t>
      </w:r>
    </w:p>
    <w:p>
      <w:pPr>
        <w:pStyle w:val="ListNumber"/>
      </w:pPr>
      <w:r>
        <w:rPr>
          <w:b/>
        </w:rPr>
        <w:t>Accounting value can overstate executable value</w:t>
      </w:r>
      <w:r>
        <w:t xml:space="preserve"> during stress.</w:t>
      </w:r>
    </w:p>
    <w:p>
      <w:pPr>
        <w:pStyle w:val="ListNumber"/>
      </w:pPr>
      <w:r>
        <w:rPr>
          <w:b/>
        </w:rPr>
        <w:t>Synchronous wrapper UX can mislead</w:t>
      </w:r>
      <w:r>
        <w:t xml:space="preserve"> users on real redemption timing/value.</w:t>
      </w:r>
    </w:p>
    <w:p>
      <w:pPr>
        <w:pStyle w:val="ListNumber"/>
      </w:pPr>
      <w:r>
        <w:rPr>
          <w:b/>
        </w:rPr>
        <w:t>Rebalance policy can be economically bad while rule-compliant</w:t>
      </w:r>
      <w:r>
        <w:t xml:space="preserve"> (parameter sensitivity).</w:t>
      </w:r>
    </w:p>
    <w:p>
      <w:pPr>
        <w:pStyle w:val="ListNumber"/>
      </w:pPr>
      <w:r>
        <w:rPr>
          <w:b/>
        </w:rPr>
        <w:t>Operational liveness concentration</w:t>
      </w:r>
      <w:r>
        <w:t xml:space="preserve"> (multi-path automation, CSW owner drift, bundler/paymaster dependence).</w:t>
      </w:r>
    </w:p>
    <w:p>
      <w:pPr>
        <w:pStyle w:val="Heading2"/>
      </w:pPr>
      <w:r>
        <w:t>Recommended Operating Model</w:t>
      </w:r>
    </w:p>
    <w:p>
      <w:pPr>
        <w:pStyle w:val="BodyText"/>
      </w:pPr>
      <w:r>
        <w:t xml:space="preserve">Adopt an </w:t>
      </w:r>
      <w:r>
        <w:rPr>
          <w:b/>
        </w:rPr>
        <w:t>async/queued redemption-first model</w:t>
      </w:r>
      <w:r>
        <w:t>:</w:t>
      </w:r>
    </w:p>
    <w:p>
      <w:pPr>
        <w:pStyle w:val="ListBullet"/>
      </w:pPr>
      <w:r>
        <w:t>Present three values in UX/API: accounting value, executable-now value, queued estimate.</w:t>
      </w:r>
    </w:p>
    <w:p>
      <w:pPr>
        <w:pStyle w:val="ListBullet"/>
      </w:pPr>
      <w:r>
        <w:t>Use conservative valuation bounds for mint/redeem fairness.</w:t>
      </w:r>
    </w:p>
    <w:p>
      <w:pPr>
        <w:pStyle w:val="ListBullet"/>
      </w:pPr>
      <w:r>
        <w:t>Enforce one canonical producer and one canonical executor for Charm actions.</w:t>
      </w:r>
    </w:p>
    <w:p>
      <w:pPr>
        <w:pStyle w:val="ListBullet"/>
      </w:pPr>
      <w:r>
        <w:t>Keep explicit runbooks for owner-index drift, queue backlog, and oracle staleness.</w:t>
      </w:r>
    </w:p>
    <w:p>
      <w:pPr>
        <w:pStyle w:val="Heading2"/>
      </w:pPr>
      <w:r>
        <w:t>Go / No-Go</w:t>
      </w:r>
    </w:p>
    <w:p>
      <w:pPr>
        <w:pStyle w:val="ListBullet"/>
      </w:pPr>
      <w:r>
        <w:t xml:space="preserve">Native safety: </w:t>
      </w:r>
      <w:r>
        <w:rPr>
          <w:b/>
        </w:rPr>
        <w:t>7/10</w:t>
      </w:r>
    </w:p>
    <w:p>
      <w:pPr>
        <w:pStyle w:val="ListBullet"/>
      </w:pPr>
      <w:r>
        <w:t xml:space="preserve">Accounting integrity: </w:t>
      </w:r>
      <w:r>
        <w:rPr>
          <w:b/>
        </w:rPr>
        <w:t>5/10</w:t>
      </w:r>
    </w:p>
    <w:p>
      <w:pPr>
        <w:pStyle w:val="ListBullet"/>
      </w:pPr>
      <w:r>
        <w:t xml:space="preserve">Valuation honesty: </w:t>
      </w:r>
      <w:r>
        <w:rPr>
          <w:b/>
        </w:rPr>
        <w:t>4/10</w:t>
      </w:r>
    </w:p>
    <w:p>
      <w:pPr>
        <w:pStyle w:val="ListBullet"/>
      </w:pPr>
      <w:r>
        <w:t xml:space="preserve">Rebalance robustness: </w:t>
      </w:r>
      <w:r>
        <w:rPr>
          <w:b/>
        </w:rPr>
        <w:t>4/10</w:t>
      </w:r>
    </w:p>
    <w:p>
      <w:pPr>
        <w:pStyle w:val="ListBullet"/>
      </w:pPr>
      <w:r>
        <w:t xml:space="preserve">Automation resilience: </w:t>
      </w:r>
      <w:r>
        <w:rPr>
          <w:b/>
        </w:rPr>
        <w:t>5/10</w:t>
      </w:r>
    </w:p>
    <w:p>
      <w:pPr>
        <w:pStyle w:val="ListBullet"/>
      </w:pPr>
      <w:r>
        <w:t xml:space="preserve">Overall deployability: </w:t>
      </w:r>
      <w:r>
        <w:rPr>
          <w:b/>
        </w:rPr>
        <w:t>4.5/10</w:t>
      </w:r>
    </w:p>
    <w:p>
      <w:pPr>
        <w:pStyle w:val="BodyText"/>
      </w:pPr>
      <w:r>
        <w:rPr>
          <w:b/>
        </w:rPr>
        <w:t>Decision:</w:t>
      </w:r>
      <w:r>
        <w:t xml:space="preserve"> No broad production rollout with current synchronous semantics. </w:t>
      </w:r>
      <w:r>
        <w:rPr>
          <w:b/>
        </w:rPr>
        <w:t>Allowed next step:</w:t>
      </w:r>
      <w:r>
        <w:t xml:space="preserve"> constrained pilot with strict TVL caps and queue-first redemption disclosures.</w:t>
      </w:r>
    </w:p>
    <w:p>
      <w:pPr>
        <w:pStyle w:val="Heading2"/>
      </w:pPr>
      <w:r>
        <w:t>Blockers Before Scale</w:t>
      </w:r>
    </w:p>
    <w:p>
      <w:pPr>
        <w:pStyle w:val="ListNumber"/>
      </w:pPr>
      <w:r>
        <w:t>Wrapper-level queue-equivalent redemption path.</w:t>
      </w:r>
    </w:p>
    <w:p>
      <w:pPr>
        <w:pStyle w:val="ListNumber"/>
      </w:pPr>
      <w:r>
        <w:t>Conservative executable valuation model.</w:t>
      </w:r>
    </w:p>
    <w:p>
      <w:pPr>
        <w:pStyle w:val="ListNumber"/>
      </w:pPr>
      <w:r>
        <w:t>Hardened rebalance parameter envelope and governance change controls.</w:t>
      </w:r>
    </w:p>
    <w:p>
      <w:pPr>
        <w:pStyle w:val="ListNumber"/>
      </w:pPr>
      <w:r>
        <w:t>Single-path automation topology with strict idempotency and incident SLOs.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