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Executive Brief: Ajna ERC-4626 Vaults + CRE Automation</w:t>
      </w:r>
    </w:p>
    <w:p>
      <w:r>
        <w:t>Date: 2026-03-24</w:t>
      </w:r>
    </w:p>
    <w:p>
      <w:r>
        <w:t>Audience: protocol core team, ops, risk, and partner/investor diligence</w:t>
      </w:r>
    </w:p>
    <w:p>
      <w:pPr>
        <w:pStyle w:val="Heading2"/>
      </w:pPr>
      <w:r>
        <w:t>Bottom Line</w:t>
      </w:r>
    </w:p>
    <w:p>
      <w:r>
        <w:t>The system is technically solid at the contract level but is not yet operationally robust enough for unconstrained mainnet scale. The key risk is not classic smart contract exploitability; it is **redemption liveness and fairness under stress** due to **buffer-only withdrawals** plus offchain rebalancing dependence.</w:t>
      </w:r>
    </w:p>
    <w:p>
      <w:pPr>
        <w:pStyle w:val="Heading2"/>
      </w:pPr>
      <w:r>
        <w:t>What Works</w:t>
      </w:r>
    </w:p>
    <w:p>
      <w:pPr>
        <w:pStyle w:val="ListBullet"/>
      </w:pPr>
      <w:r>
        <w:t>Onchain architecture is coherent and modular (`Vault`, `VaultAuth`, `Buffer`, `AjnaVaultLibrary`).</w:t>
      </w:r>
    </w:p>
    <w:p>
      <w:pPr>
        <w:pStyle w:val="ListBullet"/>
      </w:pPr>
      <w:r>
        <w:t>Role checks and reentrancy guards are present in critical move paths.</w:t>
      </w:r>
    </w:p>
    <w:p>
      <w:pPr>
        <w:pStyle w:val="ListBullet"/>
      </w:pPr>
      <w:r>
        <w:t>Share decimal integrity issue has been fixed via `_decimalsOffset()` override.</w:t>
      </w:r>
    </w:p>
    <w:p>
      <w:pPr>
        <w:pStyle w:val="ListBullet"/>
      </w:pPr>
      <w:r>
        <w:t>CRE runtime bridge adds meaningful idempotency/replay controls (`idempotency_key`, replay nonces, queue dedupe).</w:t>
      </w:r>
    </w:p>
    <w:p>
      <w:pPr>
        <w:pStyle w:val="ListBullet"/>
      </w:pPr>
      <w:r>
        <w:t>Ajna canonical automation path correctly fail-closes on admin mismatch for CSW-scoped actions.</w:t>
      </w:r>
    </w:p>
    <w:p>
      <w:pPr>
        <w:pStyle w:val="Heading2"/>
      </w:pPr>
      <w:r>
        <w:t>Highest Risks</w:t>
      </w:r>
    </w:p>
    <w:p>
      <w:pPr>
        <w:pStyle w:val="ListNumber"/>
      </w:pPr>
      <w:r>
        <w:t>**Buffer-only exit bottleneck**</w:t>
      </w:r>
    </w:p>
    <w:p>
      <w:r>
        <w:t>Withdrawals/redeems are paid from the buffer only. During stress, early users can exit while later users revert until rebalancing succeeds.</w:t>
      </w:r>
    </w:p>
    <w:p>
      <w:pPr>
        <w:pStyle w:val="ListNumber"/>
      </w:pPr>
      <w:r>
        <w:t>**Accounting vs realizable-liquidity mismatch**</w:t>
      </w:r>
    </w:p>
    <w:p>
      <w:r>
        <w:t>`totalAssets()` can remain high while practical exits are blocked or economically impaired by Ajna market states.</w:t>
      </w:r>
    </w:p>
    <w:p>
      <w:pPr>
        <w:pStyle w:val="ListNumber"/>
      </w:pPr>
      <w:r>
        <w:t>**Keeper/config fragility**</w:t>
      </w:r>
    </w:p>
    <w:p>
      <w:r>
        <w:t>Safety depends on offchain config correctness (cadence, oracle mode, subgraph behavior, fixed price toggles), not just code correctness.</w:t>
      </w:r>
    </w:p>
    <w:p>
      <w:pPr>
        <w:pStyle w:val="ListNumber"/>
      </w:pPr>
      <w:r>
        <w:t>**Centralized write authority in bridge mode**</w:t>
      </w:r>
    </w:p>
    <w:p>
      <w:r>
        <w:t>CRE workflows still rely heavily on HTTP bridge writes from a shared keeper key for many actions.</w:t>
      </w:r>
    </w:p>
    <w:p>
      <w:pPr>
        <w:pStyle w:val="Heading2"/>
      </w:pPr>
      <w:r>
        <w:t>Recommended Direction</w:t>
      </w:r>
    </w:p>
    <w:p>
      <w:r>
        <w:t>Adopt **CRE-centric orchestration with deterministic guardrails**:</w:t>
      </w:r>
    </w:p>
    <w:p>
      <w:pPr>
        <w:pStyle w:val="ListBullet"/>
      </w:pPr>
      <w:r>
        <w:t>Move scheduling, policy checks, monitoring, queueing, and checkpointing to CRE.</w:t>
      </w:r>
    </w:p>
    <w:p>
      <w:pPr>
        <w:pStyle w:val="ListBullet"/>
      </w:pPr>
      <w:r>
        <w:t>Keep write execution narrowly scoped, allowlisted, and deterministic.</w:t>
      </w:r>
    </w:p>
    <w:p>
      <w:pPr>
        <w:pStyle w:val="ListBullet"/>
      </w:pPr>
      <w:r>
        <w:t>Keep AI advisory only; never use AI as safety-critical gate logic.</w:t>
      </w:r>
    </w:p>
    <w:p>
      <w:pPr>
        <w:pStyle w:val="ListBullet"/>
      </w:pPr>
      <w:r>
        <w:t>Maintain fallback paths during migration; deprecate legacy loops only after SLO proof.</w:t>
      </w:r>
    </w:p>
    <w:p>
      <w:pPr>
        <w:pStyle w:val="Heading2"/>
      </w:pPr>
      <w:r>
        <w:t>Go/No-Go Assessment</w:t>
      </w:r>
    </w:p>
    <w:p>
      <w:pPr>
        <w:pStyle w:val="ListBullet"/>
      </w:pPr>
      <w:r>
        <w:t>Smart contract safety: 7/10</w:t>
      </w:r>
    </w:p>
    <w:p>
      <w:pPr>
        <w:pStyle w:val="ListBullet"/>
      </w:pPr>
      <w:r>
        <w:t>Accounting integrity: 6/10</w:t>
      </w:r>
    </w:p>
    <w:p>
      <w:pPr>
        <w:pStyle w:val="ListBullet"/>
      </w:pPr>
      <w:r>
        <w:t>Redemption fairness: 4/10</w:t>
      </w:r>
    </w:p>
    <w:p>
      <w:pPr>
        <w:pStyle w:val="ListBullet"/>
      </w:pPr>
      <w:r>
        <w:t>Liveness robustness: 4/10</w:t>
      </w:r>
    </w:p>
    <w:p>
      <w:pPr>
        <w:pStyle w:val="ListBullet"/>
      </w:pPr>
      <w:r>
        <w:t>Oracle/data robustness: 5/10</w:t>
      </w:r>
    </w:p>
    <w:p>
      <w:pPr>
        <w:pStyle w:val="ListBullet"/>
      </w:pPr>
      <w:r>
        <w:t>Operator risk: 4/10</w:t>
      </w:r>
    </w:p>
    <w:p>
      <w:pPr>
        <w:pStyle w:val="ListBullet"/>
      </w:pPr>
      <w:r>
        <w:t>CRE suitability: 6/10</w:t>
      </w:r>
    </w:p>
    <w:p>
      <w:pPr>
        <w:pStyle w:val="ListBullet"/>
      </w:pPr>
      <w:r>
        <w:t>Overall deployability: 5/10</w:t>
      </w:r>
    </w:p>
    <w:p>
      <w:r>
        <w:t>**Recommendation:** pilot deployment only (strict TVL cap), no broad-scale deployment until liveness and operator-risk controls are hardened.</w:t>
      </w:r>
    </w:p>
    <w:p>
      <w:pPr>
        <w:pStyle w:val="Heading2"/>
      </w:pPr>
      <w:r>
        <w:t>Minimum Blockers Before Mainnet Scale</w:t>
      </w:r>
    </w:p>
    <w:p>
      <w:pPr>
        <w:pStyle w:val="ListNumber"/>
      </w:pPr>
      <w:r>
        <w:t>Dynamic buffer policy and faster/event-driven refill loop.</w:t>
      </w:r>
    </w:p>
    <w:p>
      <w:pPr>
        <w:pStyle w:val="ListNumber"/>
      </w:pPr>
      <w:r>
        <w:t>Production fail-closed settings for critical data dependencies.</w:t>
      </w:r>
    </w:p>
    <w:p>
      <w:pPr>
        <w:pStyle w:val="ListNumber"/>
      </w:pPr>
      <w:r>
        <w:t>Strict oracle policy (remove unsafe fixed-price operational usage).</w:t>
      </w:r>
    </w:p>
    <w:p>
      <w:pPr>
        <w:pStyle w:val="ListNumber"/>
      </w:pPr>
      <w:r>
        <w:t>Hardened signer custody and governance controls (multisig/timelock/HSM or MPC).</w:t>
      </w:r>
    </w:p>
    <w:p>
      <w:pPr>
        <w:pStyle w:val="ListNumber"/>
      </w:pPr>
      <w:r>
        <w:t>Proven reliability under replay/outage/duplication chaos tests.</w:t>
      </w:r>
    </w:p>
    <w:p>
      <w:pPr>
        <w:pStyle w:val="ListNumber"/>
      </w:pPr>
      <w:r>
        <w:t>User-facing disclosure of realizable-now liquidity vs accounting value.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