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BA6F1" w14:textId="3A10AA87" w:rsidR="008E6B49" w:rsidRDefault="008E6B49" w:rsidP="00826E4E">
      <w:pPr>
        <w:jc w:val="both"/>
      </w:pPr>
    </w:p>
    <w:p w14:paraId="2C6AD11D" w14:textId="77777777" w:rsidR="007A0E0A" w:rsidRPr="00C73EC6" w:rsidRDefault="007A0E0A" w:rsidP="00826E4E">
      <w:pPr>
        <w:jc w:val="both"/>
        <w:rPr>
          <w:rFonts w:ascii="Century" w:hAnsi="Century"/>
          <w:b/>
          <w:bCs/>
        </w:rPr>
      </w:pPr>
    </w:p>
    <w:p w14:paraId="315BFDD4" w14:textId="38805356" w:rsidR="008E6B49" w:rsidRPr="00C73EC6" w:rsidRDefault="00D73BC0" w:rsidP="00826E4E">
      <w:pPr>
        <w:jc w:val="both"/>
        <w:rPr>
          <w:rFonts w:asciiTheme="majorHAnsi" w:hAnsiTheme="majorHAnsi" w:cstheme="majorHAnsi"/>
          <w:b/>
          <w:bCs/>
        </w:rPr>
      </w:pPr>
      <w:r w:rsidRPr="00C73EC6">
        <w:rPr>
          <w:rFonts w:asciiTheme="majorHAnsi" w:hAnsiTheme="majorHAnsi" w:cstheme="majorHAnsi"/>
          <w:b/>
          <w:bCs/>
        </w:rPr>
        <w:t>ECE568</w:t>
      </w:r>
      <w:r w:rsidRPr="00C73EC6">
        <w:rPr>
          <w:rFonts w:asciiTheme="majorHAnsi" w:hAnsiTheme="majorHAnsi" w:cstheme="majorHAnsi"/>
          <w:b/>
          <w:bCs/>
        </w:rPr>
        <w:tab/>
      </w:r>
      <w:r w:rsidRPr="00C73EC6">
        <w:rPr>
          <w:rFonts w:asciiTheme="majorHAnsi" w:hAnsiTheme="majorHAnsi" w:cstheme="majorHAnsi"/>
          <w:b/>
          <w:bCs/>
        </w:rPr>
        <w:tab/>
      </w:r>
      <w:r w:rsidR="001F7142" w:rsidRPr="00C73EC6">
        <w:rPr>
          <w:rFonts w:asciiTheme="majorHAnsi" w:hAnsiTheme="majorHAnsi" w:cstheme="majorHAnsi"/>
          <w:b/>
          <w:bCs/>
        </w:rPr>
        <w:t xml:space="preserve">             </w:t>
      </w:r>
      <w:r w:rsidR="00E4069C" w:rsidRPr="00C73EC6">
        <w:rPr>
          <w:rFonts w:asciiTheme="majorHAnsi" w:hAnsiTheme="majorHAnsi" w:cstheme="majorHAnsi"/>
          <w:b/>
          <w:bCs/>
        </w:rPr>
        <w:tab/>
        <w:t xml:space="preserve">      </w:t>
      </w:r>
      <w:r w:rsidR="008E6B49" w:rsidRPr="00C73EC6">
        <w:rPr>
          <w:rFonts w:asciiTheme="majorHAnsi" w:hAnsiTheme="majorHAnsi" w:cstheme="majorHAnsi"/>
          <w:b/>
          <w:bCs/>
        </w:rPr>
        <w:t>Scalability: Exchange Matching</w:t>
      </w:r>
      <w:r w:rsidRPr="00C73EC6">
        <w:rPr>
          <w:rFonts w:asciiTheme="majorHAnsi" w:hAnsiTheme="majorHAnsi" w:cstheme="majorHAnsi"/>
          <w:b/>
          <w:bCs/>
        </w:rPr>
        <w:t xml:space="preserve"> </w:t>
      </w:r>
      <w:r w:rsidR="001F7142" w:rsidRPr="00C73EC6">
        <w:rPr>
          <w:rFonts w:asciiTheme="majorHAnsi" w:hAnsiTheme="majorHAnsi" w:cstheme="majorHAnsi"/>
          <w:b/>
          <w:bCs/>
        </w:rPr>
        <w:tab/>
        <w:t xml:space="preserve">       </w:t>
      </w:r>
      <w:r w:rsidR="00E4069C" w:rsidRPr="00C73EC6">
        <w:rPr>
          <w:rFonts w:asciiTheme="majorHAnsi" w:hAnsiTheme="majorHAnsi" w:cstheme="majorHAnsi"/>
          <w:b/>
          <w:bCs/>
        </w:rPr>
        <w:tab/>
        <w:t xml:space="preserve">            </w:t>
      </w:r>
      <w:r w:rsidRPr="00C73EC6">
        <w:rPr>
          <w:rFonts w:asciiTheme="majorHAnsi" w:hAnsiTheme="majorHAnsi" w:cstheme="majorHAnsi"/>
          <w:b/>
          <w:bCs/>
        </w:rPr>
        <w:t>Spring 2022</w:t>
      </w:r>
    </w:p>
    <w:p w14:paraId="0B840506" w14:textId="56C8BBE9" w:rsidR="0090387E" w:rsidRPr="00C73EC6" w:rsidRDefault="0090387E" w:rsidP="00826E4E">
      <w:pPr>
        <w:jc w:val="both"/>
        <w:rPr>
          <w:rFonts w:asciiTheme="majorHAnsi" w:hAnsiTheme="majorHAnsi" w:cstheme="majorHAnsi"/>
          <w:b/>
          <w:bCs/>
          <w:sz w:val="20"/>
          <w:szCs w:val="20"/>
        </w:rPr>
      </w:pPr>
    </w:p>
    <w:p w14:paraId="63362234" w14:textId="553A83E4" w:rsidR="00641B3B" w:rsidRDefault="00641B3B" w:rsidP="00826E4E">
      <w:pPr>
        <w:jc w:val="both"/>
        <w:rPr>
          <w:rFonts w:asciiTheme="majorHAnsi" w:hAnsiTheme="majorHAnsi" w:cstheme="majorHAnsi"/>
          <w:b/>
          <w:bCs/>
        </w:rPr>
      </w:pPr>
      <w:r w:rsidRPr="00C73EC6">
        <w:rPr>
          <w:rFonts w:asciiTheme="majorHAnsi" w:hAnsiTheme="majorHAnsi" w:cstheme="majorHAnsi"/>
          <w:b/>
          <w:bCs/>
        </w:rPr>
        <w:t>Description:</w:t>
      </w:r>
    </w:p>
    <w:p w14:paraId="40E2A75B" w14:textId="77777777" w:rsidR="00960A42" w:rsidRPr="00960A42" w:rsidRDefault="00960A42" w:rsidP="00826E4E">
      <w:pPr>
        <w:jc w:val="both"/>
        <w:rPr>
          <w:rFonts w:asciiTheme="majorHAnsi" w:hAnsiTheme="majorHAnsi" w:cstheme="majorHAnsi"/>
          <w:b/>
          <w:bCs/>
        </w:rPr>
      </w:pPr>
    </w:p>
    <w:p w14:paraId="6BD8B76B" w14:textId="0881D2F6" w:rsidR="00A860E3" w:rsidRDefault="00B94E91" w:rsidP="00826E4E">
      <w:pPr>
        <w:jc w:val="both"/>
        <w:rPr>
          <w:rFonts w:asciiTheme="majorHAnsi" w:hAnsiTheme="majorHAnsi" w:cstheme="majorHAnsi"/>
        </w:rPr>
      </w:pPr>
      <w:r w:rsidRPr="00B94E91">
        <w:rPr>
          <w:rFonts w:asciiTheme="majorHAnsi" w:hAnsiTheme="majorHAnsi" w:cstheme="majorHAnsi"/>
        </w:rPr>
        <w:t xml:space="preserve">In the assignment, we first build the connection between Server and Client, the Server and </w:t>
      </w:r>
      <w:proofErr w:type="gramStart"/>
      <w:r w:rsidRPr="00B94E91">
        <w:rPr>
          <w:rFonts w:asciiTheme="majorHAnsi" w:hAnsiTheme="majorHAnsi" w:cstheme="majorHAnsi"/>
        </w:rPr>
        <w:t>database(</w:t>
      </w:r>
      <w:proofErr w:type="gramEnd"/>
      <w:r w:rsidRPr="00B94E91">
        <w:rPr>
          <w:rFonts w:asciiTheme="majorHAnsi" w:hAnsiTheme="majorHAnsi" w:cstheme="majorHAnsi"/>
        </w:rPr>
        <w:t>PostgreSQL) using JDBC, then we add the XML parsing part in which we use DOM Parser to parse the XML file received from the client to multiple classes. After that, we handle these orders according to the result of parsing: checking their validity, adding them to the database, matching orders, updating data in databases according to the result of matching, and the cancel orders. Finally, we returned the result from the database, generate XML files, flush them back to the client and display them.</w:t>
      </w:r>
    </w:p>
    <w:p w14:paraId="7786E362" w14:textId="77777777" w:rsidR="00B94E91" w:rsidRDefault="00B94E91" w:rsidP="00826E4E">
      <w:pPr>
        <w:jc w:val="both"/>
        <w:rPr>
          <w:rFonts w:asciiTheme="majorHAnsi" w:hAnsiTheme="majorHAnsi" w:cstheme="majorHAnsi"/>
        </w:rPr>
      </w:pPr>
    </w:p>
    <w:p w14:paraId="00902885" w14:textId="28ADED36" w:rsidR="00A860E3" w:rsidRPr="00896C04" w:rsidRDefault="00686E75" w:rsidP="00826E4E">
      <w:pPr>
        <w:jc w:val="both"/>
        <w:rPr>
          <w:rFonts w:asciiTheme="majorHAnsi" w:hAnsiTheme="majorHAnsi" w:cstheme="majorHAnsi"/>
          <w:b/>
          <w:bCs/>
        </w:rPr>
      </w:pPr>
      <w:r w:rsidRPr="00896C04">
        <w:rPr>
          <w:rFonts w:asciiTheme="majorHAnsi" w:hAnsiTheme="majorHAnsi" w:cstheme="majorHAnsi"/>
          <w:b/>
          <w:bCs/>
        </w:rPr>
        <w:t xml:space="preserve">Functional </w:t>
      </w:r>
      <w:r w:rsidR="00A860E3" w:rsidRPr="00896C04">
        <w:rPr>
          <w:rFonts w:asciiTheme="majorHAnsi" w:hAnsiTheme="majorHAnsi" w:cstheme="majorHAnsi"/>
          <w:b/>
          <w:bCs/>
        </w:rPr>
        <w:t>Testing:</w:t>
      </w:r>
    </w:p>
    <w:p w14:paraId="00F489D9" w14:textId="405908EC" w:rsidR="004C610F" w:rsidRDefault="004C610F" w:rsidP="00826E4E">
      <w:pPr>
        <w:jc w:val="both"/>
        <w:rPr>
          <w:rFonts w:asciiTheme="majorHAnsi" w:hAnsiTheme="majorHAnsi" w:cstheme="majorHAnsi"/>
        </w:rPr>
      </w:pPr>
    </w:p>
    <w:p w14:paraId="143BA027" w14:textId="204D9DB2" w:rsidR="00CA7218" w:rsidRPr="00CA7218" w:rsidRDefault="00CA7218" w:rsidP="00826E4E">
      <w:pPr>
        <w:jc w:val="both"/>
        <w:rPr>
          <w:rFonts w:asciiTheme="majorHAnsi" w:hAnsiTheme="majorHAnsi" w:cstheme="majorHAnsi"/>
        </w:rPr>
      </w:pPr>
      <w:r w:rsidRPr="00CA7218">
        <w:rPr>
          <w:rFonts w:asciiTheme="majorHAnsi" w:hAnsiTheme="majorHAnsi" w:cstheme="majorHAnsi"/>
        </w:rPr>
        <w:t xml:space="preserve">To test our </w:t>
      </w:r>
      <w:r w:rsidR="00676D07" w:rsidRPr="00CA7218">
        <w:rPr>
          <w:rFonts w:asciiTheme="majorHAnsi" w:hAnsiTheme="majorHAnsi" w:cstheme="majorHAnsi"/>
        </w:rPr>
        <w:t>Stock Exchange</w:t>
      </w:r>
      <w:r w:rsidRPr="00CA7218">
        <w:rPr>
          <w:rFonts w:asciiTheme="majorHAnsi" w:hAnsiTheme="majorHAnsi" w:cstheme="majorHAnsi"/>
        </w:rPr>
        <w:t xml:space="preserve"> Matching System, we create several *test.xml and imitate to test our system, in which we have tested the following functions:</w:t>
      </w:r>
    </w:p>
    <w:p w14:paraId="4E7BC57E" w14:textId="77777777" w:rsidR="00CA7218" w:rsidRPr="00CA7218" w:rsidRDefault="00CA7218" w:rsidP="00826E4E">
      <w:pPr>
        <w:jc w:val="both"/>
        <w:rPr>
          <w:rFonts w:asciiTheme="majorHAnsi" w:hAnsiTheme="majorHAnsi" w:cstheme="majorHAnsi"/>
        </w:rPr>
      </w:pPr>
    </w:p>
    <w:p w14:paraId="7D545DFE" w14:textId="77777777" w:rsidR="00CA7218" w:rsidRPr="00CA7218" w:rsidRDefault="00CA7218" w:rsidP="00826E4E">
      <w:pPr>
        <w:jc w:val="both"/>
        <w:rPr>
          <w:rFonts w:asciiTheme="majorHAnsi" w:hAnsiTheme="majorHAnsi" w:cstheme="majorHAnsi"/>
        </w:rPr>
      </w:pPr>
      <w:r w:rsidRPr="00CA7218">
        <w:rPr>
          <w:rFonts w:asciiTheme="majorHAnsi" w:hAnsiTheme="majorHAnsi" w:cstheme="majorHAnsi"/>
        </w:rPr>
        <w:t xml:space="preserve">[1] Adding symbols, accounts, and Positions: </w:t>
      </w:r>
    </w:p>
    <w:p w14:paraId="28A6D6B5" w14:textId="77777777" w:rsidR="00CA7218" w:rsidRPr="00CA7218" w:rsidRDefault="00CA7218" w:rsidP="00826E4E">
      <w:pPr>
        <w:ind w:left="720"/>
        <w:jc w:val="both"/>
        <w:rPr>
          <w:rFonts w:asciiTheme="majorHAnsi" w:hAnsiTheme="majorHAnsi" w:cstheme="majorHAnsi"/>
        </w:rPr>
      </w:pPr>
      <w:r w:rsidRPr="00CA7218">
        <w:rPr>
          <w:rFonts w:asciiTheme="majorHAnsi" w:hAnsiTheme="majorHAnsi" w:cstheme="majorHAnsi"/>
        </w:rPr>
        <w:t xml:space="preserve">If the symbol of positions does not exist, we create them. </w:t>
      </w:r>
    </w:p>
    <w:p w14:paraId="238793EE" w14:textId="77777777" w:rsidR="00CA7218" w:rsidRPr="00CA7218" w:rsidRDefault="00CA7218" w:rsidP="00826E4E">
      <w:pPr>
        <w:ind w:left="720"/>
        <w:jc w:val="both"/>
        <w:rPr>
          <w:rFonts w:asciiTheme="majorHAnsi" w:hAnsiTheme="majorHAnsi" w:cstheme="majorHAnsi"/>
        </w:rPr>
      </w:pPr>
      <w:r w:rsidRPr="00CA7218">
        <w:rPr>
          <w:rFonts w:asciiTheme="majorHAnsi" w:hAnsiTheme="majorHAnsi" w:cstheme="majorHAnsi"/>
        </w:rPr>
        <w:t>If the account of a position does not exist, we inform the errors.</w:t>
      </w:r>
    </w:p>
    <w:p w14:paraId="2342D174" w14:textId="77777777" w:rsidR="00CA7218" w:rsidRPr="00CA7218" w:rsidRDefault="00CA7218" w:rsidP="00826E4E">
      <w:pPr>
        <w:ind w:left="720"/>
        <w:jc w:val="both"/>
        <w:rPr>
          <w:rFonts w:asciiTheme="majorHAnsi" w:hAnsiTheme="majorHAnsi" w:cstheme="majorHAnsi"/>
        </w:rPr>
      </w:pPr>
      <w:r w:rsidRPr="00CA7218">
        <w:rPr>
          <w:rFonts w:asciiTheme="majorHAnsi" w:hAnsiTheme="majorHAnsi" w:cstheme="majorHAnsi"/>
        </w:rPr>
        <w:t>If the position is valid, we add them to databases.</w:t>
      </w:r>
    </w:p>
    <w:p w14:paraId="556A0743" w14:textId="77777777" w:rsidR="00CA7218" w:rsidRPr="00CA7218" w:rsidRDefault="00CA7218" w:rsidP="00826E4E">
      <w:pPr>
        <w:jc w:val="both"/>
        <w:rPr>
          <w:rFonts w:asciiTheme="majorHAnsi" w:hAnsiTheme="majorHAnsi" w:cstheme="majorHAnsi"/>
        </w:rPr>
      </w:pPr>
      <w:r w:rsidRPr="00CA7218">
        <w:rPr>
          <w:rFonts w:asciiTheme="majorHAnsi" w:hAnsiTheme="majorHAnsi" w:cstheme="majorHAnsi"/>
        </w:rPr>
        <w:t>[2] Adding orders and updating orders:</w:t>
      </w:r>
    </w:p>
    <w:p w14:paraId="5FA5710D" w14:textId="77777777" w:rsidR="00CA7218" w:rsidRPr="00CA7218" w:rsidRDefault="00CA7218" w:rsidP="00826E4E">
      <w:pPr>
        <w:jc w:val="both"/>
        <w:rPr>
          <w:rFonts w:asciiTheme="majorHAnsi" w:hAnsiTheme="majorHAnsi" w:cstheme="majorHAnsi"/>
        </w:rPr>
      </w:pPr>
      <w:r w:rsidRPr="00CA7218">
        <w:rPr>
          <w:rFonts w:asciiTheme="majorHAnsi" w:hAnsiTheme="majorHAnsi" w:cstheme="majorHAnsi"/>
        </w:rPr>
        <w:t xml:space="preserve">           If the order is valid, we add them to databases and find possible orders to match. Otherwise, we inform errors.</w:t>
      </w:r>
    </w:p>
    <w:p w14:paraId="68EEE626" w14:textId="77777777" w:rsidR="00CA7218" w:rsidRPr="00CA7218" w:rsidRDefault="00CA7218" w:rsidP="00826E4E">
      <w:pPr>
        <w:jc w:val="both"/>
        <w:rPr>
          <w:rFonts w:asciiTheme="majorHAnsi" w:hAnsiTheme="majorHAnsi" w:cstheme="majorHAnsi"/>
        </w:rPr>
      </w:pPr>
      <w:r w:rsidRPr="00CA7218">
        <w:rPr>
          <w:rFonts w:asciiTheme="majorHAnsi" w:hAnsiTheme="majorHAnsi" w:cstheme="majorHAnsi"/>
        </w:rPr>
        <w:t xml:space="preserve">           If the order is matched, we updated matched orders, accounts, and positions. </w:t>
      </w:r>
    </w:p>
    <w:p w14:paraId="30002542" w14:textId="77777777" w:rsidR="00CA7218" w:rsidRPr="00CA7218" w:rsidRDefault="00CA7218" w:rsidP="00826E4E">
      <w:pPr>
        <w:jc w:val="both"/>
        <w:rPr>
          <w:rFonts w:asciiTheme="majorHAnsi" w:hAnsiTheme="majorHAnsi" w:cstheme="majorHAnsi"/>
        </w:rPr>
      </w:pPr>
      <w:r w:rsidRPr="00CA7218">
        <w:rPr>
          <w:rFonts w:asciiTheme="majorHAnsi" w:hAnsiTheme="majorHAnsi" w:cstheme="majorHAnsi"/>
        </w:rPr>
        <w:t>[3] Query transactions and cancel transactions:</w:t>
      </w:r>
    </w:p>
    <w:p w14:paraId="10A22C92" w14:textId="2C801F81" w:rsidR="00CA7218" w:rsidRPr="00CA7218" w:rsidRDefault="00676D07" w:rsidP="00826E4E">
      <w:pPr>
        <w:jc w:val="both"/>
        <w:rPr>
          <w:rFonts w:asciiTheme="majorHAnsi" w:hAnsiTheme="majorHAnsi" w:cstheme="majorHAnsi"/>
        </w:rPr>
      </w:pPr>
      <w:r>
        <w:rPr>
          <w:rFonts w:asciiTheme="majorHAnsi" w:hAnsiTheme="majorHAnsi" w:cstheme="majorHAnsi"/>
        </w:rPr>
        <w:t xml:space="preserve">           If the </w:t>
      </w:r>
      <w:proofErr w:type="spellStart"/>
      <w:r>
        <w:rPr>
          <w:rFonts w:asciiTheme="majorHAnsi" w:hAnsiTheme="majorHAnsi" w:cstheme="majorHAnsi"/>
        </w:rPr>
        <w:t>transactionid</w:t>
      </w:r>
      <w:proofErr w:type="spellEnd"/>
      <w:r>
        <w:rPr>
          <w:rFonts w:asciiTheme="majorHAnsi" w:hAnsiTheme="majorHAnsi" w:cstheme="majorHAnsi"/>
        </w:rPr>
        <w:t xml:space="preserve"> is not belong to the account, return error line</w:t>
      </w:r>
      <w:r w:rsidR="00CA7218" w:rsidRPr="00CA7218">
        <w:rPr>
          <w:rFonts w:asciiTheme="majorHAnsi" w:hAnsiTheme="majorHAnsi" w:cstheme="majorHAnsi"/>
        </w:rPr>
        <w:t xml:space="preserve"> </w:t>
      </w:r>
    </w:p>
    <w:p w14:paraId="38949D7A" w14:textId="77777777" w:rsidR="00CA7218" w:rsidRPr="00CA7218" w:rsidRDefault="00CA7218" w:rsidP="00826E4E">
      <w:pPr>
        <w:jc w:val="both"/>
        <w:rPr>
          <w:rFonts w:asciiTheme="majorHAnsi" w:hAnsiTheme="majorHAnsi" w:cstheme="majorHAnsi"/>
        </w:rPr>
      </w:pPr>
      <w:r w:rsidRPr="00CA7218">
        <w:rPr>
          <w:rFonts w:asciiTheme="majorHAnsi" w:hAnsiTheme="majorHAnsi" w:cstheme="majorHAnsi"/>
        </w:rPr>
        <w:t xml:space="preserve">           If the query transaction is valid, we return the specific information of the transactions, including open/closed/executed transactions. Else, we inform the errors.</w:t>
      </w:r>
    </w:p>
    <w:p w14:paraId="1D27B431" w14:textId="595A3FDB" w:rsidR="00F94AB8" w:rsidRDefault="00CA7218" w:rsidP="00826E4E">
      <w:pPr>
        <w:jc w:val="both"/>
        <w:rPr>
          <w:rFonts w:asciiTheme="majorHAnsi" w:hAnsiTheme="majorHAnsi" w:cstheme="majorHAnsi"/>
        </w:rPr>
      </w:pPr>
      <w:r w:rsidRPr="00CA7218">
        <w:rPr>
          <w:rFonts w:asciiTheme="majorHAnsi" w:hAnsiTheme="majorHAnsi" w:cstheme="majorHAnsi"/>
        </w:rPr>
        <w:t xml:space="preserve">           If the cancel transaction is valid, we cancel the open transaction and remain the executed transactions. We also return the specific information of the transactions, including the open/closed transactions and executed transactions.</w:t>
      </w:r>
    </w:p>
    <w:p w14:paraId="76509FEE" w14:textId="77777777" w:rsidR="00F403D9" w:rsidRDefault="00F403D9" w:rsidP="00826E4E">
      <w:pPr>
        <w:jc w:val="both"/>
        <w:rPr>
          <w:rFonts w:asciiTheme="majorHAnsi" w:hAnsiTheme="majorHAnsi" w:cstheme="majorHAnsi"/>
        </w:rPr>
      </w:pPr>
    </w:p>
    <w:p w14:paraId="6AE3CA88" w14:textId="6DB40071" w:rsidR="00F94AB8" w:rsidRPr="0048755A" w:rsidRDefault="00F94AB8" w:rsidP="00826E4E">
      <w:pPr>
        <w:jc w:val="both"/>
        <w:rPr>
          <w:rFonts w:asciiTheme="majorHAnsi" w:hAnsiTheme="majorHAnsi" w:cstheme="majorHAnsi"/>
          <w:b/>
          <w:bCs/>
        </w:rPr>
      </w:pPr>
      <w:r w:rsidRPr="0048755A">
        <w:rPr>
          <w:rFonts w:asciiTheme="majorHAnsi" w:hAnsiTheme="majorHAnsi" w:cstheme="majorHAnsi"/>
          <w:b/>
          <w:bCs/>
        </w:rPr>
        <w:t>Scalability Testing:</w:t>
      </w:r>
    </w:p>
    <w:p w14:paraId="2D81D182" w14:textId="77777777" w:rsidR="00F94AB8" w:rsidRDefault="00F94AB8" w:rsidP="00826E4E">
      <w:pPr>
        <w:jc w:val="both"/>
        <w:rPr>
          <w:rFonts w:asciiTheme="majorHAnsi" w:hAnsiTheme="majorHAnsi" w:cstheme="majorHAnsi"/>
        </w:rPr>
      </w:pPr>
    </w:p>
    <w:p w14:paraId="348ABCD1" w14:textId="1923480B" w:rsidR="00BE40DB" w:rsidRDefault="0084300E" w:rsidP="00826E4E">
      <w:pPr>
        <w:jc w:val="both"/>
        <w:rPr>
          <w:rFonts w:asciiTheme="majorHAnsi" w:hAnsiTheme="majorHAnsi" w:cstheme="majorHAnsi"/>
        </w:rPr>
      </w:pPr>
      <w:r w:rsidRPr="0084300E">
        <w:rPr>
          <w:rFonts w:asciiTheme="majorHAnsi" w:hAnsiTheme="majorHAnsi" w:cstheme="majorHAnsi"/>
        </w:rPr>
        <w:t xml:space="preserve">Since PostgreSQL could only accept a maximum of 100 connections, we define a fixed </w:t>
      </w:r>
      <w:r w:rsidR="00676D07" w:rsidRPr="0084300E">
        <w:rPr>
          <w:rFonts w:asciiTheme="majorHAnsi" w:hAnsiTheme="majorHAnsi" w:cstheme="majorHAnsi"/>
        </w:rPr>
        <w:t>thread pool</w:t>
      </w:r>
      <w:r w:rsidRPr="0084300E">
        <w:rPr>
          <w:rFonts w:asciiTheme="majorHAnsi" w:hAnsiTheme="majorHAnsi" w:cstheme="majorHAnsi"/>
        </w:rPr>
        <w:t xml:space="preserve"> whose size is 100. Other requests have to wait in the queue for a free thread. To measure the performance of our </w:t>
      </w:r>
      <w:r w:rsidR="00676D07" w:rsidRPr="0084300E">
        <w:rPr>
          <w:rFonts w:asciiTheme="majorHAnsi" w:hAnsiTheme="majorHAnsi" w:cstheme="majorHAnsi"/>
        </w:rPr>
        <w:t>Stock Exchange</w:t>
      </w:r>
      <w:r w:rsidRPr="0084300E">
        <w:rPr>
          <w:rFonts w:asciiTheme="majorHAnsi" w:hAnsiTheme="majorHAnsi" w:cstheme="majorHAnsi"/>
        </w:rPr>
        <w:t xml:space="preserve"> System, we run our system under multiple conditions: the different amount of requests and the different number of used cores. Then we calculate the time and draw the following graph:</w:t>
      </w:r>
    </w:p>
    <w:p w14:paraId="600CF572" w14:textId="6C310D3F" w:rsidR="00D814A9" w:rsidRDefault="00D814A9" w:rsidP="00826E4E">
      <w:pPr>
        <w:jc w:val="both"/>
        <w:rPr>
          <w:rFonts w:asciiTheme="majorHAnsi" w:hAnsiTheme="majorHAnsi" w:cstheme="majorHAnsi"/>
        </w:rPr>
      </w:pPr>
    </w:p>
    <w:p w14:paraId="30D62D3D" w14:textId="239240AC" w:rsidR="00D814A9" w:rsidRDefault="00D814A9" w:rsidP="00826E4E">
      <w:pPr>
        <w:jc w:val="both"/>
        <w:rPr>
          <w:rFonts w:asciiTheme="majorHAnsi" w:hAnsiTheme="majorHAnsi" w:cstheme="majorHAnsi"/>
        </w:rPr>
      </w:pPr>
    </w:p>
    <w:p w14:paraId="2FE1A355" w14:textId="2FFDEE50" w:rsidR="001661BE" w:rsidRDefault="00D814A9" w:rsidP="00826E4E">
      <w:pPr>
        <w:jc w:val="both"/>
        <w:rPr>
          <w:rFonts w:asciiTheme="majorHAnsi" w:hAnsiTheme="majorHAnsi" w:cstheme="majorHAnsi"/>
        </w:rPr>
      </w:pPr>
      <w:r>
        <w:rPr>
          <w:rFonts w:asciiTheme="majorHAnsi" w:hAnsiTheme="majorHAnsi" w:cstheme="majorHAnsi"/>
        </w:rPr>
        <w:t xml:space="preserve">From the </w:t>
      </w:r>
      <w:r w:rsidR="008E2A37">
        <w:rPr>
          <w:rFonts w:asciiTheme="majorHAnsi" w:hAnsiTheme="majorHAnsi" w:cstheme="majorHAnsi"/>
        </w:rPr>
        <w:t>Scalability</w:t>
      </w:r>
      <w:r>
        <w:rPr>
          <w:rFonts w:asciiTheme="majorHAnsi" w:hAnsiTheme="majorHAnsi" w:cstheme="majorHAnsi"/>
        </w:rPr>
        <w:t xml:space="preserve"> graph above we can find that the latency for responding each request increases as the number of requests increases. It’s mainly because we only allowed 100 threads </w:t>
      </w:r>
      <w:r w:rsidR="008E2A37">
        <w:rPr>
          <w:rFonts w:asciiTheme="majorHAnsi" w:hAnsiTheme="majorHAnsi" w:cstheme="majorHAnsi"/>
        </w:rPr>
        <w:t>running</w:t>
      </w:r>
      <w:r>
        <w:rPr>
          <w:rFonts w:asciiTheme="majorHAnsi" w:hAnsiTheme="majorHAnsi" w:cstheme="majorHAnsi"/>
        </w:rPr>
        <w:t xml:space="preserve"> concurrently, and most of the requests have to wait for </w:t>
      </w:r>
      <w:r w:rsidR="001A2065">
        <w:rPr>
          <w:rFonts w:asciiTheme="majorHAnsi" w:hAnsiTheme="majorHAnsi" w:cstheme="majorHAnsi" w:hint="eastAsia"/>
        </w:rPr>
        <w:t>free</w:t>
      </w:r>
      <w:r w:rsidR="001A2065">
        <w:rPr>
          <w:rFonts w:asciiTheme="majorHAnsi" w:hAnsiTheme="majorHAnsi" w:cstheme="majorHAnsi"/>
        </w:rPr>
        <w:t xml:space="preserve"> threads. </w:t>
      </w:r>
    </w:p>
    <w:p w14:paraId="23DB3F3A" w14:textId="6F899A72" w:rsidR="001661BE" w:rsidRDefault="001661BE" w:rsidP="00826E4E">
      <w:pPr>
        <w:jc w:val="both"/>
        <w:rPr>
          <w:rFonts w:asciiTheme="majorHAnsi" w:hAnsiTheme="majorHAnsi" w:cstheme="majorHAnsi"/>
        </w:rPr>
      </w:pPr>
      <w:r>
        <w:rPr>
          <w:rFonts w:asciiTheme="majorHAnsi" w:hAnsiTheme="majorHAnsi" w:cstheme="majorHAnsi"/>
        </w:rPr>
        <w:lastRenderedPageBreak/>
        <w:t xml:space="preserve">Besides, we can also </w:t>
      </w:r>
      <w:r w:rsidR="00676D07">
        <w:rPr>
          <w:rFonts w:asciiTheme="majorHAnsi" w:hAnsiTheme="majorHAnsi" w:cstheme="majorHAnsi"/>
        </w:rPr>
        <w:t xml:space="preserve">find that </w:t>
      </w:r>
      <w:r w:rsidR="008E2A37">
        <w:rPr>
          <w:rFonts w:asciiTheme="majorHAnsi" w:hAnsiTheme="majorHAnsi" w:cstheme="majorHAnsi"/>
        </w:rPr>
        <w:t>the latency of</w:t>
      </w:r>
      <w:r w:rsidR="00676D07">
        <w:rPr>
          <w:rFonts w:asciiTheme="majorHAnsi" w:hAnsiTheme="majorHAnsi" w:cstheme="majorHAnsi"/>
        </w:rPr>
        <w:t xml:space="preserve"> 4 core VM is less than </w:t>
      </w:r>
      <w:r w:rsidR="008E2A37">
        <w:rPr>
          <w:rFonts w:asciiTheme="majorHAnsi" w:hAnsiTheme="majorHAnsi" w:cstheme="majorHAnsi"/>
        </w:rPr>
        <w:t>2</w:t>
      </w:r>
      <w:r w:rsidR="00676D07">
        <w:rPr>
          <w:rFonts w:asciiTheme="majorHAnsi" w:hAnsiTheme="majorHAnsi" w:cstheme="majorHAnsi"/>
        </w:rPr>
        <w:t xml:space="preserve"> core</w:t>
      </w:r>
      <w:r w:rsidR="008E2A37">
        <w:rPr>
          <w:rFonts w:asciiTheme="majorHAnsi" w:hAnsiTheme="majorHAnsi" w:cstheme="majorHAnsi"/>
        </w:rPr>
        <w:t xml:space="preserve"> or 1 </w:t>
      </w:r>
      <w:proofErr w:type="spellStart"/>
      <w:r w:rsidR="008E2A37">
        <w:rPr>
          <w:rFonts w:asciiTheme="majorHAnsi" w:hAnsiTheme="majorHAnsi" w:cstheme="majorHAnsi"/>
        </w:rPr>
        <w:t>cpre</w:t>
      </w:r>
      <w:proofErr w:type="spellEnd"/>
      <w:r w:rsidR="00676D07">
        <w:rPr>
          <w:rFonts w:asciiTheme="majorHAnsi" w:hAnsiTheme="majorHAnsi" w:cstheme="majorHAnsi"/>
        </w:rPr>
        <w:t xml:space="preserve"> because with more processors, we are able to </w:t>
      </w:r>
      <w:r w:rsidR="00E307DA">
        <w:rPr>
          <w:rFonts w:asciiTheme="majorHAnsi" w:hAnsiTheme="majorHAnsi" w:cstheme="majorHAnsi"/>
        </w:rPr>
        <w:t>run more threads in parallel. But the latency</w:t>
      </w:r>
      <w:r w:rsidR="008E2A37">
        <w:rPr>
          <w:rFonts w:asciiTheme="majorHAnsi" w:hAnsiTheme="majorHAnsi" w:cstheme="majorHAnsi"/>
        </w:rPr>
        <w:t xml:space="preserve"> in for 2 </w:t>
      </w:r>
      <w:r w:rsidR="00E307DA">
        <w:rPr>
          <w:rFonts w:asciiTheme="majorHAnsi" w:hAnsiTheme="majorHAnsi" w:cstheme="majorHAnsi"/>
        </w:rPr>
        <w:t xml:space="preserve">core VM is not 2 times more than </w:t>
      </w:r>
      <w:r w:rsidR="008E2A37">
        <w:rPr>
          <w:rFonts w:asciiTheme="majorHAnsi" w:hAnsiTheme="majorHAnsi" w:cstheme="majorHAnsi"/>
        </w:rPr>
        <w:t xml:space="preserve">4 core </w:t>
      </w:r>
      <w:r w:rsidR="00E307DA">
        <w:rPr>
          <w:rFonts w:asciiTheme="majorHAnsi" w:hAnsiTheme="majorHAnsi" w:cstheme="majorHAnsi"/>
        </w:rPr>
        <w:t xml:space="preserve">because one thread have to wait for </w:t>
      </w:r>
      <w:r w:rsidR="008E2A37">
        <w:rPr>
          <w:rFonts w:asciiTheme="majorHAnsi" w:hAnsiTheme="majorHAnsi" w:cstheme="majorHAnsi"/>
        </w:rPr>
        <w:t>other threads when visiting database, they has the completion and not 100% work in parallel. Also, with less requests, the difference in latency is less because it is more impacted by other outside factors. We could get the conclusion that 4 core system has a larger throughput when process large amount of request</w:t>
      </w:r>
      <w:bookmarkStart w:id="0" w:name="_GoBack"/>
      <w:bookmarkEnd w:id="0"/>
      <w:r w:rsidR="008E2A37">
        <w:rPr>
          <w:rFonts w:asciiTheme="majorHAnsi" w:hAnsiTheme="majorHAnsi" w:cstheme="majorHAnsi"/>
        </w:rPr>
        <w:t>.</w:t>
      </w:r>
    </w:p>
    <w:p w14:paraId="30EBE74D" w14:textId="651539E8" w:rsidR="008E2A37" w:rsidRDefault="008E2A37" w:rsidP="00826E4E">
      <w:pPr>
        <w:jc w:val="both"/>
        <w:rPr>
          <w:rFonts w:asciiTheme="majorHAnsi" w:hAnsiTheme="majorHAnsi" w:cstheme="majorHAnsi"/>
        </w:rPr>
      </w:pPr>
    </w:p>
    <w:p w14:paraId="7A5B5750" w14:textId="1D3196B2" w:rsidR="008E2A37" w:rsidRDefault="008E2A37" w:rsidP="00826E4E">
      <w:pPr>
        <w:jc w:val="both"/>
        <w:rPr>
          <w:rFonts w:asciiTheme="majorHAnsi" w:hAnsiTheme="majorHAnsi" w:cstheme="majorHAnsi"/>
        </w:rPr>
      </w:pPr>
    </w:p>
    <w:p w14:paraId="126EDD3E" w14:textId="77777777" w:rsidR="008E2A37" w:rsidRPr="00845555" w:rsidRDefault="008E2A37" w:rsidP="00826E4E">
      <w:pPr>
        <w:jc w:val="both"/>
        <w:rPr>
          <w:rFonts w:asciiTheme="majorHAnsi" w:hAnsiTheme="majorHAnsi" w:cstheme="majorHAnsi"/>
        </w:rPr>
      </w:pPr>
    </w:p>
    <w:tbl>
      <w:tblPr>
        <w:tblStyle w:val="TableGrid"/>
        <w:tblW w:w="0" w:type="auto"/>
        <w:tblLook w:val="04A0" w:firstRow="1" w:lastRow="0" w:firstColumn="1" w:lastColumn="0" w:noHBand="0" w:noVBand="1"/>
      </w:tblPr>
      <w:tblGrid>
        <w:gridCol w:w="1562"/>
        <w:gridCol w:w="2380"/>
        <w:gridCol w:w="2180"/>
        <w:gridCol w:w="2160"/>
      </w:tblGrid>
      <w:tr w:rsidR="00E307DA" w:rsidRPr="00E307DA" w14:paraId="5FD7A839" w14:textId="77777777" w:rsidTr="00E307DA">
        <w:trPr>
          <w:trHeight w:val="300"/>
        </w:trPr>
        <w:tc>
          <w:tcPr>
            <w:tcW w:w="960" w:type="dxa"/>
            <w:noWrap/>
            <w:hideMark/>
          </w:tcPr>
          <w:p w14:paraId="7982F7E7" w14:textId="734BFD47" w:rsidR="00E307DA" w:rsidRPr="00E307DA" w:rsidRDefault="008E2A37" w:rsidP="00E307DA">
            <w:pPr>
              <w:jc w:val="both"/>
            </w:pPr>
            <w:r>
              <w:t>Core\Request</w:t>
            </w:r>
          </w:p>
        </w:tc>
        <w:tc>
          <w:tcPr>
            <w:tcW w:w="2380" w:type="dxa"/>
            <w:noWrap/>
            <w:hideMark/>
          </w:tcPr>
          <w:p w14:paraId="306D5DEB" w14:textId="471E0BFB" w:rsidR="00E307DA" w:rsidRPr="00E307DA" w:rsidRDefault="00E307DA" w:rsidP="00E307DA">
            <w:pPr>
              <w:jc w:val="both"/>
            </w:pPr>
            <w:r w:rsidRPr="00E307DA">
              <w:t>1000</w:t>
            </w:r>
            <w:r w:rsidR="008E2A37">
              <w:t xml:space="preserve"> </w:t>
            </w:r>
          </w:p>
        </w:tc>
        <w:tc>
          <w:tcPr>
            <w:tcW w:w="2180" w:type="dxa"/>
            <w:noWrap/>
            <w:hideMark/>
          </w:tcPr>
          <w:p w14:paraId="6EB8C3BB" w14:textId="77777777" w:rsidR="00E307DA" w:rsidRPr="00E307DA" w:rsidRDefault="00E307DA" w:rsidP="00E307DA">
            <w:pPr>
              <w:jc w:val="both"/>
            </w:pPr>
            <w:r w:rsidRPr="00E307DA">
              <w:t>1500</w:t>
            </w:r>
          </w:p>
        </w:tc>
        <w:tc>
          <w:tcPr>
            <w:tcW w:w="2160" w:type="dxa"/>
            <w:noWrap/>
            <w:hideMark/>
          </w:tcPr>
          <w:p w14:paraId="4139C216" w14:textId="77777777" w:rsidR="00E307DA" w:rsidRPr="00E307DA" w:rsidRDefault="00E307DA" w:rsidP="00E307DA">
            <w:pPr>
              <w:jc w:val="both"/>
            </w:pPr>
            <w:r w:rsidRPr="00E307DA">
              <w:t>2000</w:t>
            </w:r>
          </w:p>
        </w:tc>
      </w:tr>
      <w:tr w:rsidR="00E307DA" w:rsidRPr="00E307DA" w14:paraId="4427E87B" w14:textId="77777777" w:rsidTr="00E307DA">
        <w:trPr>
          <w:trHeight w:val="300"/>
        </w:trPr>
        <w:tc>
          <w:tcPr>
            <w:tcW w:w="960" w:type="dxa"/>
            <w:noWrap/>
            <w:hideMark/>
          </w:tcPr>
          <w:p w14:paraId="6F5D7190" w14:textId="470BAAF5" w:rsidR="00E307DA" w:rsidRPr="00E307DA" w:rsidRDefault="00E307DA" w:rsidP="00E307DA">
            <w:pPr>
              <w:jc w:val="both"/>
            </w:pPr>
            <w:r w:rsidRPr="00E307DA">
              <w:t>1</w:t>
            </w:r>
            <w:r w:rsidR="008E2A37">
              <w:t xml:space="preserve"> </w:t>
            </w:r>
          </w:p>
        </w:tc>
        <w:tc>
          <w:tcPr>
            <w:tcW w:w="2380" w:type="dxa"/>
            <w:noWrap/>
            <w:hideMark/>
          </w:tcPr>
          <w:p w14:paraId="6EDA9FDD" w14:textId="66BE7499" w:rsidR="00E307DA" w:rsidRPr="00E307DA" w:rsidRDefault="00E307DA" w:rsidP="00E307DA">
            <w:pPr>
              <w:jc w:val="both"/>
            </w:pPr>
            <w:r w:rsidRPr="00E307DA">
              <w:t>39.406</w:t>
            </w:r>
            <w:r w:rsidR="008E2A37">
              <w:t>s</w:t>
            </w:r>
          </w:p>
        </w:tc>
        <w:tc>
          <w:tcPr>
            <w:tcW w:w="2180" w:type="dxa"/>
            <w:noWrap/>
            <w:hideMark/>
          </w:tcPr>
          <w:p w14:paraId="5433D98B" w14:textId="6AE52BF8" w:rsidR="00E307DA" w:rsidRPr="00E307DA" w:rsidRDefault="00E307DA" w:rsidP="00E307DA">
            <w:pPr>
              <w:jc w:val="both"/>
            </w:pPr>
            <w:r w:rsidRPr="00E307DA">
              <w:t>67.37</w:t>
            </w:r>
            <w:r w:rsidR="008E2A37">
              <w:t>s</w:t>
            </w:r>
          </w:p>
        </w:tc>
        <w:tc>
          <w:tcPr>
            <w:tcW w:w="2160" w:type="dxa"/>
            <w:noWrap/>
            <w:hideMark/>
          </w:tcPr>
          <w:p w14:paraId="642D97DD" w14:textId="400E7FA0" w:rsidR="00E307DA" w:rsidRPr="00E307DA" w:rsidRDefault="00E307DA" w:rsidP="00E307DA">
            <w:pPr>
              <w:jc w:val="both"/>
            </w:pPr>
            <w:r w:rsidRPr="00E307DA">
              <w:t>146</w:t>
            </w:r>
            <w:r w:rsidR="008E2A37">
              <w:t>s</w:t>
            </w:r>
          </w:p>
        </w:tc>
      </w:tr>
      <w:tr w:rsidR="00E307DA" w:rsidRPr="00E307DA" w14:paraId="6EDE65F6" w14:textId="77777777" w:rsidTr="00E307DA">
        <w:trPr>
          <w:trHeight w:val="300"/>
        </w:trPr>
        <w:tc>
          <w:tcPr>
            <w:tcW w:w="960" w:type="dxa"/>
            <w:noWrap/>
            <w:hideMark/>
          </w:tcPr>
          <w:p w14:paraId="4A0E7F70" w14:textId="77777777" w:rsidR="00E307DA" w:rsidRPr="00E307DA" w:rsidRDefault="00E307DA" w:rsidP="00E307DA">
            <w:pPr>
              <w:jc w:val="both"/>
            </w:pPr>
            <w:r w:rsidRPr="00E307DA">
              <w:t>1</w:t>
            </w:r>
          </w:p>
        </w:tc>
        <w:tc>
          <w:tcPr>
            <w:tcW w:w="2380" w:type="dxa"/>
            <w:noWrap/>
            <w:hideMark/>
          </w:tcPr>
          <w:p w14:paraId="293BD3D7" w14:textId="338BF84F" w:rsidR="00E307DA" w:rsidRPr="00E307DA" w:rsidRDefault="00E307DA" w:rsidP="00E307DA">
            <w:pPr>
              <w:jc w:val="both"/>
            </w:pPr>
            <w:r w:rsidRPr="00E307DA">
              <w:t>38.4</w:t>
            </w:r>
            <w:r w:rsidR="008E2A37">
              <w:t>s</w:t>
            </w:r>
          </w:p>
        </w:tc>
        <w:tc>
          <w:tcPr>
            <w:tcW w:w="2180" w:type="dxa"/>
            <w:noWrap/>
            <w:hideMark/>
          </w:tcPr>
          <w:p w14:paraId="773AA503" w14:textId="74D4C03A" w:rsidR="00E307DA" w:rsidRPr="00E307DA" w:rsidRDefault="00E307DA" w:rsidP="00E307DA">
            <w:pPr>
              <w:jc w:val="both"/>
            </w:pPr>
            <w:r w:rsidRPr="00E307DA">
              <w:t>65.1</w:t>
            </w:r>
            <w:r w:rsidR="008E2A37">
              <w:t>s</w:t>
            </w:r>
          </w:p>
        </w:tc>
        <w:tc>
          <w:tcPr>
            <w:tcW w:w="2160" w:type="dxa"/>
            <w:noWrap/>
            <w:hideMark/>
          </w:tcPr>
          <w:p w14:paraId="1FD94FFD" w14:textId="0742FB2A" w:rsidR="00E307DA" w:rsidRPr="00E307DA" w:rsidRDefault="00E307DA" w:rsidP="00E307DA">
            <w:pPr>
              <w:jc w:val="both"/>
            </w:pPr>
            <w:r w:rsidRPr="00E307DA">
              <w:t>144.2</w:t>
            </w:r>
            <w:r w:rsidR="008E2A37">
              <w:t>s</w:t>
            </w:r>
          </w:p>
        </w:tc>
      </w:tr>
      <w:tr w:rsidR="00E307DA" w:rsidRPr="00E307DA" w14:paraId="0428B9DD" w14:textId="77777777" w:rsidTr="00E307DA">
        <w:trPr>
          <w:trHeight w:val="300"/>
        </w:trPr>
        <w:tc>
          <w:tcPr>
            <w:tcW w:w="960" w:type="dxa"/>
            <w:noWrap/>
            <w:hideMark/>
          </w:tcPr>
          <w:p w14:paraId="64FA9264" w14:textId="77777777" w:rsidR="00E307DA" w:rsidRPr="00E307DA" w:rsidRDefault="00E307DA" w:rsidP="00E307DA">
            <w:pPr>
              <w:jc w:val="both"/>
            </w:pPr>
            <w:r w:rsidRPr="00E307DA">
              <w:t>2</w:t>
            </w:r>
          </w:p>
        </w:tc>
        <w:tc>
          <w:tcPr>
            <w:tcW w:w="2380" w:type="dxa"/>
            <w:noWrap/>
            <w:hideMark/>
          </w:tcPr>
          <w:p w14:paraId="7BCEE243" w14:textId="1BC1C9AA" w:rsidR="00E307DA" w:rsidRPr="00E307DA" w:rsidRDefault="00E307DA" w:rsidP="00E307DA">
            <w:pPr>
              <w:jc w:val="both"/>
            </w:pPr>
            <w:r w:rsidRPr="00E307DA">
              <w:t>38.133</w:t>
            </w:r>
            <w:r w:rsidR="008E2A37">
              <w:t>s</w:t>
            </w:r>
          </w:p>
        </w:tc>
        <w:tc>
          <w:tcPr>
            <w:tcW w:w="2180" w:type="dxa"/>
            <w:noWrap/>
            <w:hideMark/>
          </w:tcPr>
          <w:p w14:paraId="4ACB1FAC" w14:textId="20DF6A15" w:rsidR="00E307DA" w:rsidRPr="00E307DA" w:rsidRDefault="00E307DA" w:rsidP="00E307DA">
            <w:pPr>
              <w:jc w:val="both"/>
            </w:pPr>
            <w:r w:rsidRPr="00E307DA">
              <w:t>55.21</w:t>
            </w:r>
            <w:r w:rsidR="008E2A37">
              <w:t>s</w:t>
            </w:r>
          </w:p>
        </w:tc>
        <w:tc>
          <w:tcPr>
            <w:tcW w:w="2160" w:type="dxa"/>
            <w:noWrap/>
            <w:hideMark/>
          </w:tcPr>
          <w:p w14:paraId="6D8AE2B9" w14:textId="2FAA2C29" w:rsidR="00E307DA" w:rsidRPr="00E307DA" w:rsidRDefault="00E307DA" w:rsidP="00E307DA">
            <w:pPr>
              <w:jc w:val="both"/>
            </w:pPr>
            <w:r w:rsidRPr="00E307DA">
              <w:t>97.813</w:t>
            </w:r>
            <w:r w:rsidR="008E2A37">
              <w:t>s</w:t>
            </w:r>
          </w:p>
        </w:tc>
      </w:tr>
      <w:tr w:rsidR="00E307DA" w:rsidRPr="00E307DA" w14:paraId="29D158DB" w14:textId="77777777" w:rsidTr="00E307DA">
        <w:trPr>
          <w:trHeight w:val="300"/>
        </w:trPr>
        <w:tc>
          <w:tcPr>
            <w:tcW w:w="960" w:type="dxa"/>
            <w:noWrap/>
            <w:hideMark/>
          </w:tcPr>
          <w:p w14:paraId="296F0111" w14:textId="77777777" w:rsidR="00E307DA" w:rsidRPr="00E307DA" w:rsidRDefault="00E307DA" w:rsidP="00E307DA">
            <w:pPr>
              <w:jc w:val="both"/>
            </w:pPr>
            <w:r w:rsidRPr="00E307DA">
              <w:t>2</w:t>
            </w:r>
          </w:p>
        </w:tc>
        <w:tc>
          <w:tcPr>
            <w:tcW w:w="2380" w:type="dxa"/>
            <w:noWrap/>
            <w:hideMark/>
          </w:tcPr>
          <w:p w14:paraId="2288C258" w14:textId="746245DD" w:rsidR="00E307DA" w:rsidRPr="00E307DA" w:rsidRDefault="00E307DA" w:rsidP="00E307DA">
            <w:pPr>
              <w:jc w:val="both"/>
            </w:pPr>
            <w:r w:rsidRPr="00E307DA">
              <w:t>39.8</w:t>
            </w:r>
            <w:r w:rsidR="008E2A37">
              <w:t>s</w:t>
            </w:r>
          </w:p>
        </w:tc>
        <w:tc>
          <w:tcPr>
            <w:tcW w:w="2180" w:type="dxa"/>
            <w:noWrap/>
            <w:hideMark/>
          </w:tcPr>
          <w:p w14:paraId="73946349" w14:textId="35F56898" w:rsidR="00E307DA" w:rsidRPr="00E307DA" w:rsidRDefault="00E307DA" w:rsidP="00E307DA">
            <w:pPr>
              <w:jc w:val="both"/>
            </w:pPr>
            <w:r w:rsidRPr="00E307DA">
              <w:t>54.7</w:t>
            </w:r>
            <w:r w:rsidR="008E2A37">
              <w:t>s</w:t>
            </w:r>
          </w:p>
        </w:tc>
        <w:tc>
          <w:tcPr>
            <w:tcW w:w="2160" w:type="dxa"/>
            <w:noWrap/>
            <w:hideMark/>
          </w:tcPr>
          <w:p w14:paraId="1EB1E600" w14:textId="2E6CF9B0" w:rsidR="00E307DA" w:rsidRPr="00E307DA" w:rsidRDefault="00E307DA" w:rsidP="00E307DA">
            <w:pPr>
              <w:jc w:val="both"/>
            </w:pPr>
            <w:r w:rsidRPr="00E307DA">
              <w:t>101.967</w:t>
            </w:r>
            <w:r w:rsidR="008E2A37">
              <w:t>s</w:t>
            </w:r>
          </w:p>
        </w:tc>
      </w:tr>
      <w:tr w:rsidR="00E307DA" w:rsidRPr="00E307DA" w14:paraId="77B8B5C2" w14:textId="77777777" w:rsidTr="00E307DA">
        <w:trPr>
          <w:trHeight w:val="300"/>
        </w:trPr>
        <w:tc>
          <w:tcPr>
            <w:tcW w:w="960" w:type="dxa"/>
            <w:noWrap/>
            <w:hideMark/>
          </w:tcPr>
          <w:p w14:paraId="5F4A8EA4" w14:textId="77777777" w:rsidR="00E307DA" w:rsidRPr="00E307DA" w:rsidRDefault="00E307DA" w:rsidP="00E307DA">
            <w:pPr>
              <w:jc w:val="both"/>
            </w:pPr>
            <w:r w:rsidRPr="00E307DA">
              <w:t>4</w:t>
            </w:r>
          </w:p>
        </w:tc>
        <w:tc>
          <w:tcPr>
            <w:tcW w:w="2380" w:type="dxa"/>
            <w:noWrap/>
            <w:hideMark/>
          </w:tcPr>
          <w:p w14:paraId="4A4F158D" w14:textId="791F1795" w:rsidR="00E307DA" w:rsidRPr="00E307DA" w:rsidRDefault="00E307DA" w:rsidP="00E307DA">
            <w:pPr>
              <w:jc w:val="both"/>
            </w:pPr>
            <w:r w:rsidRPr="00E307DA">
              <w:t>34.4</w:t>
            </w:r>
            <w:r w:rsidR="008E2A37">
              <w:t>s</w:t>
            </w:r>
          </w:p>
        </w:tc>
        <w:tc>
          <w:tcPr>
            <w:tcW w:w="2180" w:type="dxa"/>
            <w:noWrap/>
            <w:hideMark/>
          </w:tcPr>
          <w:p w14:paraId="56FA923F" w14:textId="22BA5534" w:rsidR="00E307DA" w:rsidRPr="00E307DA" w:rsidRDefault="00E307DA" w:rsidP="00E307DA">
            <w:pPr>
              <w:jc w:val="both"/>
            </w:pPr>
            <w:r w:rsidRPr="00E307DA">
              <w:t>55.94</w:t>
            </w:r>
            <w:r w:rsidR="008E2A37">
              <w:t>s</w:t>
            </w:r>
          </w:p>
        </w:tc>
        <w:tc>
          <w:tcPr>
            <w:tcW w:w="2160" w:type="dxa"/>
            <w:noWrap/>
            <w:hideMark/>
          </w:tcPr>
          <w:p w14:paraId="65C9546D" w14:textId="25B391C8" w:rsidR="00E307DA" w:rsidRPr="00E307DA" w:rsidRDefault="00E307DA" w:rsidP="00E307DA">
            <w:pPr>
              <w:jc w:val="both"/>
            </w:pPr>
            <w:r w:rsidRPr="00E307DA">
              <w:t>80.9</w:t>
            </w:r>
            <w:r w:rsidR="008E2A37">
              <w:t>s</w:t>
            </w:r>
          </w:p>
        </w:tc>
      </w:tr>
      <w:tr w:rsidR="00E307DA" w:rsidRPr="00E307DA" w14:paraId="04EEBE00" w14:textId="77777777" w:rsidTr="00E307DA">
        <w:trPr>
          <w:trHeight w:val="300"/>
        </w:trPr>
        <w:tc>
          <w:tcPr>
            <w:tcW w:w="960" w:type="dxa"/>
            <w:noWrap/>
            <w:hideMark/>
          </w:tcPr>
          <w:p w14:paraId="0421BD5B" w14:textId="77777777" w:rsidR="00E307DA" w:rsidRPr="00E307DA" w:rsidRDefault="00E307DA" w:rsidP="00E307DA">
            <w:pPr>
              <w:jc w:val="both"/>
            </w:pPr>
            <w:r w:rsidRPr="00E307DA">
              <w:t>4</w:t>
            </w:r>
          </w:p>
        </w:tc>
        <w:tc>
          <w:tcPr>
            <w:tcW w:w="2380" w:type="dxa"/>
            <w:noWrap/>
            <w:hideMark/>
          </w:tcPr>
          <w:p w14:paraId="1D69F280" w14:textId="38D8A956" w:rsidR="00E307DA" w:rsidRPr="00E307DA" w:rsidRDefault="00E307DA" w:rsidP="00E307DA">
            <w:pPr>
              <w:jc w:val="both"/>
            </w:pPr>
            <w:r w:rsidRPr="00E307DA">
              <w:t>33.9</w:t>
            </w:r>
            <w:r w:rsidR="008E2A37">
              <w:t>s</w:t>
            </w:r>
          </w:p>
        </w:tc>
        <w:tc>
          <w:tcPr>
            <w:tcW w:w="2180" w:type="dxa"/>
            <w:noWrap/>
            <w:hideMark/>
          </w:tcPr>
          <w:p w14:paraId="0488D2F3" w14:textId="61637864" w:rsidR="00E307DA" w:rsidRPr="00E307DA" w:rsidRDefault="00E307DA" w:rsidP="00E307DA">
            <w:pPr>
              <w:jc w:val="both"/>
            </w:pPr>
            <w:r w:rsidRPr="00E307DA">
              <w:t>59.75</w:t>
            </w:r>
            <w:r w:rsidR="008E2A37">
              <w:t>s</w:t>
            </w:r>
          </w:p>
        </w:tc>
        <w:tc>
          <w:tcPr>
            <w:tcW w:w="2160" w:type="dxa"/>
            <w:noWrap/>
            <w:hideMark/>
          </w:tcPr>
          <w:p w14:paraId="10115B78" w14:textId="74EC6C03" w:rsidR="00E307DA" w:rsidRPr="00E307DA" w:rsidRDefault="00E307DA" w:rsidP="00E307DA">
            <w:pPr>
              <w:jc w:val="both"/>
            </w:pPr>
            <w:r w:rsidRPr="00E307DA">
              <w:t>83.23</w:t>
            </w:r>
            <w:r w:rsidR="008E2A37">
              <w:t>s</w:t>
            </w:r>
          </w:p>
        </w:tc>
      </w:tr>
    </w:tbl>
    <w:p w14:paraId="7700AE82" w14:textId="3A30CB8F" w:rsidR="00D73BC0" w:rsidRDefault="00E307DA" w:rsidP="00826E4E">
      <w:pPr>
        <w:jc w:val="both"/>
      </w:pPr>
      <w:r>
        <w:rPr>
          <w:noProof/>
          <w:lang w:eastAsia="en-US"/>
        </w:rPr>
        <w:drawing>
          <wp:inline distT="0" distB="0" distL="0" distR="0" wp14:anchorId="7CFDFF38" wp14:editId="05393C9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D73BC0" w:rsidSect="006469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C14"/>
    <w:multiLevelType w:val="hybridMultilevel"/>
    <w:tmpl w:val="7B0AAF9A"/>
    <w:lvl w:ilvl="0" w:tplc="94B6AC1E">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70CE9"/>
    <w:multiLevelType w:val="hybridMultilevel"/>
    <w:tmpl w:val="6B5AB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49"/>
    <w:rsid w:val="00042175"/>
    <w:rsid w:val="000F43B4"/>
    <w:rsid w:val="00116C15"/>
    <w:rsid w:val="001327D9"/>
    <w:rsid w:val="001661BE"/>
    <w:rsid w:val="00180B1A"/>
    <w:rsid w:val="001A2065"/>
    <w:rsid w:val="001A24FA"/>
    <w:rsid w:val="001F7142"/>
    <w:rsid w:val="002317DF"/>
    <w:rsid w:val="00295408"/>
    <w:rsid w:val="002A60E5"/>
    <w:rsid w:val="00301107"/>
    <w:rsid w:val="00347A6B"/>
    <w:rsid w:val="00395C91"/>
    <w:rsid w:val="003D6274"/>
    <w:rsid w:val="003E33E8"/>
    <w:rsid w:val="003E46BC"/>
    <w:rsid w:val="003F3B18"/>
    <w:rsid w:val="00463ECE"/>
    <w:rsid w:val="0048755A"/>
    <w:rsid w:val="004A7A53"/>
    <w:rsid w:val="004C610F"/>
    <w:rsid w:val="004D5780"/>
    <w:rsid w:val="004E1B4C"/>
    <w:rsid w:val="00511CA0"/>
    <w:rsid w:val="00525CA3"/>
    <w:rsid w:val="005F0AAB"/>
    <w:rsid w:val="00641B3B"/>
    <w:rsid w:val="006469F8"/>
    <w:rsid w:val="00647802"/>
    <w:rsid w:val="00676D07"/>
    <w:rsid w:val="00684BCF"/>
    <w:rsid w:val="00686E75"/>
    <w:rsid w:val="006A1754"/>
    <w:rsid w:val="006F5471"/>
    <w:rsid w:val="00714C53"/>
    <w:rsid w:val="007623F9"/>
    <w:rsid w:val="007768BC"/>
    <w:rsid w:val="007A0E0A"/>
    <w:rsid w:val="007C18AE"/>
    <w:rsid w:val="007F1DBD"/>
    <w:rsid w:val="00807FDC"/>
    <w:rsid w:val="0081167F"/>
    <w:rsid w:val="00826E4E"/>
    <w:rsid w:val="0084300E"/>
    <w:rsid w:val="00845555"/>
    <w:rsid w:val="00896C04"/>
    <w:rsid w:val="008A243B"/>
    <w:rsid w:val="008B06BB"/>
    <w:rsid w:val="008E2A37"/>
    <w:rsid w:val="008E6B49"/>
    <w:rsid w:val="0090387E"/>
    <w:rsid w:val="0090549B"/>
    <w:rsid w:val="0090790C"/>
    <w:rsid w:val="009225A9"/>
    <w:rsid w:val="00960A42"/>
    <w:rsid w:val="009622B5"/>
    <w:rsid w:val="009778D0"/>
    <w:rsid w:val="00982FB5"/>
    <w:rsid w:val="00A513D5"/>
    <w:rsid w:val="00A822DA"/>
    <w:rsid w:val="00A860E3"/>
    <w:rsid w:val="00AB0D25"/>
    <w:rsid w:val="00AD2751"/>
    <w:rsid w:val="00AD7E55"/>
    <w:rsid w:val="00B014DB"/>
    <w:rsid w:val="00B4234A"/>
    <w:rsid w:val="00B46C7F"/>
    <w:rsid w:val="00B764A6"/>
    <w:rsid w:val="00B94E91"/>
    <w:rsid w:val="00BD52FC"/>
    <w:rsid w:val="00BE40DB"/>
    <w:rsid w:val="00C12604"/>
    <w:rsid w:val="00C3614A"/>
    <w:rsid w:val="00C73EC6"/>
    <w:rsid w:val="00CA327D"/>
    <w:rsid w:val="00CA499B"/>
    <w:rsid w:val="00CA7218"/>
    <w:rsid w:val="00D16F3C"/>
    <w:rsid w:val="00D24027"/>
    <w:rsid w:val="00D67560"/>
    <w:rsid w:val="00D73BC0"/>
    <w:rsid w:val="00D814A9"/>
    <w:rsid w:val="00E15D57"/>
    <w:rsid w:val="00E307DA"/>
    <w:rsid w:val="00E4069C"/>
    <w:rsid w:val="00EA7BEF"/>
    <w:rsid w:val="00EB2E25"/>
    <w:rsid w:val="00EC56CE"/>
    <w:rsid w:val="00F257A4"/>
    <w:rsid w:val="00F403D9"/>
    <w:rsid w:val="00F94AB8"/>
    <w:rsid w:val="00FD1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B477"/>
  <w15:chartTrackingRefBased/>
  <w15:docId w15:val="{4F384BCF-2E58-4846-908E-A82BF665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80E"/>
    <w:pPr>
      <w:ind w:left="720"/>
      <w:contextualSpacing/>
    </w:pPr>
  </w:style>
  <w:style w:type="table" w:styleId="TableGrid">
    <w:name w:val="Table Grid"/>
    <w:basedOn w:val="TableNormal"/>
    <w:uiPriority w:val="39"/>
    <w:rsid w:val="00E3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5810">
      <w:bodyDiv w:val="1"/>
      <w:marLeft w:val="0"/>
      <w:marRight w:val="0"/>
      <w:marTop w:val="0"/>
      <w:marBottom w:val="0"/>
      <w:divBdr>
        <w:top w:val="none" w:sz="0" w:space="0" w:color="auto"/>
        <w:left w:val="none" w:sz="0" w:space="0" w:color="auto"/>
        <w:bottom w:val="none" w:sz="0" w:space="0" w:color="auto"/>
        <w:right w:val="none" w:sz="0" w:space="0" w:color="auto"/>
      </w:divBdr>
    </w:div>
    <w:div w:id="474028645">
      <w:bodyDiv w:val="1"/>
      <w:marLeft w:val="0"/>
      <w:marRight w:val="0"/>
      <w:marTop w:val="0"/>
      <w:marBottom w:val="0"/>
      <w:divBdr>
        <w:top w:val="none" w:sz="0" w:space="0" w:color="auto"/>
        <w:left w:val="none" w:sz="0" w:space="0" w:color="auto"/>
        <w:bottom w:val="none" w:sz="0" w:space="0" w:color="auto"/>
        <w:right w:val="none" w:sz="0" w:space="0" w:color="auto"/>
      </w:divBdr>
    </w:div>
    <w:div w:id="101419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Sheet1!$A$16</c:f>
              <c:strCache>
                <c:ptCount val="1"/>
                <c:pt idx="0">
                  <c:v>1</c:v>
                </c:pt>
              </c:strCache>
            </c:strRef>
          </c:tx>
          <c:spPr>
            <a:ln w="28575" cap="rnd">
              <a:solidFill>
                <a:schemeClr val="accent2"/>
              </a:solidFill>
              <a:round/>
            </a:ln>
            <a:effectLst/>
          </c:spPr>
          <c:marker>
            <c:symbol val="none"/>
          </c:marker>
          <c:cat>
            <c:numRef>
              <c:f>Sheet1!$B$15:$D$15</c:f>
              <c:numCache>
                <c:formatCode>General</c:formatCode>
                <c:ptCount val="3"/>
                <c:pt idx="0">
                  <c:v>1000</c:v>
                </c:pt>
                <c:pt idx="1">
                  <c:v>1500</c:v>
                </c:pt>
                <c:pt idx="2">
                  <c:v>2000</c:v>
                </c:pt>
              </c:numCache>
            </c:numRef>
          </c:cat>
          <c:val>
            <c:numRef>
              <c:f>Sheet1!$B$16:$D$16</c:f>
              <c:numCache>
                <c:formatCode>General</c:formatCode>
                <c:ptCount val="3"/>
                <c:pt idx="0">
                  <c:v>39.405999999999999</c:v>
                </c:pt>
                <c:pt idx="1">
                  <c:v>67.37</c:v>
                </c:pt>
                <c:pt idx="2">
                  <c:v>146</c:v>
                </c:pt>
              </c:numCache>
            </c:numRef>
          </c:val>
          <c:smooth val="0"/>
          <c:extLst>
            <c:ext xmlns:c16="http://schemas.microsoft.com/office/drawing/2014/chart" uri="{C3380CC4-5D6E-409C-BE32-E72D297353CC}">
              <c16:uniqueId val="{00000000-4D0F-48B0-9445-7C95610F0A59}"/>
            </c:ext>
          </c:extLst>
        </c:ser>
        <c:ser>
          <c:idx val="2"/>
          <c:order val="2"/>
          <c:tx>
            <c:strRef>
              <c:f>Sheet1!$A$18</c:f>
              <c:strCache>
                <c:ptCount val="1"/>
                <c:pt idx="0">
                  <c:v>2</c:v>
                </c:pt>
              </c:strCache>
            </c:strRef>
          </c:tx>
          <c:spPr>
            <a:ln w="28575" cap="rnd">
              <a:solidFill>
                <a:schemeClr val="accent6"/>
              </a:solidFill>
              <a:round/>
            </a:ln>
            <a:effectLst/>
          </c:spPr>
          <c:marker>
            <c:symbol val="none"/>
          </c:marker>
          <c:cat>
            <c:numRef>
              <c:f>Sheet1!$B$15:$D$15</c:f>
              <c:numCache>
                <c:formatCode>General</c:formatCode>
                <c:ptCount val="3"/>
                <c:pt idx="0">
                  <c:v>1000</c:v>
                </c:pt>
                <c:pt idx="1">
                  <c:v>1500</c:v>
                </c:pt>
                <c:pt idx="2">
                  <c:v>2000</c:v>
                </c:pt>
              </c:numCache>
            </c:numRef>
          </c:cat>
          <c:val>
            <c:numRef>
              <c:f>Sheet1!$B$18:$D$18</c:f>
              <c:numCache>
                <c:formatCode>General</c:formatCode>
                <c:ptCount val="3"/>
                <c:pt idx="0">
                  <c:v>38.133000000000003</c:v>
                </c:pt>
                <c:pt idx="1">
                  <c:v>55.21</c:v>
                </c:pt>
                <c:pt idx="2">
                  <c:v>97.813000000000002</c:v>
                </c:pt>
              </c:numCache>
            </c:numRef>
          </c:val>
          <c:smooth val="0"/>
          <c:extLst>
            <c:ext xmlns:c16="http://schemas.microsoft.com/office/drawing/2014/chart" uri="{C3380CC4-5D6E-409C-BE32-E72D297353CC}">
              <c16:uniqueId val="{00000001-4D0F-48B0-9445-7C95610F0A59}"/>
            </c:ext>
          </c:extLst>
        </c:ser>
        <c:ser>
          <c:idx val="4"/>
          <c:order val="4"/>
          <c:tx>
            <c:strRef>
              <c:f>Sheet1!$A$20</c:f>
              <c:strCache>
                <c:ptCount val="1"/>
                <c:pt idx="0">
                  <c:v>4</c:v>
                </c:pt>
              </c:strCache>
            </c:strRef>
          </c:tx>
          <c:spPr>
            <a:ln w="28575" cap="rnd">
              <a:solidFill>
                <a:schemeClr val="accent5"/>
              </a:solidFill>
              <a:round/>
            </a:ln>
            <a:effectLst/>
          </c:spPr>
          <c:marker>
            <c:symbol val="none"/>
          </c:marker>
          <c:cat>
            <c:numRef>
              <c:f>Sheet1!$B$15:$D$15</c:f>
              <c:numCache>
                <c:formatCode>General</c:formatCode>
                <c:ptCount val="3"/>
                <c:pt idx="0">
                  <c:v>1000</c:v>
                </c:pt>
                <c:pt idx="1">
                  <c:v>1500</c:v>
                </c:pt>
                <c:pt idx="2">
                  <c:v>2000</c:v>
                </c:pt>
              </c:numCache>
            </c:numRef>
          </c:cat>
          <c:val>
            <c:numRef>
              <c:f>Sheet1!$B$20:$D$20</c:f>
              <c:numCache>
                <c:formatCode>General</c:formatCode>
                <c:ptCount val="3"/>
                <c:pt idx="0">
                  <c:v>34.4</c:v>
                </c:pt>
                <c:pt idx="1">
                  <c:v>55.94</c:v>
                </c:pt>
                <c:pt idx="2">
                  <c:v>80.900000000000006</c:v>
                </c:pt>
              </c:numCache>
            </c:numRef>
          </c:val>
          <c:smooth val="0"/>
          <c:extLst>
            <c:ext xmlns:c16="http://schemas.microsoft.com/office/drawing/2014/chart" uri="{C3380CC4-5D6E-409C-BE32-E72D297353CC}">
              <c16:uniqueId val="{00000002-4D0F-48B0-9445-7C95610F0A59}"/>
            </c:ext>
          </c:extLst>
        </c:ser>
        <c:dLbls>
          <c:showLegendKey val="0"/>
          <c:showVal val="0"/>
          <c:showCatName val="0"/>
          <c:showSerName val="0"/>
          <c:showPercent val="0"/>
          <c:showBubbleSize val="0"/>
        </c:dLbls>
        <c:smooth val="0"/>
        <c:axId val="424430216"/>
        <c:axId val="424431856"/>
        <c:extLst>
          <c:ext xmlns:c15="http://schemas.microsoft.com/office/drawing/2012/chart" uri="{02D57815-91ED-43cb-92C2-25804820EDAC}">
            <c15:filteredLineSeries>
              <c15:ser>
                <c:idx val="1"/>
                <c:order val="1"/>
                <c:tx>
                  <c:strRef>
                    <c:extLst>
                      <c:ext uri="{02D57815-91ED-43cb-92C2-25804820EDAC}">
                        <c15:formulaRef>
                          <c15:sqref>Sheet1!$A$17</c15:sqref>
                        </c15:formulaRef>
                      </c:ext>
                    </c:extLst>
                    <c:strCache>
                      <c:ptCount val="1"/>
                      <c:pt idx="0">
                        <c:v>1</c:v>
                      </c:pt>
                    </c:strCache>
                  </c:strRef>
                </c:tx>
                <c:spPr>
                  <a:ln w="28575" cap="rnd">
                    <a:solidFill>
                      <a:schemeClr val="accent2"/>
                    </a:solidFill>
                    <a:round/>
                  </a:ln>
                  <a:effectLst/>
                </c:spPr>
                <c:marker>
                  <c:symbol val="none"/>
                </c:marker>
                <c:cat>
                  <c:numRef>
                    <c:extLst>
                      <c:ext uri="{02D57815-91ED-43cb-92C2-25804820EDAC}">
                        <c15:formulaRef>
                          <c15:sqref>Sheet1!$B$15:$D$15</c15:sqref>
                        </c15:formulaRef>
                      </c:ext>
                    </c:extLst>
                    <c:numCache>
                      <c:formatCode>General</c:formatCode>
                      <c:ptCount val="3"/>
                      <c:pt idx="0">
                        <c:v>1000</c:v>
                      </c:pt>
                      <c:pt idx="1">
                        <c:v>1500</c:v>
                      </c:pt>
                      <c:pt idx="2">
                        <c:v>2000</c:v>
                      </c:pt>
                    </c:numCache>
                  </c:numRef>
                </c:cat>
                <c:val>
                  <c:numRef>
                    <c:extLst>
                      <c:ext uri="{02D57815-91ED-43cb-92C2-25804820EDAC}">
                        <c15:formulaRef>
                          <c15:sqref>Sheet1!$B$17:$D$17</c15:sqref>
                        </c15:formulaRef>
                      </c:ext>
                    </c:extLst>
                    <c:numCache>
                      <c:formatCode>General</c:formatCode>
                      <c:ptCount val="3"/>
                      <c:pt idx="0">
                        <c:v>38.4</c:v>
                      </c:pt>
                      <c:pt idx="1">
                        <c:v>65.099999999999994</c:v>
                      </c:pt>
                      <c:pt idx="2">
                        <c:v>144.19999999999999</c:v>
                      </c:pt>
                    </c:numCache>
                  </c:numRef>
                </c:val>
                <c:smooth val="0"/>
                <c:extLst>
                  <c:ext xmlns:c16="http://schemas.microsoft.com/office/drawing/2014/chart" uri="{C3380CC4-5D6E-409C-BE32-E72D297353CC}">
                    <c16:uniqueId val="{00000003-4D0F-48B0-9445-7C95610F0A59}"/>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Sheet1!$A$19</c15:sqref>
                        </c15:formulaRef>
                      </c:ext>
                    </c:extLst>
                    <c:strCache>
                      <c:ptCount val="1"/>
                      <c:pt idx="0">
                        <c:v>2</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Sheet1!$B$15:$D$15</c15:sqref>
                        </c15:formulaRef>
                      </c:ext>
                    </c:extLst>
                    <c:numCache>
                      <c:formatCode>General</c:formatCode>
                      <c:ptCount val="3"/>
                      <c:pt idx="0">
                        <c:v>1000</c:v>
                      </c:pt>
                      <c:pt idx="1">
                        <c:v>1500</c:v>
                      </c:pt>
                      <c:pt idx="2">
                        <c:v>2000</c:v>
                      </c:pt>
                    </c:numCache>
                  </c:numRef>
                </c:cat>
                <c:val>
                  <c:numRef>
                    <c:extLst xmlns:c15="http://schemas.microsoft.com/office/drawing/2012/chart">
                      <c:ext xmlns:c15="http://schemas.microsoft.com/office/drawing/2012/chart" uri="{02D57815-91ED-43cb-92C2-25804820EDAC}">
                        <c15:formulaRef>
                          <c15:sqref>Sheet1!$B$19:$D$19</c15:sqref>
                        </c15:formulaRef>
                      </c:ext>
                    </c:extLst>
                    <c:numCache>
                      <c:formatCode>General</c:formatCode>
                      <c:ptCount val="3"/>
                      <c:pt idx="0">
                        <c:v>39.799999999999997</c:v>
                      </c:pt>
                      <c:pt idx="1">
                        <c:v>54.7</c:v>
                      </c:pt>
                      <c:pt idx="2">
                        <c:v>101.967</c:v>
                      </c:pt>
                    </c:numCache>
                  </c:numRef>
                </c:val>
                <c:smooth val="0"/>
                <c:extLst xmlns:c15="http://schemas.microsoft.com/office/drawing/2012/chart">
                  <c:ext xmlns:c16="http://schemas.microsoft.com/office/drawing/2014/chart" uri="{C3380CC4-5D6E-409C-BE32-E72D297353CC}">
                    <c16:uniqueId val="{00000004-4D0F-48B0-9445-7C95610F0A59}"/>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Sheet1!$A$21</c15:sqref>
                        </c15:formulaRef>
                      </c:ext>
                    </c:extLst>
                    <c:strCache>
                      <c:ptCount val="1"/>
                      <c:pt idx="0">
                        <c:v>4</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Sheet1!$B$15:$D$15</c15:sqref>
                        </c15:formulaRef>
                      </c:ext>
                    </c:extLst>
                    <c:numCache>
                      <c:formatCode>General</c:formatCode>
                      <c:ptCount val="3"/>
                      <c:pt idx="0">
                        <c:v>1000</c:v>
                      </c:pt>
                      <c:pt idx="1">
                        <c:v>1500</c:v>
                      </c:pt>
                      <c:pt idx="2">
                        <c:v>2000</c:v>
                      </c:pt>
                    </c:numCache>
                  </c:numRef>
                </c:cat>
                <c:val>
                  <c:numRef>
                    <c:extLst xmlns:c15="http://schemas.microsoft.com/office/drawing/2012/chart">
                      <c:ext xmlns:c15="http://schemas.microsoft.com/office/drawing/2012/chart" uri="{02D57815-91ED-43cb-92C2-25804820EDAC}">
                        <c15:formulaRef>
                          <c15:sqref>Sheet1!$B$21:$D$21</c15:sqref>
                        </c15:formulaRef>
                      </c:ext>
                    </c:extLst>
                    <c:numCache>
                      <c:formatCode>General</c:formatCode>
                      <c:ptCount val="3"/>
                      <c:pt idx="0">
                        <c:v>33.9</c:v>
                      </c:pt>
                      <c:pt idx="1">
                        <c:v>59.75</c:v>
                      </c:pt>
                      <c:pt idx="2">
                        <c:v>83.23</c:v>
                      </c:pt>
                    </c:numCache>
                  </c:numRef>
                </c:val>
                <c:smooth val="0"/>
                <c:extLst xmlns:c15="http://schemas.microsoft.com/office/drawing/2012/chart">
                  <c:ext xmlns:c16="http://schemas.microsoft.com/office/drawing/2014/chart" uri="{C3380CC4-5D6E-409C-BE32-E72D297353CC}">
                    <c16:uniqueId val="{00000005-4D0F-48B0-9445-7C95610F0A59}"/>
                  </c:ext>
                </c:extLst>
              </c15:ser>
            </c15:filteredLineSeries>
          </c:ext>
        </c:extLst>
      </c:lineChart>
      <c:catAx>
        <c:axId val="424430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431856"/>
        <c:crosses val="autoZero"/>
        <c:auto val="1"/>
        <c:lblAlgn val="ctr"/>
        <c:lblOffset val="100"/>
        <c:noMultiLvlLbl val="0"/>
      </c:catAx>
      <c:valAx>
        <c:axId val="42443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430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vn5945</dc:creator>
  <cp:keywords/>
  <dc:description/>
  <cp:lastModifiedBy>zw255</cp:lastModifiedBy>
  <cp:revision>93</cp:revision>
  <dcterms:created xsi:type="dcterms:W3CDTF">2022-04-01T23:58:00Z</dcterms:created>
  <dcterms:modified xsi:type="dcterms:W3CDTF">2022-04-02T03:30:00Z</dcterms:modified>
</cp:coreProperties>
</file>