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rFonts w:hint="default"/>
          <w:sz w:val="21"/>
          <w:szCs w:val="21"/>
        </w:rPr>
        <w:t>日志配置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改为自己需要的路径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="/Users/jyking/project/logs"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bookmarkStart w:id="1" w:name="_GoBack"/>
      <w:bookmarkEnd w:id="1"/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25pt;width:90.75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iPriority w:val="99"/>
    <w:rPr>
      <w:b/>
      <w:bCs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uiPriority w:val="99"/>
    <w:rPr>
      <w:rFonts w:cs="Times New Roman"/>
    </w:rPr>
  </w:style>
  <w:style w:type="character" w:styleId="15">
    <w:name w:val="Hyperlink"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uiPriority w:val="99"/>
    <w:rPr>
      <w:sz w:val="18"/>
      <w:szCs w:val="18"/>
    </w:rPr>
  </w:style>
  <w:style w:type="character" w:customStyle="1" w:styleId="21">
    <w:name w:val="页脚 Char"/>
    <w:link w:val="8"/>
    <w:semiHidden/>
    <w:uiPriority w:val="99"/>
    <w:rPr>
      <w:sz w:val="18"/>
      <w:szCs w:val="18"/>
    </w:rPr>
  </w:style>
  <w:style w:type="character" w:customStyle="1" w:styleId="22">
    <w:name w:val="批注框文本 Char"/>
    <w:link w:val="7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jyking</cp:lastModifiedBy>
  <dcterms:modified xsi:type="dcterms:W3CDTF">2019-06-13T08:44:42Z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