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0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SWTID1741244655155015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Araha Cookbook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</w:t>
      </w:r>
      <w:r>
        <w:rPr>
          <w:rFonts w:cs="Calibri" w:eastAsia="Calibri" w:hAnsi="Calibri"/>
          <w:lang w:val="en-US"/>
        </w:rPr>
        <w:t xml:space="preserve">Araha Cookbook 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Project Description: </w:t>
      </w:r>
      <w:r>
        <w:rPr>
          <w:rFonts w:ascii="Calibri" w:cs="Calibri" w:eastAsia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Recipe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Recipe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Recipes by Ingredients, Cuisine, and Meal Type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Recipe Details with Cooking Instructions &amp; Nutritional Info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</w:rPr>
        <w:t>Searching &amp; Viewing Recipes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Recipes by Ingredients, Cuisine, and Dietary Preferences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Recipe Details with Step-by-Step Instructions &amp; Nutritional Facts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1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Homepage should display popular recipes and search functionality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Enter a recipe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Matching recipes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View Recipe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Click on a recipe 2. View details (ingredients, instructions, nutritional facts)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Recipe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1.Search for a recipe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Select a filter option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098">
    <w:basedOn w:val="style105"/>
    <w:next w:val="style4098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357</Words>
  <Characters>2067</Characters>
  <Application>WPS Office</Application>
  <Paragraphs>100</Paragraphs>
  <CharactersWithSpaces>2352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CPH1937</lastModifiedBy>
  <dcterms:modified xsi:type="dcterms:W3CDTF">2025-03-11T00:31:26Z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bb00645460c74c5593c16812a77a153d</vt:lpwstr>
  </property>
</Properties>
</file>