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для руководства</w:t>
      </w:r>
    </w:p>
    <w:p>
      <w:pPr>
        <w:pStyle w:val="Subtitle"/>
      </w:pPr>
      <w:r>
        <w:t>Автоматический генератор</w:t>
      </w:r>
    </w:p>
    <w:p>
      <w:pPr>
        <w:pStyle w:val="Title"/>
      </w:pPr>
      <w:r>
        <w:t>Оглавление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Обновите оглавление в Word: Ctrl+A → F9</w:t>
      </w:r>
      <w:r>
        <w:fldChar w:fldCharType="end"/>
      </w:r>
    </w:p>
    <w:p>
      <w:r>
        <w:br w:type="page"/>
      </w:r>
    </w:p>
    <w:p>
      <w:pPr>
        <w:pStyle w:val="Heading1"/>
      </w:pPr>
      <w:r>
        <w:t>1. Введение</w:t>
      </w:r>
    </w:p>
    <w:p>
      <w:pPr/>
      <w:r>
        <w:rPr>
          <w:b w:val="0"/>
          <w:i w:val="0"/>
        </w:rPr>
        <w:t>В данном отчёте представлена сводка текущего состояния проектов и ключевых показателей компании.</w:t>
      </w:r>
    </w:p>
    <w:p>
      <w:pPr>
        <w:pStyle w:val="Heading1"/>
      </w:pPr>
      <w:r>
        <w:t>2. Ключевые показатели</w:t>
      </w:r>
    </w:p>
    <w:p>
      <w:pPr/>
      <w:r>
        <w:rPr>
          <w:b w:val="0"/>
          <w:i w:val="0"/>
        </w:rPr>
        <w:t>Ниже представлены основные финансовые и операционные показатели за текущий квартал.</w:t>
      </w:r>
    </w:p>
    <w:p>
      <w:pPr>
        <w:pStyle w:val="Heading2"/>
      </w:pPr>
      <w:r>
        <w:t>2.1 Финансовые показатели</w:t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2592"/>
        <w:gridCol w:w="2592"/>
      </w:tblGrid>
      <w:tr>
        <w:trPr>
          <w:cantSplit/>
          <w:tblHeader w:val="true"/>
        </w:trPr>
        <w:tc>
          <w:tcPr>
            <w:tcW w:type="dxa" w:w="3456"/>
            <w:shd w:fill="DCE7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592"/>
            <w:shd w:fill="DCE7F5"/>
          </w:tcPr>
          <w:p>
            <w:r>
              <w:rPr>
                <w:b/>
              </w:rPr>
              <w:t>Текущее значение</w:t>
            </w:r>
          </w:p>
        </w:tc>
        <w:tc>
          <w:tcPr>
            <w:tcW w:type="dxa" w:w="2592"/>
            <w:shd w:fill="DCE7F5"/>
          </w:tcPr>
          <w:p>
            <w:r>
              <w:rPr>
                <w:b/>
              </w:rPr>
              <w:t>Целевое значение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jc w:val="left"/>
            </w:pPr>
            <w:r>
              <w:rPr>
                <w:b w:val="0"/>
                <w:i w:val="0"/>
              </w:rPr>
              <w:t>Выручка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rPr>
                <w:b w:val="0"/>
                <w:i w:val="0"/>
              </w:rPr>
              <w:t>100 млн ₽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rPr>
                <w:b w:val="0"/>
                <w:i w:val="0"/>
              </w:rPr>
              <w:t>120 млн ₽</w:t>
            </w:r>
          </w:p>
        </w:tc>
      </w:tr>
      <w:tr>
        <w:trPr>
          <w:cantSplit/>
        </w:trPr>
        <w:tc>
          <w:tcPr>
            <w:tcW w:type="dxa" w:w="3456"/>
            <w:shd w:fill="F4F5F7"/>
          </w:tcPr>
          <w:p>
            <w:pPr>
              <w:jc w:val="left"/>
            </w:pPr>
            <w:r>
              <w:rPr>
                <w:b w:val="0"/>
                <w:i w:val="0"/>
              </w:rPr>
              <w:t>Прибыль</w:t>
            </w:r>
          </w:p>
        </w:tc>
        <w:tc>
          <w:tcPr>
            <w:tcW w:type="dxa" w:w="2592"/>
            <w:shd w:fill="F4F5F7"/>
          </w:tcPr>
          <w:p>
            <w:pPr>
              <w:jc w:val="right"/>
            </w:pPr>
            <w:r>
              <w:rPr>
                <w:b w:val="0"/>
                <w:i w:val="0"/>
              </w:rPr>
              <w:t>15 млн ₽</w:t>
            </w:r>
          </w:p>
        </w:tc>
        <w:tc>
          <w:tcPr>
            <w:tcW w:type="dxa" w:w="2592"/>
            <w:shd w:fill="F4F5F7"/>
          </w:tcPr>
          <w:p>
            <w:pPr>
              <w:jc w:val="right"/>
            </w:pPr>
            <w:r>
              <w:rPr>
                <w:b w:val="0"/>
                <w:i w:val="0"/>
              </w:rPr>
              <w:t>18 млн ₽</w:t>
            </w:r>
          </w:p>
        </w:tc>
      </w:tr>
    </w:tbl>
    <w:p>
      <w:pPr>
        <w:pStyle w:val="Heading2"/>
      </w:pPr>
      <w:r>
        <w:t>2.2 Операционные показатели</w:t>
      </w:r>
    </w:p>
    <w:p>
      <w:pPr/>
      <w:r>
        <w:rPr>
          <w:b w:val="0"/>
          <w:i w:val="0"/>
        </w:rPr>
        <w:t>Среди операционных показателей отмечается рост эффективности процессов.</w:t>
      </w:r>
    </w:p>
    <w:p>
      <w:pPr>
        <w:pStyle w:val="Heading1"/>
      </w:pPr>
      <w:r>
        <w:t>3. Рекомендации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/>
            <w:tcBorders>
              <w:left w:val="single" w:sz="24" w:color="2563EB"/>
              <w:top w:val="nil"/>
              <w:right w:val="nil"/>
              <w:bottom w:val="nil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/>
            <w:r>
              <w:rPr>
                <w:b/>
              </w:rPr>
              <w:t>Важное</w:t>
            </w:r>
          </w:p>
          <w:p>
            <w:r>
              <w:t>Необходимо сосредоточить усилия на увеличении выручки до целевого уровня к следующему кварталу.</w:t>
            </w:r>
          </w:p>
        </w:tc>
      </w:tr>
    </w:tbl>
    <w:p/>
    <w:p>
      <w:pPr/>
      <w:r>
        <w:rPr>
          <w:b w:val="0"/>
          <w:i w:val="0"/>
        </w:rPr>
        <w:t>Для достижения целевых показателей рекомендуется:</w:t>
      </w:r>
    </w:p>
    <w:p>
      <w:pPr/>
      <w:r>
        <w:rPr>
          <w:b w:val="0"/>
          <w:i w:val="0"/>
        </w:rPr>
        <w:t>1. Увеличить маркетинговые инвестиции; 2. Оптимизировать цепочку поставок; 3. Внедрить автоматизацию отчётности.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из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для руководства</dc:title>
  <dc:subject/>
  <dc:creator>Автоматический генератор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