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Демонстрационный аналитический отчёт</w:t>
      </w:r>
    </w:p>
    <w:p>
      <w:pPr>
        <w:pStyle w:val="Subtitle"/>
      </w:pPr>
      <w:r>
        <w:t>Docx Agent</w:t>
      </w:r>
    </w:p>
    <w:p>
      <w:pPr>
        <w:pStyle w:val="Title"/>
      </w:pPr>
      <w:r>
        <w:t>Оглавление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Обновите оглавление в Word: Ctrl+A → F9</w:t>
      </w:r>
      <w:r>
        <w:fldChar w:fldCharType="end"/>
      </w:r>
    </w:p>
    <w:p>
      <w:r>
        <w:br w:type="page"/>
      </w:r>
    </w:p>
    <w:p>
      <w:pPr>
        <w:pStyle w:val="Heading1"/>
      </w:pPr>
      <w:r>
        <w:t>Обзор</w:t>
      </w:r>
    </w:p>
    <w:p>
      <w:pPr/>
      <w:r>
        <w:rPr>
          <w:b w:val="0"/>
          <w:i w:val="0"/>
        </w:rPr>
        <w:t>Пример автоматически сформированного документа с таблицей, формулой и информационной врезкой.</w:t>
      </w:r>
    </w:p>
    <w:p>
      <w:pPr>
        <w:jc w:val="center"/>
      </w:pPr>
      <m:oMathPara>
        <m:oMath xmlns:ml="http://www.w3.org/1998/Math/MathML"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left w:val="single" w:sz="24" w:color="2563EB"/>
              <w:top w:val="nil"/>
              <w:right w:val="nil"/>
              <w:bottom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b/>
              </w:rPr>
              <w:t>Примечание</w:t>
            </w:r>
          </w:p>
          <w:p>
            <w:r>
              <w:t>Все данные ниже демонстрационные.</w:t>
            </w:r>
          </w:p>
        </w:tc>
      </w:tr>
    </w:tbl>
    <w:p/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rPr>
          <w:cantSplit/>
          <w:tblHeader w:val="true"/>
        </w:trPr>
        <w:tc>
          <w:tcPr>
            <w:tcW w:type="dxa" w:w="4320"/>
            <w:shd w:fill="DCE7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  <w:shd w:fill="DCE7F5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  <w:shd w:fill="DCE7F5"/>
          </w:tcPr>
          <w:p>
            <w:r>
              <w:rPr>
                <w:b/>
              </w:rPr>
              <w:t>2026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</w:rPr>
              <w:t>Объём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i w:val="0"/>
              </w:rPr>
              <w:t>145</w:t>
            </w:r>
          </w:p>
        </w:tc>
      </w:tr>
      <w:tr>
        <w:trPr>
          <w:cantSplit/>
        </w:trPr>
        <w:tc>
          <w:tcPr>
            <w:tcW w:type="dxa" w:w="4320"/>
            <w:shd w:fill="F4F5F7"/>
          </w:tcPr>
          <w:p>
            <w:pPr>
              <w:jc w:val="left"/>
            </w:pPr>
            <w:r>
              <w:rPr>
                <w:b w:val="0"/>
                <w:i w:val="0"/>
              </w:rPr>
              <w:t>Темп роста</w:t>
            </w:r>
          </w:p>
        </w:tc>
        <w:tc>
          <w:tcPr>
            <w:tcW w:type="dxa" w:w="2160"/>
            <w:shd w:fill="F4F5F7"/>
          </w:tcPr>
          <w:p>
            <w:pPr>
              <w:jc w:val="left"/>
            </w:pPr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  <w:shd w:fill="F4F5F7"/>
          </w:tcPr>
          <w:p>
            <w:pPr>
              <w:jc w:val="left"/>
            </w:pPr>
            <w:r>
              <w:rPr>
                <w:b w:val="0"/>
                <w:i w:val="0"/>
              </w:rPr>
              <w:t>20,8 %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jc w:val="left"/>
            </w:pPr>
            <w:r>
              <w:rPr>
                <w:b w:val="0"/>
                <w:i w:val="0"/>
              </w:rPr>
              <w:t>Статус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i w:val="0"/>
              </w:rPr>
              <w:t>Базовый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i w:val="0"/>
              </w:rPr>
              <w:t>Плановый</w:t>
            </w:r>
          </w:p>
        </w:tc>
      </w:tr>
    </w:tbl>
    <w:p>
      <w:pPr>
        <w:pStyle w:val="Caption"/>
      </w:pPr>
      <w:r>
        <w:t>Таблица 1. Условные показатели</w:t>
      </w:r>
    </w:p>
    <w:p>
      <w:pPr>
        <w:pStyle w:val="Heading1"/>
      </w:pPr>
      <w:r>
        <w:t>Заключение</w:t>
      </w:r>
    </w:p>
    <w:p>
      <w:pPr/>
      <w:r>
        <w:rPr>
          <w:b w:val="0"/>
          <w:i w:val="0"/>
        </w:rPr>
        <w:t>Прототип успешно формирует основные элементы документа.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Демонстрационный аналитический отчёт</dc:title>
  <dc:subject/>
  <dc:creator>Docx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