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数学建模竞赛论文评审报告</w:t>
      </w:r>
    </w:p>
    <w:p>
      <w:pPr>
        <w:jc w:val="center"/>
      </w:pPr>
      <w:r>
        <w:rPr>
          <w:color w:val="646464"/>
          <w:sz w:val="28"/>
        </w:rPr>
        <w:t>——基于 CMCM Work 质量保障体系的系统性评估</w:t>
      </w:r>
    </w:p>
    <w:p>
      <w:pPr>
        <w:jc w:val="center"/>
      </w:pPr>
      <w:r>
        <w:rPr>
          <w:color w:val="505050"/>
          <w:sz w:val="20"/>
        </w:rPr>
        <w:t>评审日期：2026年08月01日</w:t>
        <w:br/>
        <w:t>论文题目：舰船烟幕遮蔽干扰优化（2026数模B题）</w:t>
        <w:br/>
        <w:t>论文页数：28页  |  评审框架：cmcm_work G1–G6 门控体系</w:t>
      </w:r>
    </w:p>
    <w:p>
      <w:r>
        <w:br w:type="page"/>
      </w:r>
    </w:p>
    <w:p>
      <w:pPr>
        <w:pStyle w:val="Heading1"/>
      </w:pPr>
      <w:r>
        <w:rPr>
          <w:rFonts w:ascii="黑体" w:hAnsi="黑体" w:eastAsia="黑体"/>
        </w:rPr>
        <w:t>一、总体评分</w:t>
      </w:r>
    </w:p>
    <w:p>
      <w:r>
        <w:rPr>
          <w:rFonts w:ascii="宋体" w:hAnsi="宋体" w:eastAsia="宋体"/>
          <w:b w:val="0"/>
          <w:sz w:val="22"/>
        </w:rPr>
        <w:t>以下评分依据 cmcm_work 技能体系中的六大质量门控（G1–G6）、paper-polisher 12点清单、quality-assurance-auditor 五大审计维度、以及 completeness/consistency/robustness 审计标准综合评定。</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r>
              <w:rPr>
                <w:b/>
                <w:color w:val="FFFFFF"/>
                <w:sz w:val="20"/>
              </w:rPr>
              <w:t>评审维度</w:t>
            </w:r>
          </w:p>
        </w:tc>
        <w:tc>
          <w:tcPr>
            <w:tcW w:type="dxa" w:w="1728"/>
            <w:shd w:fill="2F5496" w:val="clear"/>
          </w:tcPr>
          <w:p>
            <w:r>
              <w:rPr>
                <w:b/>
                <w:color w:val="FFFFFF"/>
                <w:sz w:val="20"/>
              </w:rPr>
              <w:t>权重</w:t>
            </w:r>
          </w:p>
        </w:tc>
        <w:tc>
          <w:tcPr>
            <w:tcW w:type="dxa" w:w="1728"/>
            <w:shd w:fill="2F5496" w:val="clear"/>
          </w:tcPr>
          <w:p>
            <w:r>
              <w:rPr>
                <w:b/>
                <w:color w:val="FFFFFF"/>
                <w:sz w:val="20"/>
              </w:rPr>
              <w:t>得分(百分制)</w:t>
            </w:r>
          </w:p>
        </w:tc>
        <w:tc>
          <w:tcPr>
            <w:tcW w:type="dxa" w:w="1728"/>
            <w:shd w:fill="2F5496" w:val="clear"/>
          </w:tcPr>
          <w:p>
            <w:r>
              <w:rPr>
                <w:b/>
                <w:color w:val="FFFFFF"/>
                <w:sz w:val="20"/>
              </w:rPr>
              <w:t>等级</w:t>
            </w:r>
          </w:p>
        </w:tc>
        <w:tc>
          <w:tcPr>
            <w:tcW w:type="dxa" w:w="1728"/>
            <w:shd w:fill="2F5496" w:val="clear"/>
          </w:tcPr>
          <w:p>
            <w:r>
              <w:rPr>
                <w:b/>
                <w:color w:val="FFFFFF"/>
                <w:sz w:val="20"/>
              </w:rPr>
              <w:t>关键判断</w:t>
            </w:r>
          </w:p>
        </w:tc>
      </w:tr>
      <w:tr>
        <w:tc>
          <w:tcPr>
            <w:tcW w:type="dxa" w:w="1728"/>
          </w:tcPr>
          <w:p>
            <w:r>
              <w:rPr>
                <w:sz w:val="18"/>
              </w:rPr>
              <w:t>问题建模与假设</w:t>
              <w:br/>
              <w:t>(G1–G2)</w:t>
            </w:r>
          </w:p>
        </w:tc>
        <w:tc>
          <w:tcPr>
            <w:tcW w:type="dxa" w:w="1728"/>
          </w:tcPr>
          <w:p>
            <w:r>
              <w:rPr>
                <w:sz w:val="18"/>
              </w:rPr>
              <w:t>20%</w:t>
            </w:r>
          </w:p>
        </w:tc>
        <w:tc>
          <w:tcPr>
            <w:tcW w:type="dxa" w:w="1728"/>
          </w:tcPr>
          <w:p>
            <w:r>
              <w:rPr>
                <w:sz w:val="18"/>
              </w:rPr>
              <w:t>85</w:t>
            </w:r>
          </w:p>
        </w:tc>
        <w:tc>
          <w:tcPr>
            <w:tcW w:type="dxa" w:w="1728"/>
          </w:tcPr>
          <w:p>
            <w:r>
              <w:rPr>
                <w:sz w:val="18"/>
              </w:rPr>
              <w:t>A（优秀）</w:t>
            </w:r>
          </w:p>
        </w:tc>
        <w:tc>
          <w:tcPr>
            <w:tcW w:type="dxa" w:w="1728"/>
          </w:tcPr>
          <w:p>
            <w:r>
              <w:rPr>
                <w:sz w:val="18"/>
              </w:rPr>
              <w:t>模型假设清晰分层（基础通用/问题专属），G1/S1/O0/U0 命名体系规范；不可行性证明严格（三重交叉验证）</w:t>
            </w:r>
          </w:p>
        </w:tc>
      </w:tr>
      <w:tr>
        <w:tc>
          <w:tcPr>
            <w:tcW w:type="dxa" w:w="1728"/>
          </w:tcPr>
          <w:p>
            <w:r>
              <w:rPr>
                <w:sz w:val="18"/>
              </w:rPr>
              <w:t>方法选择与基线</w:t>
              <w:br/>
              <w:t>(G2.5–G3)</w:t>
            </w:r>
          </w:p>
        </w:tc>
        <w:tc>
          <w:tcPr>
            <w:tcW w:type="dxa" w:w="1728"/>
          </w:tcPr>
          <w:p>
            <w:r>
              <w:rPr>
                <w:sz w:val="18"/>
              </w:rPr>
              <w:t>15%</w:t>
            </w:r>
          </w:p>
        </w:tc>
        <w:tc>
          <w:tcPr>
            <w:tcW w:type="dxa" w:w="1728"/>
          </w:tcPr>
          <w:p>
            <w:r>
              <w:rPr>
                <w:sz w:val="18"/>
              </w:rPr>
              <w:t>72</w:t>
            </w:r>
          </w:p>
        </w:tc>
        <w:tc>
          <w:tcPr>
            <w:tcW w:type="dxa" w:w="1728"/>
          </w:tcPr>
          <w:p>
            <w:r>
              <w:rPr>
                <w:sz w:val="18"/>
              </w:rPr>
              <w:t>B（良好）</w:t>
            </w:r>
          </w:p>
        </w:tc>
        <w:tc>
          <w:tcPr>
            <w:tcW w:type="dxa" w:w="1728"/>
          </w:tcPr>
          <w:p>
            <w:r>
              <w:rPr>
                <w:sz w:val="18"/>
              </w:rPr>
              <w:t>Q1 方法论严密，但 Q2–Q4 缺少显式 baseline 对比与方法卡片；MILP 描述偏简略</w:t>
            </w:r>
          </w:p>
        </w:tc>
      </w:tr>
      <w:tr>
        <w:tc>
          <w:tcPr>
            <w:tcW w:type="dxa" w:w="1728"/>
          </w:tcPr>
          <w:p>
            <w:r>
              <w:rPr>
                <w:sz w:val="18"/>
              </w:rPr>
              <w:t>结果质量与鲁棒性</w:t>
              <w:br/>
              <w:t>(G4)</w:t>
            </w:r>
          </w:p>
        </w:tc>
        <w:tc>
          <w:tcPr>
            <w:tcW w:type="dxa" w:w="1728"/>
          </w:tcPr>
          <w:p>
            <w:r>
              <w:rPr>
                <w:sz w:val="18"/>
              </w:rPr>
              <w:t>20%</w:t>
            </w:r>
          </w:p>
        </w:tc>
        <w:tc>
          <w:tcPr>
            <w:tcW w:type="dxa" w:w="1728"/>
          </w:tcPr>
          <w:p>
            <w:r>
              <w:rPr>
                <w:sz w:val="18"/>
              </w:rPr>
              <w:t>70</w:t>
            </w:r>
          </w:p>
        </w:tc>
        <w:tc>
          <w:tcPr>
            <w:tcW w:type="dxa" w:w="1728"/>
          </w:tcPr>
          <w:p>
            <w:r>
              <w:rPr>
                <w:sz w:val="18"/>
              </w:rPr>
              <w:t>B（良好）</w:t>
            </w:r>
          </w:p>
        </w:tc>
        <w:tc>
          <w:tcPr>
            <w:tcW w:type="dxa" w:w="1728"/>
          </w:tcPr>
          <w:p>
            <w:r>
              <w:rPr>
                <w:sz w:val="18"/>
              </w:rPr>
              <w:t>Q1 鲁棒性分析充分（±10% 扰动+临界翻转条件）；Q2–Q4 鲁棒性证据不足；T_exec=not_evaluated 暴露输入缺失</w:t>
            </w:r>
          </w:p>
        </w:tc>
      </w:tr>
      <w:tr>
        <w:tc>
          <w:tcPr>
            <w:tcW w:type="dxa" w:w="1728"/>
          </w:tcPr>
          <w:p>
            <w:r>
              <w:rPr>
                <w:sz w:val="18"/>
              </w:rPr>
              <w:t>论文写作与表达</w:t>
              <w:br/>
              <w:t>(G5)</w:t>
            </w:r>
          </w:p>
        </w:tc>
        <w:tc>
          <w:tcPr>
            <w:tcW w:type="dxa" w:w="1728"/>
          </w:tcPr>
          <w:p>
            <w:r>
              <w:rPr>
                <w:sz w:val="18"/>
              </w:rPr>
              <w:t>20%</w:t>
            </w:r>
          </w:p>
        </w:tc>
        <w:tc>
          <w:tcPr>
            <w:tcW w:type="dxa" w:w="1728"/>
          </w:tcPr>
          <w:p>
            <w:r>
              <w:rPr>
                <w:sz w:val="18"/>
              </w:rPr>
              <w:t>75</w:t>
            </w:r>
          </w:p>
        </w:tc>
        <w:tc>
          <w:tcPr>
            <w:tcW w:type="dxa" w:w="1728"/>
          </w:tcPr>
          <w:p>
            <w:r>
              <w:rPr>
                <w:sz w:val="18"/>
              </w:rPr>
              <w:t>B（良好）</w:t>
            </w:r>
          </w:p>
        </w:tc>
        <w:tc>
          <w:tcPr>
            <w:tcW w:type="dxa" w:w="1728"/>
          </w:tcPr>
          <w:p>
            <w:r>
              <w:rPr>
                <w:sz w:val="18"/>
              </w:rPr>
              <w:t>Q1 部分写作质量高（假设→证明→补偿→鲁棒性逻辑链完整）；Q2–Q4 章节存在公式编号缺失(??)、中文丢失、图表引用不规范等问题</w:t>
            </w:r>
          </w:p>
        </w:tc>
      </w:tr>
      <w:tr>
        <w:tc>
          <w:tcPr>
            <w:tcW w:type="dxa" w:w="1728"/>
          </w:tcPr>
          <w:p>
            <w:r>
              <w:rPr>
                <w:sz w:val="18"/>
              </w:rPr>
              <w:t>完整性与一致性</w:t>
              <w:br/>
              <w:t>(G6)</w:t>
            </w:r>
          </w:p>
        </w:tc>
        <w:tc>
          <w:tcPr>
            <w:tcW w:type="dxa" w:w="1728"/>
          </w:tcPr>
          <w:p>
            <w:r>
              <w:rPr>
                <w:sz w:val="18"/>
              </w:rPr>
              <w:t>15%</w:t>
            </w:r>
          </w:p>
        </w:tc>
        <w:tc>
          <w:tcPr>
            <w:tcW w:type="dxa" w:w="1728"/>
          </w:tcPr>
          <w:p>
            <w:r>
              <w:rPr>
                <w:sz w:val="18"/>
              </w:rPr>
              <w:t>62</w:t>
            </w:r>
          </w:p>
        </w:tc>
        <w:tc>
          <w:tcPr>
            <w:tcW w:type="dxa" w:w="1728"/>
          </w:tcPr>
          <w:p>
            <w:r>
              <w:rPr>
                <w:sz w:val="18"/>
              </w:rPr>
              <w:t>C（待改进）</w:t>
            </w:r>
          </w:p>
        </w:tc>
        <w:tc>
          <w:tcPr>
            <w:tcW w:type="dxa" w:w="1728"/>
          </w:tcPr>
          <w:p>
            <w:r>
              <w:rPr>
                <w:sz w:val="18"/>
              </w:rPr>
              <w:t>参考文献仅 5 篇且信息不完整；符号表未覆盖 Q2–Q4 全部变量；缺少 frozen_numbers.json 溯源；论文与代码输出间的对应关系模糊</w:t>
            </w:r>
          </w:p>
        </w:tc>
      </w:tr>
      <w:tr>
        <w:tc>
          <w:tcPr>
            <w:tcW w:type="dxa" w:w="1728"/>
          </w:tcPr>
          <w:p>
            <w:r>
              <w:rPr>
                <w:sz w:val="18"/>
              </w:rPr>
              <w:t>创新性与深度</w:t>
            </w:r>
          </w:p>
        </w:tc>
        <w:tc>
          <w:tcPr>
            <w:tcW w:type="dxa" w:w="1728"/>
          </w:tcPr>
          <w:p>
            <w:r>
              <w:rPr>
                <w:sz w:val="18"/>
              </w:rPr>
              <w:t>10%</w:t>
            </w:r>
          </w:p>
        </w:tc>
        <w:tc>
          <w:tcPr>
            <w:tcW w:type="dxa" w:w="1728"/>
          </w:tcPr>
          <w:p>
            <w:r>
              <w:rPr>
                <w:sz w:val="18"/>
              </w:rPr>
              <w:t>78</w:t>
            </w:r>
          </w:p>
        </w:tc>
        <w:tc>
          <w:tcPr>
            <w:tcW w:type="dxa" w:w="1728"/>
          </w:tcPr>
          <w:p>
            <w:r>
              <w:rPr>
                <w:sz w:val="18"/>
              </w:rPr>
              <w:t>B（良好）</w:t>
            </w:r>
          </w:p>
        </w:tc>
        <w:tc>
          <w:tcPr>
            <w:tcW w:type="dxa" w:w="1728"/>
          </w:tcPr>
          <w:p>
            <w:r>
              <w:rPr>
                <w:sz w:val="18"/>
              </w:rPr>
              <w:t>不可行性证明的结构化方法论（结构上界→探测下界→三重验证）有方法论创新；Pareto 多目标 + N-1 容错 + MILP 调度体现系统思维</w:t>
            </w:r>
          </w:p>
        </w:tc>
      </w:tr>
    </w:tbl>
    <w:p>
      <w:r>
        <w:rPr>
          <w:rFonts w:ascii="宋体" w:hAnsi="宋体" w:eastAsia="宋体"/>
          <w:b w:val="0"/>
          <w:sz w:val="22"/>
        </w:rPr>
      </w:r>
    </w:p>
    <w:p>
      <w:r>
        <w:rPr>
          <w:rFonts w:ascii="宋体" w:hAnsi="宋体" w:eastAsia="宋体"/>
          <w:b/>
          <w:sz w:val="22"/>
        </w:rPr>
        <w:t>加权总分：</w:t>
      </w:r>
      <w:r>
        <w:rPr>
          <w:rFonts w:ascii="宋体" w:hAnsi="宋体" w:eastAsia="宋体"/>
          <w:b w:val="0"/>
          <w:sz w:val="22"/>
        </w:rPr>
        <w:t xml:space="preserve">85×20% + 72×15% + 70×20% + 75×20% + 62×15% + 78×10% = </w:t>
      </w:r>
      <w:r>
        <w:rPr>
          <w:rFonts w:ascii="宋体" w:hAnsi="宋体" w:eastAsia="宋体"/>
          <w:b/>
          <w:color w:val="B42828"/>
          <w:sz w:val="22"/>
        </w:rPr>
        <w:t>74.3 / 100</w:t>
      </w:r>
      <w:r>
        <w:rPr>
          <w:rFonts w:ascii="宋体" w:hAnsi="宋体" w:eastAsia="宋体"/>
          <w:b w:val="0"/>
          <w:sz w:val="22"/>
        </w:rPr>
        <w:t xml:space="preserve">    等级评定：</w:t>
      </w:r>
      <w:r>
        <w:rPr>
          <w:rFonts w:ascii="宋体" w:hAnsi="宋体" w:eastAsia="宋体"/>
          <w:b/>
          <w:color w:val="B42828"/>
          <w:sz w:val="22"/>
        </w:rPr>
        <w:t>B（良好，距优秀论文有明确改进空间）</w:t>
      </w:r>
    </w:p>
    <w:p>
      <w:r>
        <w:rPr>
          <w:rFonts w:ascii="宋体" w:hAnsi="宋体" w:eastAsia="宋体"/>
          <w:b w:val="0"/>
          <w:sz w:val="22"/>
        </w:rPr>
      </w:r>
    </w:p>
    <w:p>
      <w:r>
        <w:rPr>
          <w:rFonts w:ascii="宋体" w:hAnsi="宋体" w:eastAsia="宋体"/>
          <w:b w:val="0"/>
          <w:sz w:val="22"/>
        </w:rPr>
        <w:t>评审总评：论文在问题一的分析上展现了出色的数学建模功底——从结构上界推导、不可行性证明、三重交叉验证到参数化补偿方案，逻辑链条完整且严密。然而，问题二至问题四的建模深度、鲁棒性验证和表达质量明显下降，暴露出"重 Q1 轻 Q2–Q4"的失衡问题。此外，参考文献管理、符号表完整性、数值溯源等基础规范存在多处缺陷。建议按以下改进清单系统性修订后再提交。</w:t>
      </w:r>
    </w:p>
    <w:p>
      <w:r>
        <w:br w:type="page"/>
      </w:r>
    </w:p>
    <w:p>
      <w:pPr>
        <w:pStyle w:val="Heading1"/>
      </w:pPr>
      <w:r>
        <w:rPr>
          <w:rFonts w:ascii="黑体" w:hAnsi="黑体" w:eastAsia="黑体"/>
        </w:rPr>
        <w:t>二、改进清单（按问题分级）</w:t>
      </w:r>
    </w:p>
    <w:p>
      <w:r>
        <w:rPr>
          <w:rFonts w:ascii="宋体" w:hAnsi="宋体" w:eastAsia="宋体"/>
          <w:b/>
          <w:sz w:val="22"/>
        </w:rPr>
        <w:t>以下改进项按严重程度分为三级：</w:t>
      </w:r>
    </w:p>
    <w:p>
      <w:r>
        <w:rPr>
          <w:rFonts w:ascii="宋体" w:hAnsi="宋体" w:eastAsia="宋体"/>
          <w:b w:val="0"/>
          <w:sz w:val="22"/>
        </w:rPr>
        <w:t>🔴 严重（必须修改）——不修改将导致评委扣分或论文不合格</w:t>
      </w:r>
    </w:p>
    <w:p>
      <w:r>
        <w:rPr>
          <w:rFonts w:ascii="宋体" w:hAnsi="宋体" w:eastAsia="宋体"/>
          <w:b w:val="0"/>
          <w:sz w:val="22"/>
        </w:rPr>
        <w:t>🟡 重要（强烈建议修改）——显著影响论文质量与完整性</w:t>
      </w:r>
    </w:p>
    <w:p>
      <w:r>
        <w:rPr>
          <w:rFonts w:ascii="宋体" w:hAnsi="宋体" w:eastAsia="宋体"/>
          <w:b w:val="0"/>
          <w:sz w:val="22"/>
        </w:rPr>
        <w:t>🟢 一般（建议修改）——提升论文专业性与可读性</w:t>
      </w:r>
    </w:p>
    <w:p>
      <w:pPr>
        <w:pStyle w:val="Heading2"/>
      </w:pPr>
      <w:r>
        <w:rPr>
          <w:rFonts w:ascii="黑体" w:hAnsi="黑体" w:eastAsia="黑体"/>
        </w:rPr>
        <w:t>🔴 严重问题（Must Fix）</w:t>
      </w:r>
    </w:p>
    <w:p>
      <w:pPr>
        <w:pStyle w:val="Heading3"/>
      </w:pPr>
      <w:r>
        <w:rPr>
          <w:rFonts w:ascii="黑体" w:hAnsi="黑体" w:eastAsia="黑体"/>
        </w:rPr>
        <w:t>S1. Q2/Q3/Q4 章节存在公式编号缺失 "(??)"</w:t>
      </w:r>
    </w:p>
    <w:p>
      <w:r>
        <w:rPr>
          <w:rFonts w:ascii="宋体" w:hAnsi="宋体" w:eastAsia="宋体"/>
          <w:b w:val="0"/>
          <w:sz w:val="22"/>
        </w:rPr>
        <w:t>位置：论文第 8–16 页，涉及 Q2 建模部分的公式(??)、(??) 等多处</w:t>
      </w:r>
    </w:p>
    <w:p>
      <w:r>
        <w:rPr>
          <w:rFonts w:ascii="宋体" w:hAnsi="宋体" w:eastAsia="宋体"/>
          <w:b w:val="0"/>
          <w:sz w:val="22"/>
        </w:rPr>
        <w:t>问题描述：多个公式以 "(??)" 代替正式编号，包括 Q2 中的关键约束条件、Q3 中的 Pareto 优化模型表达式。在正式提交的竞赛论文中，未编号的公式等同于未完成，评委将直接判定该部分建模工作不完整。</w:t>
      </w:r>
    </w:p>
    <w:p>
      <w:r>
        <w:rPr>
          <w:rFonts w:ascii="宋体" w:hAnsi="宋体" w:eastAsia="宋体"/>
          <w:b w:val="0"/>
          <w:sz w:val="22"/>
        </w:rPr>
        <w:t>改进建议：</w:t>
        <w:br/>
        <w:t>1. 逐一检查全文所有 "(??)" 标记，替换为连续的公式编号</w:t>
        <w:br/>
        <w:t>2. 确保每个编号公式在正文中有引用和解释</w:t>
        <w:br/>
        <w:t>3. 重要公式（如优化模型的目标函数、核心约束）必须编号</w:t>
      </w:r>
    </w:p>
    <w:p>
      <w:r>
        <w:rPr>
          <w:rFonts w:ascii="宋体" w:hAnsi="宋体" w:eastAsia="宋体"/>
          <w:b w:val="0"/>
          <w:color w:val="787878"/>
          <w:sz w:val="22"/>
        </w:rPr>
        <w:t>参考 cmcm_work 规范：paper-polisher 检查清单第 6 条——公式格式，所有公式必须有正确的编号和交叉引用。</w:t>
      </w:r>
    </w:p>
    <w:p>
      <w:pPr>
        <w:pStyle w:val="Heading3"/>
      </w:pPr>
      <w:r>
        <w:rPr>
          <w:rFonts w:ascii="黑体" w:hAnsi="黑体" w:eastAsia="黑体"/>
        </w:rPr>
        <w:t>S2. 参考文献严重不足且信息不完整</w:t>
      </w:r>
    </w:p>
    <w:p>
      <w:r>
        <w:rPr>
          <w:rFonts w:ascii="宋体" w:hAnsi="宋体" w:eastAsia="宋体"/>
          <w:b w:val="0"/>
          <w:sz w:val="22"/>
        </w:rPr>
        <w:t>位置：论文第 26 页，参考文献 [1]–[5]</w:t>
      </w:r>
    </w:p>
    <w:p>
      <w:r>
        <w:rPr>
          <w:rFonts w:ascii="宋体" w:hAnsi="宋体" w:eastAsia="宋体"/>
          <w:b w:val="0"/>
          <w:sz w:val="22"/>
        </w:rPr>
        <w:t>问题描述：</w:t>
        <w:br/>
        <w:t>1. 仅 5 篇参考文献，对于涉及运动学建模、多目标优化、MILP 调度、烟幕物理建模的多学科交叉论文严重不足</w:t>
        <w:br/>
        <w:t>2. [1][2][3] 缺少作者姓名（显示为空）——这是严重的引用不规范</w:t>
        <w:br/>
        <w:t>3. 缺少方法学支撑文献（如 Pareto 优化、MILP 的标准参考文献）</w:t>
        <w:br/>
        <w:t>4. 缺少烟幕物理模型、导弹追踪律的经典参考文献</w:t>
        <w:br/>
        <w:t>5. 参考文献格式不统一</w:t>
      </w:r>
    </w:p>
    <w:p>
      <w:r>
        <w:rPr>
          <w:rFonts w:ascii="宋体" w:hAnsi="宋体" w:eastAsia="宋体"/>
          <w:b w:val="0"/>
          <w:sz w:val="22"/>
        </w:rPr>
        <w:t>改进建议：</w:t>
        <w:br/>
        <w:t>1. 补全所有参考文献的作者、标题、期刊/出版社、年份、卷期页码等完整信息</w:t>
        <w:br/>
        <w:t>2. 至少补充 10–15 篇参考文献，涵盖：</w:t>
        <w:br/>
        <w:t xml:space="preserve">   - 烟幕/气溶胶物理建模 (2–3 篇)</w:t>
        <w:br/>
        <w:t xml:space="preserve">   - 导弹制导律与追踪运动学 (2–3 篇)</w:t>
        <w:br/>
        <w:t xml:space="preserve">   - 多目标优化/Pareto 方法 (2–3 篇)</w:t>
        <w:br/>
        <w:t xml:space="preserve">   - MILP/资源调度 (2–3 篇)</w:t>
        <w:br/>
        <w:t xml:space="preserve">   - 光电对抗/烟幕防御工程 (2–3 篇)</w:t>
        <w:br/>
        <w:t>3. 每条参考文献必须在正文中有引用标记</w:t>
      </w:r>
    </w:p>
    <w:p>
      <w:r>
        <w:rPr>
          <w:rFonts w:ascii="宋体" w:hAnsi="宋体" w:eastAsia="宋体"/>
          <w:b w:val="0"/>
          <w:color w:val="787878"/>
          <w:sz w:val="22"/>
        </w:rPr>
        <w:t>参考 cmcm_work 规范：reference-manager 技能——每条 \cite{} 必须对应完整的 BibTeX 条目；禁止伪造 DOI/页码/作者名；缺少作者信息属于 BLOCKING 级缺陷。</w:t>
      </w:r>
    </w:p>
    <w:p>
      <w:pPr>
        <w:pStyle w:val="Heading3"/>
      </w:pPr>
      <w:r>
        <w:rPr>
          <w:rFonts w:ascii="黑体" w:hAnsi="黑体" w:eastAsia="黑体"/>
        </w:rPr>
        <w:t>S3. "PASS" 状态与数学可行性的混淆</w:t>
      </w:r>
    </w:p>
    <w:p>
      <w:r>
        <w:rPr>
          <w:rFonts w:ascii="宋体" w:hAnsi="宋体" w:eastAsia="宋体"/>
          <w:b w:val="0"/>
          <w:sz w:val="22"/>
        </w:rPr>
        <w:t>位置：论文第 19 页，表 11 中 T-Q1-SINGLE/T-Q2-TWO/T-Q3-TRI 标记为 PASS</w:t>
      </w:r>
    </w:p>
    <w:p>
      <w:r>
        <w:rPr>
          <w:rFonts w:ascii="宋体" w:hAnsi="宋体" w:eastAsia="宋体"/>
          <w:b w:val="0"/>
          <w:sz w:val="22"/>
        </w:rPr>
        <w:t>问题描述：论文中存在将程序运行状态（execution_status=PASS）与数学可行性（feasibility_status）混淆的风险。Q1 已严格证明单弹全程遮蔽不可行，但代码输出仍标记为 PASS，这会导致读者误解。论文 .tex 修改稿 1 中已识别此问题并定义了四类独立状态（execution/input/feasibility/certificate），但正式 PDF 中未见此区分。</w:t>
      </w:r>
    </w:p>
    <w:p>
      <w:r>
        <w:rPr>
          <w:rFonts w:ascii="宋体" w:hAnsi="宋体" w:eastAsia="宋体"/>
          <w:b w:val="0"/>
          <w:sz w:val="22"/>
        </w:rPr>
        <w:t>改进建议：</w:t>
        <w:br/>
        <w:t>1. 全文统一使用四类状态标记（参考 .tex试修改1.tex 的方案）</w:t>
        <w:br/>
        <w:t>2. 在结果汇总表中明确区分"程序运行通过"和"数学可行"两个维度</w:t>
        <w:br/>
        <w:t>3. 对 T-Q3-BASELINE-REJECT 的 FAIL 状态给出具体原因说明</w:t>
        <w:br/>
        <w:t>4. 在正文中增加警示框：代码 PASS ≠ 全窗口遮蔽成功</w:t>
      </w:r>
    </w:p>
    <w:p>
      <w:r>
        <w:rPr>
          <w:rFonts w:ascii="宋体" w:hAnsi="宋体" w:eastAsia="宋体"/>
          <w:b w:val="0"/>
          <w:color w:val="787878"/>
          <w:sz w:val="22"/>
        </w:rPr>
        <w:t>参考 cmcm_work 规范：QA auditor 第 2 维度——证据完整性，claimed results must trace to frozen numbers and robustness evidence。</w:t>
      </w:r>
    </w:p>
    <w:p>
      <w:pPr>
        <w:pStyle w:val="Heading3"/>
      </w:pPr>
      <w:r>
        <w:rPr>
          <w:rFonts w:ascii="黑体" w:hAnsi="黑体" w:eastAsia="黑体"/>
        </w:rPr>
        <w:t>S4. Q2 多烟幕覆盖判据的精确性问题</w:t>
      </w:r>
    </w:p>
    <w:p>
      <w:r>
        <w:rPr>
          <w:rFonts w:ascii="宋体" w:hAnsi="宋体" w:eastAsia="宋体"/>
          <w:b w:val="0"/>
          <w:sz w:val="22"/>
        </w:rPr>
        <w:t>位置：论文第 11–12 页，Q2 覆盖建模部分</w:t>
      </w:r>
    </w:p>
    <w:p>
      <w:r>
        <w:rPr>
          <w:rFonts w:ascii="宋体" w:hAnsi="宋体" w:eastAsia="宋体"/>
          <w:b w:val="0"/>
          <w:sz w:val="22"/>
        </w:rPr>
        <w:t>问题描述：Q2 的多烟幕并集覆盖判定公式(??)存在严重缺陷：</w:t>
        <w:br/>
        <w:t>1. 当前描述暗示采用"逐烟幕独立覆盖"的逻辑，但多烟幕并集覆盖的几何关系远比单烟幕复杂——多个圆盘的并集可能通过空间互补实现超越单个圆盘能力的覆盖</w:t>
        <w:br/>
        <w:t>2. .tex 修改稿中已定义了统一的 Δ(t) 覆盖缺陷指标（式 ?? 对应 .tex 的式(??)），明确要求"多烟幕场景禁止采用有限网格离散近似替代该解析判定式"，但正式 PDF 中未见此精确表述</w:t>
        <w:br/>
        <w:t>3. 线性叠加思维（单弹上界×弹数）会严重低估实际遮蔽能力，正文应明确警告</w:t>
      </w:r>
    </w:p>
    <w:p>
      <w:r>
        <w:rPr>
          <w:rFonts w:ascii="宋体" w:hAnsi="宋体" w:eastAsia="宋体"/>
          <w:b w:val="0"/>
          <w:sz w:val="22"/>
        </w:rPr>
        <w:t>改进建议：</w:t>
        <w:br/>
        <w:t>1. 将 .tex试修改1.tex 中的 Δ(t) 统一缺陷指标纳入正式论文</w:t>
        <w:br/>
        <w:t>2. 明确说明 Q2 使用的精确几何计算方法（圆盘并集覆盖判定）</w:t>
        <w:br/>
        <w:t>3. 给出单烟幕覆盖 vs 多烟幕联合覆盖的区别示意图</w:t>
        <w:br/>
        <w:t>4. 明示不采用"单弹时长×弹数"的线性外推</w:t>
      </w:r>
    </w:p>
    <w:p>
      <w:r>
        <w:br w:type="page"/>
      </w:r>
    </w:p>
    <w:p>
      <w:pPr>
        <w:pStyle w:val="Heading2"/>
      </w:pPr>
      <w:r>
        <w:rPr>
          <w:rFonts w:ascii="黑体" w:hAnsi="黑体" w:eastAsia="黑体"/>
        </w:rPr>
        <w:t>🟡 重要问题（Should Fix）</w:t>
      </w:r>
    </w:p>
    <w:p>
      <w:pPr>
        <w:pStyle w:val="Heading3"/>
      </w:pPr>
      <w:r>
        <w:rPr>
          <w:rFonts w:ascii="黑体" w:hAnsi="黑体" w:eastAsia="黑体"/>
        </w:rPr>
        <w:t>M1. Q2–Q4 缺少显式的 baseline 对比</w:t>
      </w:r>
    </w:p>
    <w:p>
      <w:r>
        <w:rPr>
          <w:rFonts w:ascii="宋体" w:hAnsi="宋体" w:eastAsia="宋体"/>
          <w:b w:val="0"/>
          <w:sz w:val="22"/>
        </w:rPr>
        <w:t>位置：论文第 11–24 页，Q2/Q3/Q4 全部建模与结果章节</w:t>
      </w:r>
    </w:p>
    <w:p>
      <w:r>
        <w:rPr>
          <w:rFonts w:ascii="宋体" w:hAnsi="宋体" w:eastAsia="宋体"/>
          <w:b w:val="0"/>
          <w:sz w:val="22"/>
        </w:rPr>
        <w:t>问题描述：按照 cmcm_work 方法选择器规范，每个子问题应包含一个 "可用基线方法"（usable baseline），且基线必须是"能完成真实任务、产生可比较输出的方法"——不是简单的 diagnostic_reference。</w:t>
        <w:br/>
        <w:t>当前 Q2 仅有主方案（多弹时序衔接），Q3 虽有 P1/P2/P4 方案对比，但缺少标准化的 baseline（如最简贪心投放策略），Q4 的 baseline 被标记为 REJECT 但理由不充分。</w:t>
      </w:r>
    </w:p>
    <w:p>
      <w:r>
        <w:rPr>
          <w:rFonts w:ascii="宋体" w:hAnsi="宋体" w:eastAsia="宋体"/>
          <w:b w:val="0"/>
          <w:sz w:val="22"/>
        </w:rPr>
        <w:t>改进建议：</w:t>
        <w:br/>
        <w:t>1. 为 Q2/Q3/Q4 各补充一个正式的 usable baseline（如均匀间隔投放、对称部署等）</w:t>
        <w:br/>
        <w:t>2. 在每个问题的结果表中增加 main vs baseline 的定量对比列</w:t>
        <w:br/>
        <w:t>3. 说明为何主方案优于 baseline（不要仅凭单一指标，应从覆盖率/稳定性/能耗等多维度比较）</w:t>
        <w:br/>
        <w:t>4. Q4 的 T-Q3-BASELINE-REJECT 需给出具体 FAIL 原因和对比数据</w:t>
      </w:r>
    </w:p>
    <w:p>
      <w:r>
        <w:rPr>
          <w:rFonts w:ascii="宋体" w:hAnsi="宋体" w:eastAsia="宋体"/>
          <w:b w:val="0"/>
          <w:color w:val="787878"/>
          <w:sz w:val="22"/>
        </w:rPr>
        <w:t>参考 cmcm_work 规范：method-selector 技能——baseline 必须 complete the real task with comparable outputs；result-report-generator——主方案 vs baseline 使用相同 split/unit/metric 定义。</w:t>
      </w:r>
    </w:p>
    <w:p>
      <w:pPr>
        <w:pStyle w:val="Heading3"/>
      </w:pPr>
      <w:r>
        <w:rPr>
          <w:rFonts w:ascii="黑体" w:hAnsi="黑体" w:eastAsia="黑体"/>
        </w:rPr>
        <w:t>M2. Q2–Q4 鲁棒性分析严重不足</w:t>
      </w:r>
    </w:p>
    <w:p>
      <w:r>
        <w:rPr>
          <w:rFonts w:ascii="宋体" w:hAnsi="宋体" w:eastAsia="宋体"/>
          <w:b w:val="0"/>
          <w:sz w:val="22"/>
        </w:rPr>
        <w:t>位置：论文 Q2/Q3/Q4 各节末尾</w:t>
      </w:r>
    </w:p>
    <w:p>
      <w:r>
        <w:rPr>
          <w:rFonts w:ascii="宋体" w:hAnsi="宋体" w:eastAsia="宋体"/>
          <w:b w:val="0"/>
          <w:sz w:val="22"/>
        </w:rPr>
        <w:t>问题描述：Q1 的鲁棒性分析相对充分（±10% 参数扰动 + 临界翻转条件推导），但 Q2/Q3/Q4 几乎缺失系统性的鲁棒性分析。具体缺失：</w:t>
        <w:br/>
        <w:t>1. Q2 未检验多弹时序对投弹间隔误差、起爆延时抖动的敏感性</w:t>
        <w:br/>
        <w:t>2. Q3 未检验 Pareto 前沿对无人机速度摄动、安全间距变化的稳定性</w:t>
        <w:br/>
        <w:t>3. Q4 未检验 MILP 调度方案对威胁到达时间误差、导弹数量变化的鲁棒性</w:t>
        <w:br/>
        <w:t>4. 缺少统一的鲁棒性报告章节</w:t>
      </w:r>
    </w:p>
    <w:p>
      <w:r>
        <w:rPr>
          <w:rFonts w:ascii="宋体" w:hAnsi="宋体" w:eastAsia="宋体"/>
          <w:b w:val="0"/>
          <w:sz w:val="22"/>
        </w:rPr>
        <w:t>改进建议：</w:t>
        <w:br/>
        <w:t>1. 按 cmcm_work robustness-checker 规范，为每个子问题补充：</w:t>
        <w:br/>
        <w:t xml:space="preserve">   - 参数扰动分析（关键参数 ±5%/±10%）</w:t>
        <w:br/>
        <w:t xml:space="preserve">   - 约束松弛分析（如安全间距从 dsafe 变为 0.8×dsafe）</w:t>
        <w:br/>
        <w:t xml:space="preserve">   - 种子稳定性（如有随机性）</w:t>
        <w:br/>
        <w:t xml:space="preserve">   - 输出退化检测（如 Pareto 前沿退化为单点）</w:t>
        <w:br/>
        <w:t>2. 每个检查给出 PASS / CONDITIONAL / FAIL 状态和阈值</w:t>
        <w:br/>
        <w:t>3. 在论文中增加"鲁棒性分析"专门小节</w:t>
      </w:r>
    </w:p>
    <w:p>
      <w:pPr>
        <w:pStyle w:val="Heading3"/>
      </w:pPr>
      <w:r>
        <w:rPr>
          <w:rFonts w:ascii="黑体" w:hAnsi="黑体" w:eastAsia="黑体"/>
        </w:rPr>
        <w:t>M3. 符号表未覆盖 Q2–Q4 新增变量</w:t>
      </w:r>
    </w:p>
    <w:p>
      <w:r>
        <w:rPr>
          <w:rFonts w:ascii="宋体" w:hAnsi="宋体" w:eastAsia="宋体"/>
          <w:b w:val="0"/>
          <w:sz w:val="22"/>
        </w:rPr>
        <w:t>位置：论文第 3–4 页（符号说明表）</w:t>
      </w:r>
    </w:p>
    <w:p>
      <w:r>
        <w:rPr>
          <w:rFonts w:ascii="宋体" w:hAnsi="宋体" w:eastAsia="宋体"/>
          <w:b w:val="0"/>
          <w:sz w:val="22"/>
        </w:rPr>
        <w:t>问题描述：当前符号表主要覆盖 Q1 变量，Q2–Q4 引入的大量新符号（如 dsafe、yi,j,k、bi、N-1 容错率、Pareto 相关符号、MILP 决策变量等）未在全局符号表中统一定义和说明。</w:t>
      </w:r>
    </w:p>
    <w:p>
      <w:r>
        <w:rPr>
          <w:rFonts w:ascii="宋体" w:hAnsi="宋体" w:eastAsia="宋体"/>
          <w:b w:val="0"/>
          <w:sz w:val="22"/>
        </w:rPr>
        <w:t>改进建议：</w:t>
        <w:br/>
        <w:t>1. 扩充符号表，覆盖全部四个问题的所有变量</w:t>
        <w:br/>
        <w:t>2. 每个符号增加"适用范围/Qx"列，标注该符号在哪个问题中首次引入</w:t>
        <w:br/>
        <w:t>3. 检查跨问题符号的一致性（如同一物理量在不同问题中符号不变）</w:t>
        <w:br/>
        <w:t>4. 确保符号表中每个符号的类型（input/parameter/decision/state/output）正确标注</w:t>
      </w:r>
    </w:p>
    <w:p>
      <w:r>
        <w:rPr>
          <w:rFonts w:ascii="宋体" w:hAnsi="宋体" w:eastAsia="宋体"/>
          <w:b w:val="0"/>
          <w:color w:val="787878"/>
          <w:sz w:val="22"/>
        </w:rPr>
        <w:t>参考 cmcm_work 规范：symbol-table-builder——每个符号在首次使用前必须定义；跨问题交接的符号使用统一记号。</w:t>
      </w:r>
    </w:p>
    <w:p>
      <w:pPr>
        <w:pStyle w:val="Heading3"/>
      </w:pPr>
      <w:r>
        <w:rPr>
          <w:rFonts w:ascii="黑体" w:hAnsi="黑体" w:eastAsia="黑体"/>
        </w:rPr>
        <w:t>M4. N-1 容错率计算与宣称不一致</w:t>
      </w:r>
    </w:p>
    <w:p>
      <w:r>
        <w:rPr>
          <w:rFonts w:ascii="宋体" w:hAnsi="宋体" w:eastAsia="宋体"/>
          <w:b w:val="0"/>
          <w:sz w:val="22"/>
        </w:rPr>
        <w:t>位置：论文第 17–18 页，Q3 第 7.5–7.6 节</w:t>
      </w:r>
    </w:p>
    <w:p>
      <w:r>
        <w:rPr>
          <w:rFonts w:ascii="宋体" w:hAnsi="宋体" w:eastAsia="宋体"/>
          <w:b w:val="0"/>
          <w:sz w:val="22"/>
        </w:rPr>
        <w:t>问题描述：论文宣称 P2 方案的 N-1 容错率为 2/3（即任意一架无人机失效后，仍有 2/3 的概率保持防御），但：</w:t>
        <w:br/>
        <w:t>1. 未明确定义"防御保持"的判断标准（全覆盖时长不低于多少？）</w:t>
        <w:br/>
        <w:t>2. 容错率 2/3 的计算缺少详细的逐一失效场景分析</w:t>
        <w:br/>
        <w:t>3. 数值 40.91% 的出现缺少清晰的解释（是覆盖率还是其他指标？）</w:t>
      </w:r>
    </w:p>
    <w:p>
      <w:r>
        <w:rPr>
          <w:rFonts w:ascii="宋体" w:hAnsi="宋体" w:eastAsia="宋体"/>
          <w:b w:val="0"/>
          <w:sz w:val="22"/>
        </w:rPr>
        <w:t>改进建议：</w:t>
        <w:br/>
        <w:t>1. 明确定义 N-1 容错的判断条件（如：任一 UAV 失效后，剩余 UAV 的联合覆盖时长 ≥ X 秒）</w:t>
        <w:br/>
        <w:t>2. 列出三种单点失效场景（UAV1/UAV2/UAV3 分别失效）的详细计算结果</w:t>
        <w:br/>
        <w:t>3. 说明 40.91% 的含义和计算过程</w:t>
        <w:br/>
        <w:t>4. 区分"覆盖率"和"容错率"两个概念</w:t>
      </w:r>
    </w:p>
    <w:p>
      <w:pPr>
        <w:pStyle w:val="Heading3"/>
      </w:pPr>
      <w:r>
        <w:rPr>
          <w:rFonts w:ascii="黑体" w:hAnsi="黑体" w:eastAsia="黑体"/>
        </w:rPr>
        <w:t>M5. 图表引用不规范与图文不一致</w:t>
      </w:r>
    </w:p>
    <w:p>
      <w:r>
        <w:rPr>
          <w:rFonts w:ascii="宋体" w:hAnsi="宋体" w:eastAsia="宋体"/>
          <w:b w:val="0"/>
          <w:sz w:val="22"/>
        </w:rPr>
        <w:t>位置：全文多处</w:t>
      </w:r>
    </w:p>
    <w:p>
      <w:r>
        <w:rPr>
          <w:rFonts w:ascii="宋体" w:hAnsi="宋体" w:eastAsia="宋体"/>
          <w:b w:val="0"/>
          <w:sz w:val="22"/>
        </w:rPr>
        <w:t>问题描述：</w:t>
        <w:br/>
        <w:t>1. 部分图表缺少编号或编号不连续</w:t>
        <w:br/>
        <w:t>2. 部分图的标题（caption）未携带核心结论（takeaway），仅有描述性标签</w:t>
        <w:br/>
        <w:t>3. 图 5（P2 投放方案）中数据与正文描述不完全一致</w:t>
        <w:br/>
        <w:t>4. 图 13（S2-CRI-OVR）和图 14（S2-CRI-SUR）的可读性较差，颜色/标注不清晰</w:t>
        <w:br/>
        <w:t>5. 表与图的编号体系交叉混乱（有些用"表 X"，有些用"图 X"，缺乏统一前缀）</w:t>
      </w:r>
    </w:p>
    <w:p>
      <w:r>
        <w:rPr>
          <w:rFonts w:ascii="宋体" w:hAnsi="宋体" w:eastAsia="宋体"/>
          <w:b w:val="0"/>
          <w:sz w:val="22"/>
        </w:rPr>
        <w:t>改进建议：</w:t>
        <w:br/>
        <w:t>1. 统一图表编号体系（如 Figure/Table 分别编号）</w:t>
        <w:br/>
        <w:t>2. 每个图标题增加 takeaway（如 Figure 5: P2 投放方案——UAV1 和 UAV3 直接遮蔽，UAV2 侧翼补盲）</w:t>
        <w:br/>
        <w:t>3. 检查所有图中的数据是否与正文数值一致</w:t>
        <w:br/>
        <w:t xml:space="preserve">4. 检查所有 </w:t>
        <w:br/>
        <w:t>ef{} 引用是否指向正确的图表编号</w:t>
      </w:r>
    </w:p>
    <w:p>
      <w:r>
        <w:rPr>
          <w:rFonts w:ascii="宋体" w:hAnsi="宋体" w:eastAsia="宋体"/>
          <w:b w:val="0"/>
          <w:color w:val="787878"/>
          <w:sz w:val="22"/>
        </w:rPr>
        <w:t>参考 cmcm_work 规范：paper-polisher 第 8 条——图表引用按顺序出现、必须存在、标题携带 takeaway；figure-table-planner——Type 3 图直接支撑核心结论。</w:t>
      </w:r>
    </w:p>
    <w:p>
      <w:pPr>
        <w:pStyle w:val="Heading3"/>
      </w:pPr>
      <w:r>
        <w:rPr>
          <w:rFonts w:ascii="黑体" w:hAnsi="黑体" w:eastAsia="黑体"/>
        </w:rPr>
        <w:t>M6. Q4 MILP 模型描述过于简略</w:t>
      </w:r>
    </w:p>
    <w:p>
      <w:r>
        <w:rPr>
          <w:rFonts w:ascii="宋体" w:hAnsi="宋体" w:eastAsia="宋体"/>
          <w:b w:val="0"/>
          <w:sz w:val="22"/>
        </w:rPr>
        <w:t>位置：论文第 20–24 页，Q4 第 8.2–8.9 节</w:t>
      </w:r>
    </w:p>
    <w:p>
      <w:r>
        <w:rPr>
          <w:rFonts w:ascii="宋体" w:hAnsi="宋体" w:eastAsia="宋体"/>
          <w:b w:val="0"/>
          <w:sz w:val="22"/>
        </w:rPr>
        <w:t>问题描述：Q4 的 MILP 调度模型是全文方法论的重要部分，但当前描述非常简略：</w:t>
        <w:br/>
        <w:t>1. 0-1 决策变量 yi,j,k 的定义不够精确（i, j, k 分别对应的集合范围未明确）</w:t>
        <w:br/>
        <w:t>2. 约束条件仅列出了数量约束和时序约束的框架，缺少完整的数学表达式</w:t>
        <w:br/>
        <w:t>3. 目标函数的形式未明确给出（是最小化未防御风险？最大化覆盖率？）</w:t>
        <w:br/>
        <w:t>4. 未说明 MILP 求解器的选择（Gurobi/CPLEX/开源求解器？）和求解时间</w:t>
        <w:br/>
        <w:t>5. 未讨论 MILP 问题的规模（变量数、约束数）和计算复杂度</w:t>
      </w:r>
    </w:p>
    <w:p>
      <w:r>
        <w:rPr>
          <w:rFonts w:ascii="宋体" w:hAnsi="宋体" w:eastAsia="宋体"/>
          <w:b w:val="0"/>
          <w:sz w:val="22"/>
        </w:rPr>
        <w:t>改进建议：</w:t>
        <w:br/>
        <w:t>1. 列出完整的 MILP 数学规划模型（决策变量×约束×目标函数）</w:t>
        <w:br/>
        <w:t>2. 补充求解器信息、求解时间和问题规模数据</w:t>
        <w:br/>
        <w:t>3. 讨论 MILP 的 tightness（约束紧度）和 Gap（如有）</w:t>
        <w:br/>
        <w:t>4. 增加一个 Q4 方案的总览流程图，展示从威胁评估→资源分配→MILP 求解→方案输出的完整链路</w:t>
      </w:r>
    </w:p>
    <w:p>
      <w:r>
        <w:br w:type="page"/>
      </w:r>
    </w:p>
    <w:p>
      <w:pPr>
        <w:pStyle w:val="Heading2"/>
      </w:pPr>
      <w:r>
        <w:rPr>
          <w:rFonts w:ascii="黑体" w:hAnsi="黑体" w:eastAsia="黑体"/>
        </w:rPr>
        <w:t>🟢 一般问题（Nice to Fix）</w:t>
      </w:r>
    </w:p>
    <w:p>
      <w:pPr>
        <w:pStyle w:val="Heading3"/>
      </w:pPr>
      <w:r>
        <w:rPr>
          <w:rFonts w:ascii="黑体" w:hAnsi="黑体" w:eastAsia="黑体"/>
        </w:rPr>
        <w:t>m1. 中文文本缺失</w:t>
      </w:r>
    </w:p>
    <w:p>
      <w:r>
        <w:rPr>
          <w:rFonts w:ascii="宋体" w:hAnsi="宋体" w:eastAsia="宋体"/>
          <w:b w:val="0"/>
          <w:sz w:val="22"/>
        </w:rPr>
        <w:t>论文 PDF 中部分中文字符缺失或显示为乱码（尤其是图注和表格中），可能是编译引擎（如 pdfLaTeX vs XeLaTeX）或字体配置问题。建议使用 XeLaTeX + 中文字体包（ctex）编译。</w:t>
      </w:r>
    </w:p>
    <w:p>
      <w:pPr>
        <w:pStyle w:val="Heading3"/>
      </w:pPr>
      <w:r>
        <w:rPr>
          <w:rFonts w:ascii="黑体" w:hAnsi="黑体" w:eastAsia="黑体"/>
        </w:rPr>
        <w:t>m2. 数值精度不一致</w:t>
      </w:r>
    </w:p>
    <w:p>
      <w:r>
        <w:rPr>
          <w:rFonts w:ascii="宋体" w:hAnsi="宋体" w:eastAsia="宋体"/>
          <w:b w:val="0"/>
          <w:sz w:val="22"/>
        </w:rPr>
        <w:t>同一数值在不同位置出现时精度不同（如 10.3761 s vs 10.3761348898 s），建议统一全文有效数字位数（如关键结果 4 位、中间推导 6 位）。</w:t>
      </w:r>
    </w:p>
    <w:p>
      <w:pPr>
        <w:pStyle w:val="Heading3"/>
      </w:pPr>
      <w:r>
        <w:rPr>
          <w:rFonts w:ascii="黑体" w:hAnsi="黑体" w:eastAsia="黑体"/>
        </w:rPr>
        <w:t>m3. "T_exec = not_evaluated" 削弱结论可信度</w:t>
      </w:r>
    </w:p>
    <w:p>
      <w:r>
        <w:rPr>
          <w:rFonts w:ascii="宋体" w:hAnsi="宋体" w:eastAsia="宋体"/>
          <w:b w:val="0"/>
          <w:sz w:val="22"/>
        </w:rPr>
        <w:t>这一标记虽然诚实，但暴露了论文在输入数据不完整的情况下未能给出完整的可执行方案。建议：a) 补充合理的场景输入使 T_exec 可计算；或 b) 明确说明此标记在缺失输入下是合理的工程判断，同时给出一个假想场景的完整算例。</w:t>
      </w:r>
    </w:p>
    <w:p>
      <w:pPr>
        <w:pStyle w:val="Heading3"/>
      </w:pPr>
      <w:r>
        <w:rPr>
          <w:rFonts w:ascii="黑体" w:hAnsi="黑体" w:eastAsia="黑体"/>
        </w:rPr>
        <w:t>m4. Q2/Q3 结论部分的物理/战术解释不够</w:t>
      </w:r>
    </w:p>
    <w:p>
      <w:r>
        <w:rPr>
          <w:rFonts w:ascii="宋体" w:hAnsi="宋体" w:eastAsia="宋体"/>
          <w:b w:val="0"/>
          <w:sz w:val="22"/>
        </w:rPr>
        <w:t>论文在 Q2/Q3 的结果呈现偏重数值列表，缺少对物理机制的深入解释。例如 Q2 的 29.07 s vs 20.75 s 对比——这两个数字背后的战术含义是什么？多弹方案相比单弹的 10.38 s 上界，实际增益的物理来源（时间衔接 vs 空间互补）需要解释。</w:t>
      </w:r>
    </w:p>
    <w:p>
      <w:pPr>
        <w:pStyle w:val="Heading3"/>
      </w:pPr>
      <w:r>
        <w:rPr>
          <w:rFonts w:ascii="黑体" w:hAnsi="黑体" w:eastAsia="黑体"/>
        </w:rPr>
        <w:t>m5. 模型假设中缺少对"12 km 作战半径"基准点的明确定义</w:t>
      </w:r>
    </w:p>
    <w:p>
      <w:r>
        <w:rPr>
          <w:rFonts w:ascii="宋体" w:hAnsi="宋体" w:eastAsia="宋体"/>
          <w:b w:val="0"/>
          <w:sz w:val="22"/>
        </w:rPr>
        <w:t>"12 km 作战半径"是相对无人机起飞点、舰船实时位置还是总航程？当前论文未明确。这是 cmcm_work manifests 中 Q2 的已知 blocker，应在正文中承认并讨论其影响。</w:t>
      </w:r>
    </w:p>
    <w:p>
      <w:pPr>
        <w:pStyle w:val="Heading3"/>
      </w:pPr>
      <w:r>
        <w:rPr>
          <w:rFonts w:ascii="黑体" w:hAnsi="黑体" w:eastAsia="黑体"/>
        </w:rPr>
        <w:t>m6. 论文摘要过于简略</w:t>
      </w:r>
    </w:p>
    <w:p>
      <w:r>
        <w:rPr>
          <w:rFonts w:ascii="宋体" w:hAnsi="宋体" w:eastAsia="宋体"/>
          <w:b w:val="0"/>
          <w:sz w:val="22"/>
        </w:rPr>
        <w:t>全文摘要仅列出关键数值，缺少"方法—结果—结论"的完整叙事。建议按"背景 1 句 + 方法概述 2–3 句 + 核心结果 2–3 句 + 结论 1 句"的结构重写。</w:t>
      </w:r>
    </w:p>
    <w:p>
      <w:pPr>
        <w:pStyle w:val="Heading3"/>
      </w:pPr>
      <w:r>
        <w:rPr>
          <w:rFonts w:ascii="黑体" w:hAnsi="黑体" w:eastAsia="黑体"/>
        </w:rPr>
        <w:t>m7. 缺少模型局限性专门章节</w:t>
      </w:r>
    </w:p>
    <w:p>
      <w:r>
        <w:rPr>
          <w:rFonts w:ascii="宋体" w:hAnsi="宋体" w:eastAsia="宋体"/>
          <w:b w:val="0"/>
          <w:sz w:val="22"/>
        </w:rPr>
        <w:t>论文在 10.3 节仅有 3 条简要的局限性说明。建议扩展为独立的"模型评价与改进方向"章节，包含：(a) 各假设的适用边界；(b) 模型在不同作战场景下的外推能力；(c) 未来可扩展的方向。</w:t>
      </w:r>
    </w:p>
    <w:p>
      <w:pPr>
        <w:pStyle w:val="Heading3"/>
      </w:pPr>
      <w:r>
        <w:rPr>
          <w:rFonts w:ascii="黑体" w:hAnsi="黑体" w:eastAsia="黑体"/>
        </w:rPr>
        <w:t>m8. Q1→Q2→Q3→Q4 之间缺少显式的接口说明</w:t>
      </w:r>
    </w:p>
    <w:p>
      <w:r>
        <w:rPr>
          <w:rFonts w:ascii="宋体" w:hAnsi="宋体" w:eastAsia="宋体"/>
          <w:b w:val="0"/>
          <w:sz w:val="22"/>
        </w:rPr>
        <w:t>.tex试修改1.tex 中已设计了 Q1→Q2 的标准接口规范，但正式 PDF 中未体现。建议在论文中增加各问题间的"模型继承与扩展"说明段，展示四个问题的方法论递进关系。</w:t>
      </w:r>
    </w:p>
    <w:p>
      <w:pPr>
        <w:pStyle w:val="Heading3"/>
      </w:pPr>
      <w:r>
        <w:rPr>
          <w:rFonts w:ascii="黑体" w:hAnsi="黑体" w:eastAsia="黑体"/>
        </w:rPr>
        <w:t>m9. 附录仅列出代码文件名，未附核心伪代码</w:t>
      </w:r>
    </w:p>
    <w:p>
      <w:r>
        <w:rPr>
          <w:rFonts w:ascii="宋体" w:hAnsi="宋体" w:eastAsia="宋体"/>
          <w:b w:val="0"/>
          <w:sz w:val="22"/>
        </w:rPr>
        <w:t>附录 A 仅列出 4 个 .py 文件名，建议补充核心算法的伪代码（尤其是多烟幕覆盖判定几何核和 MILP 模型结构）。</w:t>
      </w:r>
    </w:p>
    <w:p>
      <w:pPr>
        <w:pStyle w:val="Heading3"/>
      </w:pPr>
      <w:r>
        <w:rPr>
          <w:rFonts w:ascii="黑体" w:hAnsi="黑体" w:eastAsia="黑体"/>
        </w:rPr>
        <w:t>m10. 部分术语使用不规范</w:t>
      </w:r>
    </w:p>
    <w:p>
      <w:r>
        <w:rPr>
          <w:rFonts w:ascii="宋体" w:hAnsi="宋体" w:eastAsia="宋体"/>
          <w:b w:val="0"/>
          <w:sz w:val="22"/>
        </w:rPr>
        <w:t>如"结构上界"（T_structural_max）和"可执行最优"（T_exec）的命名和区分仅在 .tex修改稿中完善，建议在正式论文中统一使用这些规范术语。</w:t>
      </w:r>
    </w:p>
    <w:p>
      <w:r>
        <w:br w:type="page"/>
      </w:r>
    </w:p>
    <w:p>
      <w:pPr>
        <w:pStyle w:val="Heading1"/>
      </w:pPr>
      <w:r>
        <w:rPr>
          <w:rFonts w:ascii="黑体" w:hAnsi="黑体" w:eastAsia="黑体"/>
        </w:rPr>
        <w:t>三、Paper-Polisher 12 点清单检查</w:t>
      </w:r>
    </w:p>
    <w:p>
      <w:r>
        <w:rPr>
          <w:rFonts w:ascii="宋体" w:hAnsi="宋体" w:eastAsia="宋体"/>
          <w:b w:val="0"/>
          <w:sz w:val="22"/>
        </w:rPr>
        <w:t>以下按 cmcm_work paper-polisher 技能的 12 项检查清单逐项评估：</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5496" w:val="clear"/>
          </w:tcPr>
          <w:p>
            <w:r>
              <w:rPr>
                <w:b/>
                <w:color w:val="FFFFFF"/>
                <w:sz w:val="19"/>
              </w:rPr>
              <w:t>#</w:t>
            </w:r>
          </w:p>
        </w:tc>
        <w:tc>
          <w:tcPr>
            <w:tcW w:type="dxa" w:w="2160"/>
            <w:shd w:fill="2F5496" w:val="clear"/>
          </w:tcPr>
          <w:p>
            <w:r>
              <w:rPr>
                <w:b/>
                <w:color w:val="FFFFFF"/>
                <w:sz w:val="19"/>
              </w:rPr>
              <w:t>检查项</w:t>
            </w:r>
          </w:p>
        </w:tc>
        <w:tc>
          <w:tcPr>
            <w:tcW w:type="dxa" w:w="2160"/>
            <w:shd w:fill="2F5496" w:val="clear"/>
          </w:tcPr>
          <w:p>
            <w:r>
              <w:rPr>
                <w:b/>
                <w:color w:val="FFFFFF"/>
                <w:sz w:val="19"/>
              </w:rPr>
              <w:t>状态</w:t>
            </w:r>
          </w:p>
        </w:tc>
        <w:tc>
          <w:tcPr>
            <w:tcW w:type="dxa" w:w="2160"/>
            <w:shd w:fill="2F5496" w:val="clear"/>
          </w:tcPr>
          <w:p>
            <w:r>
              <w:rPr>
                <w:b/>
                <w:color w:val="FFFFFF"/>
                <w:sz w:val="19"/>
              </w:rPr>
              <w:t>说明</w:t>
            </w:r>
          </w:p>
        </w:tc>
      </w:tr>
      <w:tr>
        <w:tc>
          <w:tcPr>
            <w:tcW w:type="dxa" w:w="2160"/>
          </w:tcPr>
          <w:p>
            <w:r>
              <w:rPr>
                <w:sz w:val="17"/>
              </w:rPr>
              <w:t>1</w:t>
            </w:r>
          </w:p>
        </w:tc>
        <w:tc>
          <w:tcPr>
            <w:tcW w:type="dxa" w:w="2160"/>
          </w:tcPr>
          <w:p>
            <w:r>
              <w:rPr>
                <w:sz w:val="17"/>
              </w:rPr>
              <w:t>句子长度</w:t>
              <w:br/>
              <w:t>（&gt;30词需拆分）</w:t>
            </w:r>
          </w:p>
        </w:tc>
        <w:tc>
          <w:tcPr>
            <w:tcW w:type="dxa" w:w="2160"/>
          </w:tcPr>
          <w:p>
            <w:r>
              <w:rPr>
                <w:sz w:val="17"/>
              </w:rPr>
              <w:t>⚠️ 部分超标</w:t>
            </w:r>
          </w:p>
        </w:tc>
        <w:tc>
          <w:tcPr>
            <w:tcW w:type="dxa" w:w="2160"/>
          </w:tcPr>
          <w:p>
            <w:r>
              <w:rPr>
                <w:sz w:val="17"/>
              </w:rPr>
              <w:t>Q1 建模部分句子长度控制较好；Q2–Q4 部分存在超长句（&gt;40 词）</w:t>
            </w:r>
          </w:p>
        </w:tc>
      </w:tr>
      <w:tr>
        <w:tc>
          <w:tcPr>
            <w:tcW w:type="dxa" w:w="2160"/>
          </w:tcPr>
          <w:p>
            <w:r>
              <w:rPr>
                <w:sz w:val="17"/>
              </w:rPr>
              <w:t>2</w:t>
            </w:r>
          </w:p>
        </w:tc>
        <w:tc>
          <w:tcPr>
            <w:tcW w:type="dxa" w:w="2160"/>
          </w:tcPr>
          <w:p>
            <w:r>
              <w:rPr>
                <w:sz w:val="17"/>
              </w:rPr>
              <w:t>段落结构</w:t>
              <w:br/>
              <w:t>（一段一点，主题句先行）</w:t>
            </w:r>
          </w:p>
        </w:tc>
        <w:tc>
          <w:tcPr>
            <w:tcW w:type="dxa" w:w="2160"/>
          </w:tcPr>
          <w:p>
            <w:r>
              <w:rPr>
                <w:sz w:val="17"/>
              </w:rPr>
              <w:t>✅ 基本合格</w:t>
            </w:r>
          </w:p>
        </w:tc>
        <w:tc>
          <w:tcPr>
            <w:tcW w:type="dxa" w:w="2160"/>
          </w:tcPr>
          <w:p>
            <w:r>
              <w:rPr>
                <w:sz w:val="17"/>
              </w:rPr>
              <w:t>Q1 段落结构清晰；Q2–Q4 部分段落过长，一个段落包含多个建模步骤</w:t>
            </w:r>
          </w:p>
        </w:tc>
      </w:tr>
      <w:tr>
        <w:tc>
          <w:tcPr>
            <w:tcW w:type="dxa" w:w="2160"/>
          </w:tcPr>
          <w:p>
            <w:r>
              <w:rPr>
                <w:sz w:val="17"/>
              </w:rPr>
              <w:t>3</w:t>
            </w:r>
          </w:p>
        </w:tc>
        <w:tc>
          <w:tcPr>
            <w:tcW w:type="dxa" w:w="2160"/>
          </w:tcPr>
          <w:p>
            <w:r>
              <w:rPr>
                <w:sz w:val="17"/>
              </w:rPr>
              <w:t>时态一致性</w:t>
            </w:r>
          </w:p>
        </w:tc>
        <w:tc>
          <w:tcPr>
            <w:tcW w:type="dxa" w:w="2160"/>
          </w:tcPr>
          <w:p>
            <w:r>
              <w:rPr>
                <w:sz w:val="17"/>
              </w:rPr>
              <w:t>⚠️ 部分不一致</w:t>
            </w:r>
          </w:p>
        </w:tc>
        <w:tc>
          <w:tcPr>
            <w:tcW w:type="dxa" w:w="2160"/>
          </w:tcPr>
          <w:p>
            <w:r>
              <w:rPr>
                <w:sz w:val="17"/>
              </w:rPr>
              <w:t>模型假设和符号定义使用现在时（正确），但结果描述中混杂现在时和过去时</w:t>
            </w:r>
          </w:p>
        </w:tc>
      </w:tr>
      <w:tr>
        <w:tc>
          <w:tcPr>
            <w:tcW w:type="dxa" w:w="2160"/>
          </w:tcPr>
          <w:p>
            <w:r>
              <w:rPr>
                <w:sz w:val="17"/>
              </w:rPr>
              <w:t>4</w:t>
            </w:r>
          </w:p>
        </w:tc>
        <w:tc>
          <w:tcPr>
            <w:tcW w:type="dxa" w:w="2160"/>
          </w:tcPr>
          <w:p>
            <w:r>
              <w:rPr>
                <w:sz w:val="17"/>
              </w:rPr>
              <w:t>Hedging 校准</w:t>
              <w:br/>
              <w:t>（结论强度匹配证据强度）</w:t>
            </w:r>
          </w:p>
        </w:tc>
        <w:tc>
          <w:tcPr>
            <w:tcW w:type="dxa" w:w="2160"/>
          </w:tcPr>
          <w:p>
            <w:r>
              <w:rPr>
                <w:sz w:val="17"/>
              </w:rPr>
              <w:t>⚠️ 部分过度</w:t>
            </w:r>
          </w:p>
        </w:tc>
        <w:tc>
          <w:tcPr>
            <w:tcW w:type="dxa" w:w="2160"/>
          </w:tcPr>
          <w:p>
            <w:r>
              <w:rPr>
                <w:sz w:val="17"/>
              </w:rPr>
              <w:t>Q1 不可行结论的 hedging 恰当（"严格不可行"有充分证据）；但 Q3 的 N-1 容错率和 Q4 的 MILP 调度效果未做合适的 hedging</w:t>
            </w:r>
          </w:p>
        </w:tc>
      </w:tr>
      <w:tr>
        <w:tc>
          <w:tcPr>
            <w:tcW w:type="dxa" w:w="2160"/>
          </w:tcPr>
          <w:p>
            <w:r>
              <w:rPr>
                <w:sz w:val="17"/>
              </w:rPr>
              <w:t>5</w:t>
            </w:r>
          </w:p>
        </w:tc>
        <w:tc>
          <w:tcPr>
            <w:tcW w:type="dxa" w:w="2160"/>
          </w:tcPr>
          <w:p>
            <w:r>
              <w:rPr>
                <w:sz w:val="17"/>
              </w:rPr>
              <w:t>Overclaim 检测</w:t>
            </w:r>
          </w:p>
        </w:tc>
        <w:tc>
          <w:tcPr>
            <w:tcW w:type="dxa" w:w="2160"/>
          </w:tcPr>
          <w:p>
            <w:r>
              <w:rPr>
                <w:sz w:val="17"/>
              </w:rPr>
              <w:t>🔴 存在风险</w:t>
            </w:r>
          </w:p>
        </w:tc>
        <w:tc>
          <w:tcPr>
            <w:tcW w:type="dxa" w:w="2160"/>
          </w:tcPr>
          <w:p>
            <w:r>
              <w:rPr>
                <w:sz w:val="17"/>
              </w:rPr>
              <w:t>见严重问题 S3——"PASS"标记可能被解读为"方案通过"，实际仅为"程序无报错"</w:t>
            </w:r>
          </w:p>
        </w:tc>
      </w:tr>
      <w:tr>
        <w:tc>
          <w:tcPr>
            <w:tcW w:type="dxa" w:w="2160"/>
          </w:tcPr>
          <w:p>
            <w:r>
              <w:rPr>
                <w:sz w:val="17"/>
              </w:rPr>
              <w:t>6</w:t>
            </w:r>
          </w:p>
        </w:tc>
        <w:tc>
          <w:tcPr>
            <w:tcW w:type="dxa" w:w="2160"/>
          </w:tcPr>
          <w:p>
            <w:r>
              <w:rPr>
                <w:sz w:val="17"/>
              </w:rPr>
              <w:t>公式格式</w:t>
            </w:r>
          </w:p>
        </w:tc>
        <w:tc>
          <w:tcPr>
            <w:tcW w:type="dxa" w:w="2160"/>
          </w:tcPr>
          <w:p>
            <w:r>
              <w:rPr>
                <w:sz w:val="17"/>
              </w:rPr>
              <w:t>🔴 严重缺陷</w:t>
            </w:r>
          </w:p>
        </w:tc>
        <w:tc>
          <w:tcPr>
            <w:tcW w:type="dxa" w:w="2160"/>
          </w:tcPr>
          <w:p>
            <w:r>
              <w:rPr>
                <w:sz w:val="17"/>
              </w:rPr>
              <w:t>见严重问题 S1——多处公式以 (??) 代替正式编号</w:t>
            </w:r>
          </w:p>
        </w:tc>
      </w:tr>
      <w:tr>
        <w:tc>
          <w:tcPr>
            <w:tcW w:type="dxa" w:w="2160"/>
          </w:tcPr>
          <w:p>
            <w:r>
              <w:rPr>
                <w:sz w:val="17"/>
              </w:rPr>
              <w:t>7</w:t>
            </w:r>
          </w:p>
        </w:tc>
        <w:tc>
          <w:tcPr>
            <w:tcW w:type="dxa" w:w="2160"/>
          </w:tcPr>
          <w:p>
            <w:r>
              <w:rPr>
                <w:sz w:val="17"/>
              </w:rPr>
              <w:t>符号一致性</w:t>
            </w:r>
          </w:p>
        </w:tc>
        <w:tc>
          <w:tcPr>
            <w:tcW w:type="dxa" w:w="2160"/>
          </w:tcPr>
          <w:p>
            <w:r>
              <w:rPr>
                <w:sz w:val="17"/>
              </w:rPr>
              <w:t>⚠️ 需检查</w:t>
            </w:r>
          </w:p>
        </w:tc>
        <w:tc>
          <w:tcPr>
            <w:tcW w:type="dxa" w:w="2160"/>
          </w:tcPr>
          <w:p>
            <w:r>
              <w:rPr>
                <w:sz w:val="17"/>
              </w:rPr>
              <w:t>全局符号表仅覆盖 Q1；Q2–Q4 新增符号未统一定义（见 M3）</w:t>
            </w:r>
          </w:p>
        </w:tc>
      </w:tr>
      <w:tr>
        <w:tc>
          <w:tcPr>
            <w:tcW w:type="dxa" w:w="2160"/>
          </w:tcPr>
          <w:p>
            <w:r>
              <w:rPr>
                <w:sz w:val="17"/>
              </w:rPr>
              <w:t>8</w:t>
            </w:r>
          </w:p>
        </w:tc>
        <w:tc>
          <w:tcPr>
            <w:tcW w:type="dxa" w:w="2160"/>
          </w:tcPr>
          <w:p>
            <w:r>
              <w:rPr>
                <w:sz w:val="17"/>
              </w:rPr>
              <w:t>图表引用</w:t>
            </w:r>
          </w:p>
        </w:tc>
        <w:tc>
          <w:tcPr>
            <w:tcW w:type="dxa" w:w="2160"/>
          </w:tcPr>
          <w:p>
            <w:r>
              <w:rPr>
                <w:sz w:val="17"/>
              </w:rPr>
              <w:t>⚠️ 需完善</w:t>
            </w:r>
          </w:p>
        </w:tc>
        <w:tc>
          <w:tcPr>
            <w:tcW w:type="dxa" w:w="2160"/>
          </w:tcPr>
          <w:p>
            <w:r>
              <w:rPr>
                <w:sz w:val="17"/>
              </w:rPr>
              <w:t>见重要问题 M5——部分图表标题缺少 takeaway，引用顺序待核查</w:t>
            </w:r>
          </w:p>
        </w:tc>
      </w:tr>
      <w:tr>
        <w:tc>
          <w:tcPr>
            <w:tcW w:type="dxa" w:w="2160"/>
          </w:tcPr>
          <w:p>
            <w:r>
              <w:rPr>
                <w:sz w:val="17"/>
              </w:rPr>
              <w:t>9</w:t>
            </w:r>
          </w:p>
        </w:tc>
        <w:tc>
          <w:tcPr>
            <w:tcW w:type="dxa" w:w="2160"/>
          </w:tcPr>
          <w:p>
            <w:r>
              <w:rPr>
                <w:sz w:val="17"/>
              </w:rPr>
              <w:t>过渡与衔接</w:t>
            </w:r>
          </w:p>
        </w:tc>
        <w:tc>
          <w:tcPr>
            <w:tcW w:type="dxa" w:w="2160"/>
          </w:tcPr>
          <w:p>
            <w:r>
              <w:rPr>
                <w:sz w:val="17"/>
              </w:rPr>
              <w:t>⚠️ Q2–Q4 较弱</w:t>
            </w:r>
          </w:p>
        </w:tc>
        <w:tc>
          <w:tcPr>
            <w:tcW w:type="dxa" w:w="2160"/>
          </w:tcPr>
          <w:p>
            <w:r>
              <w:rPr>
                <w:sz w:val="17"/>
              </w:rPr>
              <w:t>Q1→Q2 的过渡段较好；但 Q2→Q3、Q3→Q4 之间缺少递进逻辑说明</w:t>
            </w:r>
          </w:p>
        </w:tc>
      </w:tr>
      <w:tr>
        <w:tc>
          <w:tcPr>
            <w:tcW w:type="dxa" w:w="2160"/>
          </w:tcPr>
          <w:p>
            <w:r>
              <w:rPr>
                <w:sz w:val="17"/>
              </w:rPr>
              <w:t>10</w:t>
            </w:r>
          </w:p>
        </w:tc>
        <w:tc>
          <w:tcPr>
            <w:tcW w:type="dxa" w:w="2160"/>
          </w:tcPr>
          <w:p>
            <w:r>
              <w:rPr>
                <w:sz w:val="17"/>
              </w:rPr>
              <w:t>用词选择</w:t>
              <w:br/>
              <w:t>（具体 &gt; 模糊，简单 &gt; 华丽）</w:t>
            </w:r>
          </w:p>
        </w:tc>
        <w:tc>
          <w:tcPr>
            <w:tcW w:type="dxa" w:w="2160"/>
          </w:tcPr>
          <w:p>
            <w:r>
              <w:rPr>
                <w:sz w:val="17"/>
              </w:rPr>
              <w:t>✅ 基本合格</w:t>
            </w:r>
          </w:p>
        </w:tc>
        <w:tc>
          <w:tcPr>
            <w:tcW w:type="dxa" w:w="2160"/>
          </w:tcPr>
          <w:p>
            <w:r>
              <w:rPr>
                <w:sz w:val="17"/>
              </w:rPr>
              <w:t>整体用词具体、专业，军事术语使用恰当；偶有"较好的""显著的"等模糊定性词需量化</w:t>
            </w:r>
          </w:p>
        </w:tc>
      </w:tr>
      <w:tr>
        <w:tc>
          <w:tcPr>
            <w:tcW w:type="dxa" w:w="2160"/>
          </w:tcPr>
          <w:p>
            <w:r>
              <w:rPr>
                <w:sz w:val="17"/>
              </w:rPr>
              <w:t>11</w:t>
            </w:r>
          </w:p>
        </w:tc>
        <w:tc>
          <w:tcPr>
            <w:tcW w:type="dxa" w:w="2160"/>
          </w:tcPr>
          <w:p>
            <w:r>
              <w:rPr>
                <w:sz w:val="17"/>
              </w:rPr>
              <w:t>语态</w:t>
              <w:br/>
              <w:t>（倾向主动语态，"我们"一致）</w:t>
            </w:r>
          </w:p>
        </w:tc>
        <w:tc>
          <w:tcPr>
            <w:tcW w:type="dxa" w:w="2160"/>
          </w:tcPr>
          <w:p>
            <w:r>
              <w:rPr>
                <w:sz w:val="17"/>
              </w:rPr>
              <w:t>✅ 合格</w:t>
            </w:r>
          </w:p>
        </w:tc>
        <w:tc>
          <w:tcPr>
            <w:tcW w:type="dxa" w:w="2160"/>
          </w:tcPr>
          <w:p>
            <w:r>
              <w:rPr>
                <w:sz w:val="17"/>
              </w:rPr>
              <w:t>"本文""我们"的使用基本一致，主动语态为主</w:t>
            </w:r>
          </w:p>
        </w:tc>
      </w:tr>
      <w:tr>
        <w:tc>
          <w:tcPr>
            <w:tcW w:type="dxa" w:w="2160"/>
          </w:tcPr>
          <w:p>
            <w:r>
              <w:rPr>
                <w:sz w:val="17"/>
              </w:rPr>
              <w:t>12</w:t>
            </w:r>
          </w:p>
        </w:tc>
        <w:tc>
          <w:tcPr>
            <w:tcW w:type="dxa" w:w="2160"/>
          </w:tcPr>
          <w:p>
            <w:r>
              <w:rPr>
                <w:sz w:val="17"/>
              </w:rPr>
              <w:t>格式合规</w:t>
              <w:br/>
              <w:t>（字数/页数/字体/边距/编号）</w:t>
            </w:r>
          </w:p>
        </w:tc>
        <w:tc>
          <w:tcPr>
            <w:tcW w:type="dxa" w:w="2160"/>
          </w:tcPr>
          <w:p>
            <w:r>
              <w:rPr>
                <w:sz w:val="17"/>
              </w:rPr>
              <w:t>⚠️ 需核查</w:t>
            </w:r>
          </w:p>
        </w:tc>
        <w:tc>
          <w:tcPr>
            <w:tcW w:type="dxa" w:w="2160"/>
          </w:tcPr>
          <w:p>
            <w:r>
              <w:rPr>
                <w:sz w:val="17"/>
              </w:rPr>
              <w:t>28 页对竞赛论文偏长（通常建议控制在 20–25 页）；部分表格超出页边距；标题编号体系（1/1.1/1.1.1）需统一核查</w:t>
            </w:r>
          </w:p>
        </w:tc>
      </w:tr>
    </w:tbl>
    <w:p>
      <w:r>
        <w:br w:type="page"/>
      </w:r>
    </w:p>
    <w:p>
      <w:pPr>
        <w:pStyle w:val="Heading1"/>
      </w:pPr>
      <w:r>
        <w:rPr>
          <w:rFonts w:ascii="黑体" w:hAnsi="黑体" w:eastAsia="黑体"/>
        </w:rPr>
        <w:t>四、Quality-Assurance 五维度审计</w:t>
      </w:r>
    </w:p>
    <w:p>
      <w:pPr>
        <w:pStyle w:val="Heading3"/>
      </w:pPr>
      <w:r>
        <w:rPr>
          <w:rFonts w:ascii="黑体" w:hAnsi="黑体" w:eastAsia="黑体"/>
        </w:rPr>
        <w:t>1. 工作流完整性</w:t>
        <w:br/>
        <w:t>(Workflow Integrity)</w:t>
      </w:r>
    </w:p>
    <w:p>
      <w:r>
        <w:rPr>
          <w:rFonts w:ascii="宋体" w:hAnsi="宋体" w:eastAsia="宋体"/>
          <w:b/>
          <w:sz w:val="22"/>
        </w:rPr>
        <w:t>状态：</w:t>
      </w:r>
      <w:r>
        <w:rPr>
          <w:rFonts w:ascii="宋体" w:hAnsi="宋体" w:eastAsia="宋体"/>
          <w:b/>
          <w:color w:val="B42828"/>
          <w:sz w:val="22"/>
        </w:rPr>
        <w:t>⚠️ 部分通过</w:t>
      </w:r>
    </w:p>
    <w:p>
      <w:r>
        <w:rPr>
          <w:rFonts w:ascii="宋体" w:hAnsi="宋体" w:eastAsia="宋体"/>
          <w:b w:val="0"/>
          <w:sz w:val="22"/>
        </w:rPr>
        <w:t>项目 manifests 显示 Q1–Q3 均到达 G4 门控，Q4 状态不完整。但论文中 Q1 的方法论极为详尽而 Q2–Q4 明显简略，暗示工作流在后期加速。缺少全局的 frozen_numbers.json 和 solution package。</w:t>
      </w:r>
    </w:p>
    <w:p>
      <w:pPr>
        <w:pStyle w:val="Heading3"/>
      </w:pPr>
      <w:r>
        <w:rPr>
          <w:rFonts w:ascii="黑体" w:hAnsi="黑体" w:eastAsia="黑体"/>
        </w:rPr>
        <w:t>2. 证据完整性</w:t>
        <w:br/>
        <w:t>(Evidence Integrity)</w:t>
      </w:r>
    </w:p>
    <w:p>
      <w:r>
        <w:rPr>
          <w:rFonts w:ascii="宋体" w:hAnsi="宋体" w:eastAsia="宋体"/>
          <w:b/>
          <w:sz w:val="22"/>
        </w:rPr>
        <w:t>状态：</w:t>
      </w:r>
      <w:r>
        <w:rPr>
          <w:rFonts w:ascii="宋体" w:hAnsi="宋体" w:eastAsia="宋体"/>
          <w:b/>
          <w:color w:val="B42828"/>
          <w:sz w:val="22"/>
        </w:rPr>
        <w:t>🔴 存在问题</w:t>
      </w:r>
    </w:p>
    <w:p>
      <w:r>
        <w:rPr>
          <w:rFonts w:ascii="宋体" w:hAnsi="宋体" w:eastAsia="宋体"/>
          <w:b w:val="0"/>
          <w:sz w:val="22"/>
        </w:rPr>
        <w:t>Q1 的三重交叉验证提供了良好的证据基础，但：</w:t>
        <w:br/>
        <w:t>• 参考文献 [1][2][3] 作者名缺失——可能触发 reference-manager 的 fabrication flag</w:t>
        <w:br/>
        <w:t>• Q2/Q3 的部分数值无法从论文直接追溯到代码输出</w:t>
        <w:br/>
        <w:t>• T_exec = not_evaluated 暴露了输入数据缺失，但论文未将其标记为已知局限性</w:t>
      </w:r>
    </w:p>
    <w:p>
      <w:pPr>
        <w:pStyle w:val="Heading3"/>
      </w:pPr>
      <w:r>
        <w:rPr>
          <w:rFonts w:ascii="黑体" w:hAnsi="黑体" w:eastAsia="黑体"/>
        </w:rPr>
        <w:t>3. 方法质量</w:t>
        <w:br/>
        <w:t>(Method Quality)</w:t>
      </w:r>
    </w:p>
    <w:p>
      <w:r>
        <w:rPr>
          <w:rFonts w:ascii="宋体" w:hAnsi="宋体" w:eastAsia="宋体"/>
          <w:b/>
          <w:sz w:val="22"/>
        </w:rPr>
        <w:t>状态：</w:t>
      </w:r>
      <w:r>
        <w:rPr>
          <w:rFonts w:ascii="宋体" w:hAnsi="宋体" w:eastAsia="宋体"/>
          <w:b/>
          <w:color w:val="B42828"/>
          <w:sz w:val="22"/>
        </w:rPr>
        <w:t>⚠️ 基本合格</w:t>
      </w:r>
    </w:p>
    <w:p>
      <w:r>
        <w:rPr>
          <w:rFonts w:ascii="宋体" w:hAnsi="宋体" w:eastAsia="宋体"/>
          <w:b w:val="0"/>
          <w:sz w:val="22"/>
        </w:rPr>
        <w:t>Q1 的方法质量出色（不可行性证明+参数化补偿）；Q2/Q3 的几何覆盖方法和 Pareto 优化方法合理；Q4 MILP 描述不够充分（见 M6）。baseline 对比不足（见 M1），鲁棒性证据不均衡（见 M2）。</w:t>
      </w:r>
    </w:p>
    <w:p>
      <w:pPr>
        <w:pStyle w:val="Heading3"/>
      </w:pPr>
      <w:r>
        <w:rPr>
          <w:rFonts w:ascii="黑体" w:hAnsi="黑体" w:eastAsia="黑体"/>
        </w:rPr>
        <w:t>4. 论文质量</w:t>
        <w:br/>
        <w:t>(Paper Quality)</w:t>
      </w:r>
    </w:p>
    <w:p>
      <w:r>
        <w:rPr>
          <w:rFonts w:ascii="宋体" w:hAnsi="宋体" w:eastAsia="宋体"/>
          <w:b/>
          <w:sz w:val="22"/>
        </w:rPr>
        <w:t>状态：</w:t>
      </w:r>
      <w:r>
        <w:rPr>
          <w:rFonts w:ascii="宋体" w:hAnsi="宋体" w:eastAsia="宋体"/>
          <w:b/>
          <w:color w:val="B42828"/>
          <w:sz w:val="22"/>
        </w:rPr>
        <w:t>⚠️ 有改进空间</w:t>
      </w:r>
    </w:p>
    <w:p>
      <w:r>
        <w:rPr>
          <w:rFonts w:ascii="宋体" w:hAnsi="宋体" w:eastAsia="宋体"/>
          <w:b w:val="0"/>
          <w:sz w:val="22"/>
        </w:rPr>
        <w:t>Q1 写作质量高，问题/方法/结果/结论对齐良好。Q2–Q4 存在公式编号缺失、符号定义不完整、图表可读性问题。结论部分过于简短，未体现四个问题的完整贡献。</w:t>
      </w:r>
    </w:p>
    <w:p>
      <w:pPr>
        <w:pStyle w:val="Heading3"/>
      </w:pPr>
      <w:r>
        <w:rPr>
          <w:rFonts w:ascii="黑体" w:hAnsi="黑体" w:eastAsia="黑体"/>
        </w:rPr>
        <w:t>5. 呈现质量</w:t>
        <w:br/>
        <w:t>(Presentation)</w:t>
      </w:r>
    </w:p>
    <w:p>
      <w:r>
        <w:rPr>
          <w:rFonts w:ascii="宋体" w:hAnsi="宋体" w:eastAsia="宋体"/>
          <w:b/>
          <w:sz w:val="22"/>
        </w:rPr>
        <w:t>状态：</w:t>
      </w:r>
      <w:r>
        <w:rPr>
          <w:rFonts w:ascii="宋体" w:hAnsi="宋体" w:eastAsia="宋体"/>
          <w:b/>
          <w:color w:val="B42828"/>
          <w:sz w:val="22"/>
        </w:rPr>
        <w:t>⚠️ 需修复</w:t>
      </w:r>
    </w:p>
    <w:p>
      <w:r>
        <w:rPr>
          <w:rFonts w:ascii="宋体" w:hAnsi="宋体" w:eastAsia="宋体"/>
          <w:b w:val="0"/>
          <w:sz w:val="22"/>
        </w:rPr>
        <w:t>图表渲染质量中等偏上，但部分图的可读性不足（颜色区分度、标注清晰度）。参考文献格式不统一且信息不完整。中文渲染存在乱码问题（编译引擎/字体配置问题）。</w:t>
      </w:r>
    </w:p>
    <w:p>
      <w:r>
        <w:br w:type="page"/>
      </w:r>
    </w:p>
    <w:p>
      <w:pPr>
        <w:pStyle w:val="Heading1"/>
      </w:pPr>
      <w:r>
        <w:rPr>
          <w:rFonts w:ascii="黑体" w:hAnsi="黑体" w:eastAsia="黑体"/>
        </w:rPr>
        <w:t>五、各问题详细修改建议</w:t>
      </w:r>
    </w:p>
    <w:p>
      <w:pPr>
        <w:pStyle w:val="Heading2"/>
      </w:pPr>
      <w:r>
        <w:rPr>
          <w:rFonts w:ascii="黑体" w:hAnsi="黑体" w:eastAsia="黑体"/>
        </w:rPr>
        <w:t>问题一（Q1）修改建议</w:t>
      </w:r>
    </w:p>
    <w:p>
      <w:r>
        <w:rPr>
          <w:rFonts w:ascii="宋体" w:hAnsi="宋体" w:eastAsia="宋体"/>
          <w:b w:val="0"/>
          <w:sz w:val="22"/>
        </w:rPr>
        <w:t>Q1 是全文质量最高的部分，主要建议为锦上添花：</w:t>
      </w:r>
    </w:p>
    <w:p>
      <w:pPr>
        <w:pStyle w:val="ListBullet"/>
      </w:pPr>
      <w:r>
        <w:t>将 .tex试修改1.tex 中的改进（双坐标系说明、四类运行状态区分、Q1→Q2 接口规范、条件分层表）全部纳入正式论文</w:t>
      </w:r>
    </w:p>
    <w:p>
      <w:pPr>
        <w:pStyle w:val="ListBullet"/>
      </w:pPr>
      <w:r>
        <w:t>补充 T_exec 的一个假想场景的完整算例（即使赛题未给初始坐标，也可声明"本节以如下基准场景为例…"）</w:t>
      </w:r>
    </w:p>
    <w:p>
      <w:pPr>
        <w:pStyle w:val="ListBullet"/>
      </w:pPr>
      <w:r>
        <w:t>将鲁棒性分析中的"临界翻转条件"用更直观的图表呈现（如 Vs 从 0 到 50 m/s 的参数扫描曲线）</w:t>
      </w:r>
    </w:p>
    <w:p>
      <w:pPr>
        <w:pStyle w:val="ListBullet"/>
      </w:pPr>
      <w:r>
        <w:t>在三重交叉验证表中增加一列"容差/误差范围"的具体数值</w:t>
      </w:r>
    </w:p>
    <w:p>
      <w:pPr>
        <w:pStyle w:val="ListBullet"/>
      </w:pPr>
      <w:r>
        <w:t>将模型假设的 G1/S1/O0/U0 标签体系扩展到全文，作为方法论品牌</w:t>
      </w:r>
    </w:p>
    <w:p>
      <w:pPr>
        <w:pStyle w:val="Heading2"/>
      </w:pPr>
      <w:r>
        <w:rPr>
          <w:rFonts w:ascii="黑体" w:hAnsi="黑体" w:eastAsia="黑体"/>
        </w:rPr>
        <w:t>问题二（Q2）修改建议</w:t>
      </w:r>
    </w:p>
    <w:p>
      <w:r>
        <w:rPr>
          <w:rFonts w:ascii="宋体" w:hAnsi="宋体" w:eastAsia="宋体"/>
          <w:b w:val="0"/>
          <w:sz w:val="22"/>
        </w:rPr>
        <w:t>Q2 需要重点加强方法论严谨性和结果解释：</w:t>
      </w:r>
    </w:p>
    <w:p>
      <w:pPr>
        <w:pStyle w:val="ListBullet"/>
      </w:pPr>
      <w:r>
        <w:t>修复所有 (??) 公式编号</w:t>
      </w:r>
    </w:p>
    <w:p>
      <w:pPr>
        <w:pStyle w:val="ListBullet"/>
      </w:pPr>
      <w:r>
        <w:t>采用 .tex试修改1.tex 中的统一缺陷指标 Δ(t) 替换当前的简略覆盖判据，明确"禁止网格近似"</w:t>
      </w:r>
    </w:p>
    <w:p>
      <w:pPr>
        <w:pStyle w:val="ListBullet"/>
      </w:pPr>
      <w:r>
        <w:t>增加多烟幕覆盖的几何示意图（2–3 个烟幕圆盘的并集覆盖舰船圆盘）</w:t>
      </w:r>
    </w:p>
    <w:p>
      <w:pPr>
        <w:pStyle w:val="ListBullet"/>
      </w:pPr>
      <w:r>
        <w:t>补充正式的 baseline（如均匀间隔投放策略），与主方案做定量对比</w:t>
      </w:r>
    </w:p>
    <w:p>
      <w:pPr>
        <w:pStyle w:val="ListBullet"/>
      </w:pPr>
      <w:r>
        <w:t>增加对关键参数（投弹间隔、起爆延时、舰船航向）的敏感性分析</w:t>
      </w:r>
    </w:p>
    <w:p>
      <w:pPr>
        <w:pStyle w:val="ListBullet"/>
      </w:pPr>
      <w:r>
        <w:t>解释 29.07 s vs 20.75 s 的战术含义：多弹方案相比单弹上界 10.38 s 的增益来源</w:t>
      </w:r>
    </w:p>
    <w:p>
      <w:pPr>
        <w:pStyle w:val="ListBullet"/>
      </w:pPr>
      <w:r>
        <w:t>增加对 Q2 单 UAV 航程约束的详细讨论（12 km 作战半径下是否可达）</w:t>
      </w:r>
    </w:p>
    <w:p>
      <w:pPr>
        <w:pStyle w:val="Heading2"/>
      </w:pPr>
      <w:r>
        <w:rPr>
          <w:rFonts w:ascii="黑体" w:hAnsi="黑体" w:eastAsia="黑体"/>
        </w:rPr>
        <w:t>问题三（Q3）修改建议</w:t>
      </w:r>
    </w:p>
    <w:p>
      <w:r>
        <w:rPr>
          <w:rFonts w:ascii="宋体" w:hAnsi="宋体" w:eastAsia="宋体"/>
          <w:b w:val="0"/>
          <w:sz w:val="22"/>
        </w:rPr>
        <w:t>Q3 需要澄清多目标优化方法和 N-1 容错计算：</w:t>
      </w:r>
    </w:p>
    <w:p>
      <w:pPr>
        <w:pStyle w:val="ListBullet"/>
      </w:pPr>
      <w:r>
        <w:t>完整列出 Pareto 多目标优化模型的数学表达式（两个目标函数 + 全部约束）</w:t>
      </w:r>
    </w:p>
    <w:p>
      <w:pPr>
        <w:pStyle w:val="ListBullet"/>
      </w:pPr>
      <w:r>
        <w:t>明确定义 N-1 容错的判断标准和计算方法，列出三种失效场景的详细结果</w:t>
      </w:r>
    </w:p>
    <w:p>
      <w:pPr>
        <w:pStyle w:val="ListBullet"/>
      </w:pPr>
      <w:r>
        <w:t>解释 P2 方案为何优于 P1/P4/Q3-B——不要仅凭数值列表，需给出物理/几何解释</w:t>
      </w:r>
    </w:p>
    <w:p>
      <w:pPr>
        <w:pStyle w:val="ListBullet"/>
      </w:pPr>
      <w:r>
        <w:t>补充 N-1 容错率 2/3 与 40.91% 这两个数字的关系和含义</w:t>
      </w:r>
    </w:p>
    <w:p>
      <w:pPr>
        <w:pStyle w:val="ListBullet"/>
      </w:pPr>
      <w:r>
        <w:t>增加 Pareto 前沿对关键参数（dsafe、Vu）敏感性的分析</w:t>
      </w:r>
    </w:p>
    <w:p>
      <w:pPr>
        <w:pStyle w:val="ListBullet"/>
      </w:pPr>
      <w:r>
        <w:t>在结果表中增加与 baseline（如对称三角部署）的对比</w:t>
      </w:r>
    </w:p>
    <w:p>
      <w:pPr>
        <w:pStyle w:val="ListBullet"/>
      </w:pPr>
      <w:r>
        <w:t>增加三机协同的空间部署示意图（标注 UAV1/UAV2/UAV3 的相对位置和烟幕覆盖区域）</w:t>
      </w:r>
    </w:p>
    <w:p>
      <w:pPr>
        <w:pStyle w:val="Heading2"/>
      </w:pPr>
      <w:r>
        <w:rPr>
          <w:rFonts w:ascii="黑体" w:hAnsi="黑体" w:eastAsia="黑体"/>
        </w:rPr>
        <w:t>问题四（Q4）修改建议</w:t>
      </w:r>
    </w:p>
    <w:p>
      <w:r>
        <w:rPr>
          <w:rFonts w:ascii="宋体" w:hAnsi="宋体" w:eastAsia="宋体"/>
          <w:b w:val="0"/>
          <w:sz w:val="22"/>
        </w:rPr>
        <w:t>Q4 需要全面充实 MILP 模型的数学描述：</w:t>
      </w:r>
    </w:p>
    <w:p>
      <w:pPr>
        <w:pStyle w:val="ListBullet"/>
      </w:pPr>
      <w:r>
        <w:t>完整写出 MILP 数学规划模型（决策变量全集、目标函数、所有约束条件的数学表达式）</w:t>
      </w:r>
    </w:p>
    <w:p>
      <w:pPr>
        <w:pStyle w:val="ListBullet"/>
      </w:pPr>
      <w:r>
        <w:t>补充求解器信息（名称、版本）、求解时间、问题规模（变量数/约束数）</w:t>
      </w:r>
    </w:p>
    <w:p>
      <w:pPr>
        <w:pStyle w:val="ListBullet"/>
      </w:pPr>
      <w:r>
        <w:t>讨论 MILP 的 tightness 和 MIP Gap</w:t>
      </w:r>
    </w:p>
    <w:p>
      <w:pPr>
        <w:pStyle w:val="ListBullet"/>
      </w:pPr>
      <w:r>
        <w:t>三种工况（资源充足/临界/短缺）的划分标准和对应的模型调整需明确说明</w:t>
      </w:r>
    </w:p>
    <w:p>
      <w:pPr>
        <w:pStyle w:val="ListBullet"/>
      </w:pPr>
      <w:r>
        <w:t>增加威胁评估模型的详细描述（威胁权重的计算公式和参数选择理由）</w:t>
      </w:r>
    </w:p>
    <w:p>
      <w:pPr>
        <w:pStyle w:val="ListBullet"/>
      </w:pPr>
      <w:r>
        <w:t>补充 baseline 对比（如贪心分配策略 vs MILP 最优调度）</w:t>
      </w:r>
    </w:p>
    <w:p>
      <w:pPr>
        <w:pStyle w:val="ListBullet"/>
      </w:pPr>
      <w:r>
        <w:t>增加调度方案的时间轴甘特图，直观展示 5 架 UAV 的任务分配</w:t>
      </w:r>
    </w:p>
    <w:p>
      <w:pPr>
        <w:pStyle w:val="ListBullet"/>
      </w:pPr>
      <w:r>
        <w:t>讨论 MILP 方案在实际应用中的实时性（求解时间是否满足实战要求）</w:t>
      </w:r>
    </w:p>
    <w:p>
      <w:r>
        <w:br w:type="page"/>
      </w:r>
    </w:p>
    <w:p>
      <w:pPr>
        <w:pStyle w:val="Heading1"/>
      </w:pPr>
      <w:r>
        <w:rPr>
          <w:rFonts w:ascii="黑体" w:hAnsi="黑体" w:eastAsia="黑体"/>
        </w:rPr>
        <w:t>六、修改优先级路线图</w:t>
      </w:r>
    </w:p>
    <w:p>
      <w:r>
        <w:rPr>
          <w:rFonts w:ascii="宋体" w:hAnsi="宋体" w:eastAsia="宋体"/>
          <w:b/>
          <w:sz w:val="22"/>
        </w:rPr>
        <w:t>建议按以下三个阶段推进修改（预计总工时：3–5 天）：</w:t>
      </w:r>
    </w:p>
    <w:p>
      <w:pPr>
        <w:pStyle w:val="Heading2"/>
      </w:pPr>
      <w:r>
        <w:rPr>
          <w:rFonts w:ascii="黑体" w:hAnsi="黑体" w:eastAsia="黑体"/>
        </w:rPr>
        <w:t>第一阶段：修堵致命缺陷（1–2 天）</w:t>
      </w:r>
    </w:p>
    <w:p>
      <w:pPr>
        <w:pStyle w:val="ListBullet"/>
      </w:pPr>
      <w:r>
        <w:t>修复所有 (??) 公式编号 → 全文公式体系完整</w:t>
      </w:r>
    </w:p>
    <w:p>
      <w:pPr>
        <w:pStyle w:val="ListBullet"/>
      </w:pPr>
      <w:r>
        <w:t>补全参考文献（作者、标题、出处） → 消除引用规范性问题</w:t>
      </w:r>
    </w:p>
    <w:p>
      <w:pPr>
        <w:pStyle w:val="ListBullet"/>
      </w:pPr>
      <w:r>
        <w:t>统一四类程序运行状态标记 → 消除 PASS/Fail 歧义</w:t>
      </w:r>
    </w:p>
    <w:p>
      <w:pPr>
        <w:pStyle w:val="ListBullet"/>
      </w:pPr>
      <w:r>
        <w:t>将 .tex试修改1.tex 中 Q1 的改进内容纳入正文 → Q1 定稿</w:t>
      </w:r>
    </w:p>
    <w:p>
      <w:pPr>
        <w:pStyle w:val="Heading2"/>
      </w:pPr>
      <w:r>
        <w:rPr>
          <w:rFonts w:ascii="黑体" w:hAnsi="黑体" w:eastAsia="黑体"/>
        </w:rPr>
        <w:t>第二阶段：补齐方法深度（1–2 天）</w:t>
      </w:r>
    </w:p>
    <w:p>
      <w:pPr>
        <w:pStyle w:val="ListBullet"/>
      </w:pPr>
      <w:r>
        <w:t>Q2: 采用 Δ(t) 统一缺陷指标，补充 baseline 对比和几何示意图</w:t>
      </w:r>
    </w:p>
    <w:p>
      <w:pPr>
        <w:pStyle w:val="ListBullet"/>
      </w:pPr>
      <w:r>
        <w:t>Q3: 完善 Pareto 模型数学表达式，澄清 N-1 容错计算</w:t>
      </w:r>
    </w:p>
    <w:p>
      <w:pPr>
        <w:pStyle w:val="ListBullet"/>
      </w:pPr>
      <w:r>
        <w:t>Q4: 完整列出 MILP 数学规划模型，补充求解信息和 baseline</w:t>
      </w:r>
    </w:p>
    <w:p>
      <w:pPr>
        <w:pStyle w:val="ListBullet"/>
      </w:pPr>
      <w:r>
        <w:t>Q2–Q4: 补充系统性鲁棒性分析（参数扰动 + 约束松弛）</w:t>
      </w:r>
    </w:p>
    <w:p>
      <w:pPr>
        <w:pStyle w:val="Heading2"/>
      </w:pPr>
      <w:r>
        <w:rPr>
          <w:rFonts w:ascii="黑体" w:hAnsi="黑体" w:eastAsia="黑体"/>
        </w:rPr>
        <w:t>第三阶段：润色表达与规范（1 天）</w:t>
      </w:r>
    </w:p>
    <w:p>
      <w:pPr>
        <w:pStyle w:val="ListBullet"/>
      </w:pPr>
      <w:r>
        <w:t>扩充符号表覆盖 Q2–Q4 全部变量</w:t>
      </w:r>
    </w:p>
    <w:p>
      <w:pPr>
        <w:pStyle w:val="ListBullet"/>
      </w:pPr>
      <w:r>
        <w:t>重审所有图表标题，增加 takeaway</w:t>
      </w:r>
    </w:p>
    <w:p>
      <w:pPr>
        <w:pStyle w:val="ListBullet"/>
      </w:pPr>
      <w:r>
        <w:t>重写摘要（方法—结果—结论叙事）</w:t>
      </w:r>
    </w:p>
    <w:p>
      <w:pPr>
        <w:pStyle w:val="ListBullet"/>
      </w:pPr>
      <w:r>
        <w:t>扩展结论与局限性章节</w:t>
      </w:r>
    </w:p>
    <w:p>
      <w:pPr>
        <w:pStyle w:val="ListBullet"/>
      </w:pPr>
      <w:r>
        <w:t>统一数值精度、术语使用、时态和语态</w:t>
      </w:r>
    </w:p>
    <w:p>
      <w:pPr>
        <w:pStyle w:val="ListBullet"/>
      </w:pPr>
      <w:r>
        <w:t>核查所有交叉引用（公式编号、图表编号、参考文献引用）</w:t>
      </w:r>
    </w:p>
    <w:p>
      <w:pPr>
        <w:pStyle w:val="ListBullet"/>
      </w:pPr>
      <w:r>
        <w:t>最终 PDF 编译检查（XeLaTeX + 中文字体 + 图表分辨率 ≥ 300 dpi）</w:t>
      </w:r>
    </w:p>
    <w:p>
      <w:r>
        <w:br w:type="page"/>
      </w:r>
    </w:p>
    <w:p>
      <w:pPr>
        <w:pStyle w:val="Heading1"/>
      </w:pPr>
      <w:r>
        <w:rPr>
          <w:rFonts w:ascii="黑体" w:hAnsi="黑体" w:eastAsia="黑体"/>
        </w:rPr>
        <w:t>附录：评审依据——cmcm_work 技能体系摘要</w:t>
      </w:r>
    </w:p>
    <w:p>
      <w:r>
        <w:rPr>
          <w:rFonts w:ascii="宋体" w:hAnsi="宋体" w:eastAsia="宋体"/>
          <w:b w:val="0"/>
          <w:sz w:val="22"/>
        </w:rPr>
        <w:t>本评审报告基于 cmcm_work 项目中的以下核心技能和规范文件：</w:t>
      </w:r>
    </w:p>
    <w:p>
      <w:pPr>
        <w:pStyle w:val="ListBullet"/>
      </w:pPr>
      <w:r>
        <w:t>workflow-orchestrator: G1–G6 门控体系（问题框架→方法筛选→人工选择→代码实验→结果冻结→最终审计）</w:t>
      </w:r>
    </w:p>
    <w:p>
      <w:pPr>
        <w:pStyle w:val="ListBullet"/>
      </w:pPr>
      <w:r>
        <w:t>paper-polisher: 12 点论文润色清单（句子/段落/时态/hedging/overclaim/公式/符号/图表/过渡/用词/语态/格式）</w:t>
      </w:r>
    </w:p>
    <w:p>
      <w:pPr>
        <w:pStyle w:val="ListBullet"/>
      </w:pPr>
      <w:r>
        <w:t>quality-assurance-auditor: 五维度 QA 审计（工作流完整性/证据完整性/方法质量/论文质量/呈现质量）</w:t>
      </w:r>
    </w:p>
    <w:p>
      <w:pPr>
        <w:pStyle w:val="ListBullet"/>
      </w:pPr>
      <w:r>
        <w:t>completeness-auditor: 证据完整性检查（lean vs submission 两种 profile）</w:t>
      </w:r>
    </w:p>
    <w:p>
      <w:pPr>
        <w:pStyle w:val="ListBullet"/>
      </w:pPr>
      <w:r>
        <w:t>consistency-auditor: 跨媒介一致性审计（数值/符号/参数/决策/文件/论文声明的对齐）</w:t>
      </w:r>
    </w:p>
    <w:p>
      <w:pPr>
        <w:pStyle w:val="ListBullet"/>
      </w:pPr>
      <w:r>
        <w:t>robustness-checker: 风险导向的鲁棒性检查设计（参数扰动/约束松弛/输出退化/基线对比）</w:t>
      </w:r>
    </w:p>
    <w:p>
      <w:pPr>
        <w:pStyle w:val="ListBullet"/>
      </w:pPr>
      <w:r>
        <w:t>method-selector: 角色化方法短列表（main_candidate + usable_baseline + conditional_fallback）</w:t>
      </w:r>
    </w:p>
    <w:p>
      <w:pPr>
        <w:pStyle w:val="ListBullet"/>
      </w:pPr>
      <w:r>
        <w:t>reference-manager: 参考文献管理与真实性验证</w:t>
      </w:r>
    </w:p>
    <w:p>
      <w:pPr>
        <w:pStyle w:val="ListBullet"/>
      </w:pPr>
      <w:r>
        <w:t>symbol-table-builder: 全局符号表构建与冲突消解</w:t>
      </w:r>
    </w:p>
    <w:p>
      <w:pPr>
        <w:pStyle w:val="ListBullet"/>
      </w:pPr>
      <w:r>
        <w:t>figure-table-planner: 图表类型规划（Type 1 诊断/Type 2 对比/Type 3 论文/Type 4 附录）</w:t>
      </w:r>
    </w:p>
    <w:p>
      <w:pPr>
        <w:pStyle w:val="ListBullet"/>
      </w:pPr>
      <w:r>
        <w:t>result-report-generator: 结果报告与主方案-baseline 对比规范</w:t>
      </w:r>
    </w:p>
    <w:p>
      <w:pPr>
        <w:pStyle w:val="ListBullet"/>
      </w:pPr>
      <w:r>
        <w:t>solution-package-builder: 方案包组装与 frozen_numbers.json 冻结机制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