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exact"/>
        <w:jc w:val="center"/>
      </w:pPr>
      <w:r>
        <w:rPr>
          <w:rFonts w:ascii="Times New Roman" w:hAnsi="Times New Roman"/>
          <w:b/>
          <w:i w:val="0"/>
          <w:sz w:val="24"/>
        </w:rPr>
        <w:t>CARTA DE APRESENTAÇÃO</w:t>
      </w:r>
    </w:p>
    <w:p>
      <w:pPr>
        <w:spacing w:before="0" w:after="40" w:line="360" w:lineRule="exact"/>
        <w:jc w:val="left"/>
      </w:pPr>
      <w:r>
        <w:rPr>
          <w:rFonts w:ascii="Times New Roman" w:hAnsi="Times New Roman"/>
          <w:b w:val="0"/>
          <w:i w:val="0"/>
          <w:sz w:val="24"/>
        </w:rPr>
        <w:t>À/Ao Editor/a-Chefe</w:t>
      </w:r>
    </w:p>
    <w:p>
      <w:pPr>
        <w:spacing w:before="0" w:after="280" w:line="360" w:lineRule="exact"/>
        <w:jc w:val="left"/>
      </w:pPr>
      <w:r>
        <w:rPr>
          <w:rFonts w:ascii="Times New Roman" w:hAnsi="Times New Roman"/>
          <w:b w:val="0"/>
          <w:i w:val="0"/>
          <w:sz w:val="24"/>
        </w:rPr>
        <w:t>[Nome da Revista]</w:t>
      </w:r>
    </w:p>
    <w:p>
      <w:pPr>
        <w:spacing w:before="0" w:after="200" w:line="360" w:lineRule="exact"/>
        <w:jc w:val="both"/>
      </w:pPr>
      <w:r>
        <w:rPr>
          <w:rFonts w:ascii="Times New Roman" w:hAnsi="Times New Roman"/>
          <w:b w:val="0"/>
          <w:i w:val="0"/>
          <w:sz w:val="24"/>
        </w:rPr>
        <w:t>Submeto à consideração do Conselho Editorial o artigo "The Invisible Professor Who Went to the Field: Academic Capital, Institutional Habitus and the Politics of Scarcity in a Brazilian Sertão University", autoetnografia crítica que propõe o conceito de habitus da escassez — contribuição teórica inédita ao debate sobre campos acadêmicos periféricos no Brasil.</w:t>
      </w:r>
    </w:p>
    <w:p>
      <w:pPr>
        <w:spacing w:before="0" w:after="200" w:line="360" w:lineRule="exact"/>
        <w:jc w:val="both"/>
      </w:pPr>
      <w:r>
        <w:rPr>
          <w:rFonts w:ascii="Times New Roman" w:hAnsi="Times New Roman"/>
          <w:b w:val="0"/>
          <w:i w:val="0"/>
          <w:sz w:val="24"/>
        </w:rPr>
        <w:t>O argumento parte de uma lacuna específica na teoria bourdieuiana: os conceitos de campo, habitus e capital simbólico foram construídos a partir de campos situados no centro. O que este artigo demonstra, a partir do ingresso na carreira docente há pouco mais de uma década em uma instituição federal no interior nordestino, é que o campo acadêmico periférico opera com uma camada analítica adicional — o habitus da escassez —, produzida por gerações de privação material e simbólica. Esse habitus se manifesta como contenção do capital externo, distribuição seletiva do reconhecimento e invisibilização como tecnologia de ordem.</w:t>
      </w:r>
    </w:p>
    <w:p>
      <w:pPr>
        <w:spacing w:before="0" w:after="200" w:line="360" w:lineRule="exact"/>
        <w:jc w:val="both"/>
      </w:pPr>
      <w:r>
        <w:rPr>
          <w:rFonts w:ascii="Times New Roman" w:hAnsi="Times New Roman"/>
          <w:b w:val="0"/>
          <w:i w:val="0"/>
          <w:sz w:val="24"/>
        </w:rPr>
        <w:t>A opção metodológica pelo Método do Caso Ampliado (Burawoy, 2009) é estrutural: o caso singular ilumina mecanismos que o caso médio naturaliza. O argumento se estende às camadas populares da cidade — Pedro Conceição, entregador endividado que sustenta um coletivo de torcedores como único espaço de pertencimento; Sandra, faxineira que financiou a formação universitária das filhas sem qualquer suporte institucional — demonstrando que o habitus da escassez não é patologia localizada. É estrutura social.</w:t>
      </w:r>
    </w:p>
    <w:p>
      <w:pPr>
        <w:spacing w:before="0" w:after="200" w:line="360" w:lineRule="exact"/>
        <w:jc w:val="both"/>
      </w:pPr>
      <w:r>
        <w:rPr>
          <w:rFonts w:ascii="Times New Roman" w:hAnsi="Times New Roman"/>
          <w:b w:val="0"/>
          <w:i w:val="0"/>
          <w:sz w:val="24"/>
        </w:rPr>
        <w:t>O artigo contribui para três debates: o mapeamento das universidades federais criadas pelo REUNI; os estudos sobre precariedade institucional no ensino superior público; e a discussão sobre autoetnografia crítica como instrumento de teoria social. Por imperativos éticos, todos os nomes de pessoas e instituições foram anonimizados.</w:t>
      </w:r>
    </w:p>
    <w:p>
      <w:pPr>
        <w:spacing w:before="0" w:after="360" w:line="360" w:lineRule="exact"/>
        <w:jc w:val="both"/>
      </w:pPr>
      <w:r>
        <w:rPr>
          <w:rFonts w:ascii="Times New Roman" w:hAnsi="Times New Roman"/>
          <w:b w:val="0"/>
          <w:i w:val="0"/>
          <w:sz w:val="24"/>
        </w:rPr>
        <w:t>Declaro que o artigo é original e não está submetido simultaneamente a outro periódico.</w:t>
      </w:r>
    </w:p>
    <w:p>
      <w:pPr>
        <w:spacing w:before="0" w:after="360" w:line="360" w:lineRule="exact"/>
        <w:jc w:val="left"/>
      </w:pPr>
      <w:r>
        <w:rPr>
          <w:rFonts w:ascii="Times New Roman" w:hAnsi="Times New Roman"/>
          <w:b w:val="0"/>
          <w:i w:val="0"/>
          <w:sz w:val="24"/>
        </w:rPr>
        <w:t>[Local], [Data]</w:t>
      </w:r>
    </w:p>
    <w:p>
      <w:pPr>
        <w:spacing w:before="0" w:after="40" w:line="360" w:lineRule="exact"/>
        <w:jc w:val="left"/>
      </w:pPr>
      <w:r>
        <w:rPr>
          <w:rFonts w:ascii="Times New Roman" w:hAnsi="Times New Roman"/>
          <w:b w:val="0"/>
          <w:i w:val="0"/>
          <w:sz w:val="24"/>
        </w:rPr>
        <w:t>Professor Rolando</w:t>
      </w:r>
    </w:p>
    <w:p>
      <w:pPr>
        <w:spacing w:before="0" w:after="120" w:line="360" w:lineRule="exact"/>
        <w:jc w:val="left"/>
      </w:pPr>
      <w:r>
        <w:rPr>
          <w:rFonts w:ascii="Times New Roman" w:hAnsi="Times New Roman"/>
          <w:b w:val="0"/>
          <w:i/>
          <w:sz w:val="24"/>
        </w:rPr>
        <w:t>[nome fictício — instituição omitida por razões éticas]</w:t>
      </w:r>
    </w:p>
    <w:p>
      <w:r>
        <w:br w:type="page"/>
      </w:r>
    </w:p>
    <w:p>
      <w:pPr>
        <w:spacing w:before="0" w:after="120" w:line="360" w:lineRule="exact"/>
        <w:jc w:val="center"/>
      </w:pPr>
      <w:r>
        <w:rPr>
          <w:rFonts w:ascii="Times New Roman" w:hAnsi="Times New Roman"/>
          <w:b/>
          <w:i w:val="0"/>
          <w:sz w:val="24"/>
        </w:rPr>
        <w:t>THE INVISIBLE PROFESSOR WHO WENT TO THE FIELD</w:t>
      </w:r>
    </w:p>
    <w:p>
      <w:pPr>
        <w:spacing w:before="0" w:after="120" w:line="360" w:lineRule="exact"/>
        <w:jc w:val="center"/>
      </w:pPr>
      <w:r>
        <w:rPr>
          <w:rFonts w:ascii="Times New Roman" w:hAnsi="Times New Roman"/>
          <w:b w:val="0"/>
          <w:i/>
          <w:sz w:val="24"/>
        </w:rPr>
        <w:t>Academic Capital, Institutional Habitus and the Politics</w:t>
        <w:br/>
        <w:t>of Scarcity in a Brazilian Sertão University</w:t>
      </w:r>
    </w:p>
    <w:p>
      <w:pPr>
        <w:spacing w:before="0" w:after="40" w:line="360" w:lineRule="exact"/>
        <w:jc w:val="center"/>
      </w:pPr>
      <w:r>
        <w:rPr>
          <w:rFonts w:ascii="Times New Roman" w:hAnsi="Times New Roman"/>
          <w:b w:val="0"/>
          <w:i w:val="0"/>
          <w:sz w:val="24"/>
        </w:rPr>
        <w:t>Professor Rolando</w:t>
      </w:r>
    </w:p>
    <w:p>
      <w:pPr>
        <w:spacing w:before="0" w:after="280" w:line="360" w:lineRule="exact"/>
        <w:jc w:val="center"/>
      </w:pPr>
      <w:r>
        <w:rPr>
          <w:rFonts w:ascii="Times New Roman" w:hAnsi="Times New Roman"/>
          <w:b w:val="0"/>
          <w:i/>
          <w:sz w:val="24"/>
        </w:rPr>
        <w:t>[nome fictício — instituição omitida por razões éticas]</w:t>
      </w:r>
    </w:p>
    <w:p>
      <w:pPr>
        <w:spacing w:before="0" w:after="80" w:line="360" w:lineRule="exact"/>
        <w:jc w:val="left"/>
      </w:pPr>
      <w:r>
        <w:rPr>
          <w:rFonts w:ascii="Times New Roman" w:hAnsi="Times New Roman"/>
          <w:b/>
          <w:i w:val="0"/>
          <w:sz w:val="24"/>
        </w:rPr>
        <w:t>RESUMO</w:t>
      </w:r>
    </w:p>
    <w:p>
      <w:pPr>
        <w:spacing w:before="0" w:after="80" w:line="360" w:lineRule="exact"/>
        <w:jc w:val="both"/>
      </w:pPr>
      <w:r>
        <w:rPr>
          <w:rFonts w:ascii="Times New Roman" w:hAnsi="Times New Roman"/>
          <w:b w:val="0"/>
          <w:i w:val="0"/>
          <w:sz w:val="24"/>
        </w:rPr>
        <w:t>Em uma instituição federal no interior nordestino e nos centros de consagração acadêmica — a EHESS de Paris, um importante colóquio internacional de economia política realizado em uma nação caribenha —, opera uma lógica que os instrumentos construídos no centro do campo não conseguem nomear completamente. Esta autoetnografia analisa a trajetória do Professor Rolando, docente com ingresso na carreira há pouco mais de uma década, utilizando o método do caso ampliado (BURAWOY, 2009) de forma reflexiva: o pesquisador é simultaneamente o observador e o caso. A partir de três episódios institucionais — o bloqueio sistemático de um pós-doutorado na EHESS, o financiamento truncado de uma participação em colóquio internacional e mais de uma década de silêncio no ritual de aniversário da unidade —, o artigo propõe o conceito de habitus da escassez como extensão do aparato teórico de Bourdieu para campos acadêmicos periféricos. O habitus da escassez designa o sistema de disposições duráveis produzido por gerações de privação material e simbólica que se manifesta no campo acadêmico como contenção do capital externo, distribuição seletiva do reconhecimento e invisibilização como tecnologia de ordem. O argumento se estende às camadas populares da cidade: Pedro Conceição, entregador de aplicativo que sustenta um coletivo de torcedores como único espaço de pertencimento irrestrito; Sandra, faxineira que financiou a formação universitária das filhas com dinheiro de faxina. O habitus da escassez não é patologia acadêmica. É estrutura social.</w:t>
      </w:r>
    </w:p>
    <w:p>
      <w:pPr>
        <w:spacing w:before="0" w:after="200" w:line="360" w:lineRule="exact"/>
        <w:jc w:val="both"/>
      </w:pPr>
      <w:r>
        <w:rPr>
          <w:rFonts w:ascii="Times New Roman" w:hAnsi="Times New Roman"/>
          <w:b/>
          <w:i w:val="0"/>
          <w:sz w:val="24"/>
        </w:rPr>
        <w:t xml:space="preserve">Palavras-chave: </w:t>
      </w:r>
      <w:r>
        <w:rPr>
          <w:rFonts w:ascii="Times New Roman" w:hAnsi="Times New Roman"/>
          <w:b w:val="0"/>
          <w:i w:val="0"/>
          <w:sz w:val="24"/>
        </w:rPr>
        <w:t>habitus da escassez; campo acadêmico periférico; método do caso ampliado; Nordeste brasileiro; invisibilidade social; crise do capitalismo.</w:t>
      </w:r>
    </w:p>
    <w:p>
      <w:pPr>
        <w:spacing w:before="0" w:after="80" w:line="360" w:lineRule="exact"/>
        <w:jc w:val="left"/>
      </w:pPr>
      <w:r>
        <w:rPr>
          <w:rFonts w:ascii="Times New Roman" w:hAnsi="Times New Roman"/>
          <w:b/>
          <w:i w:val="0"/>
          <w:sz w:val="24"/>
        </w:rPr>
        <w:t>ABSTRACT</w:t>
      </w:r>
    </w:p>
    <w:p>
      <w:pPr>
        <w:spacing w:before="0" w:after="80" w:line="360" w:lineRule="exact"/>
        <w:jc w:val="both"/>
      </w:pPr>
      <w:r>
        <w:rPr>
          <w:rFonts w:ascii="Times New Roman" w:hAnsi="Times New Roman"/>
          <w:b w:val="0"/>
          <w:i w:val="0"/>
          <w:sz w:val="24"/>
        </w:rPr>
        <w:t>In a federal institution in the interior of northeastern Brazil and the centers of academic consecration — the EHESS in Paris, an important international colloquium on political economy held in a Caribbean nation —, a logic operates that the instruments built at the center of the field cannot fully name. This critical autoethnography analyzes the trajectory of Professor Rolando, a faculty member whose academic career began little more than a decade ago, using Burawoy's (2009) extended case method reflexively. Three institutional episodes structure the analysis: the systematic blocking of a postdoctoral fellowship at the EHESS, the truncated funding of an international colloquium participation, and more than a decade of silence during the unit's birthday ritual. From these, the article derives the concept of scarcity habitus as an extension of Bourdieu's theoretical apparatus to peripheral academic fields. The argument extends to the popular strata of the city: Pedro Conceição, a delivery worker sustaining a supporters' collective as his only space of unconditional belonging; Sandra, a domestic cleaner who financed her daughters' university education from cleaning income. The scarcity habitus is not an academic pathology. It is social structure.</w:t>
      </w:r>
    </w:p>
    <w:p>
      <w:pPr>
        <w:spacing w:before="0" w:after="200" w:line="360" w:lineRule="exact"/>
        <w:jc w:val="both"/>
      </w:pPr>
      <w:r>
        <w:rPr>
          <w:rFonts w:ascii="Times New Roman" w:hAnsi="Times New Roman"/>
          <w:b/>
          <w:i w:val="0"/>
          <w:sz w:val="24"/>
        </w:rPr>
        <w:t xml:space="preserve">Keywords: </w:t>
      </w:r>
      <w:r>
        <w:rPr>
          <w:rFonts w:ascii="Times New Roman" w:hAnsi="Times New Roman"/>
          <w:b w:val="0"/>
          <w:i w:val="0"/>
          <w:sz w:val="24"/>
        </w:rPr>
        <w:t>scarcity habitus; peripheral academic field; extended case method; northeastern Brazil; social invisibility; crisis of capitalism.</w:t>
      </w:r>
    </w:p>
    <w:p>
      <w:pPr>
        <w:spacing w:before="0" w:after="80" w:line="360" w:lineRule="exact"/>
        <w:jc w:val="left"/>
      </w:pPr>
      <w:r>
        <w:rPr>
          <w:rFonts w:ascii="Times New Roman" w:hAnsi="Times New Roman"/>
          <w:b/>
          <w:i w:val="0"/>
          <w:sz w:val="24"/>
        </w:rPr>
        <w:t>NOTA METODOLÓGICA</w:t>
      </w:r>
    </w:p>
    <w:p>
      <w:pPr>
        <w:spacing w:before="0" w:after="360" w:line="360" w:lineRule="exact"/>
        <w:jc w:val="both"/>
      </w:pPr>
      <w:r>
        <w:rPr>
          <w:rFonts w:ascii="Times New Roman" w:hAnsi="Times New Roman"/>
          <w:b w:val="0"/>
          <w:i w:val="0"/>
          <w:sz w:val="24"/>
        </w:rPr>
        <w:t>Por imperativos éticos e para preservação do sigilo institucional, os nomes de pessoas, coletivos e da própria universidade foram substituídos por pseudônimos. Tal procedimento visa garantir o anonimato dos sujeitos, mantendo a fidedignidade das relações de força e das estruturas de campo observadas na pesquisa.</w:t>
      </w:r>
    </w:p>
    <w:p>
      <w:pPr>
        <w:spacing w:before="240" w:after="120" w:line="360" w:lineRule="exact"/>
        <w:jc w:val="left"/>
      </w:pPr>
      <w:r>
        <w:rPr>
          <w:rFonts w:ascii="Times New Roman" w:hAnsi="Times New Roman"/>
          <w:b/>
          <w:i w:val="0"/>
          <w:sz w:val="24"/>
        </w:rPr>
        <w:t>1. INTRODUÇÃO</w:t>
      </w:r>
    </w:p>
    <w:p>
      <w:pPr>
        <w:spacing w:before="0" w:after="120" w:line="360" w:lineRule="exact"/>
        <w:jc w:val="both"/>
      </w:pPr>
      <w:r>
        <w:rPr>
          <w:rFonts w:ascii="Times New Roman" w:hAnsi="Times New Roman"/>
          <w:b w:val="0"/>
          <w:i w:val="0"/>
          <w:sz w:val="24"/>
        </w:rPr>
        <w:t xml:space="preserve">Num ônibus vindo do Recife em direção a uma cidade do Alto Sertão Paraibano, o Professor Rolando encontrou um homem que havia acabado de conseguir uma vaga como professor em um Instituto Federal do Nordeste. Ele era da cidade, regressava para visitar a família, e quando soube que o interlocutor trabalhava na universidade federal local, disse sem hesitar: </w:t>
      </w:r>
      <w:r>
        <w:rPr>
          <w:rFonts w:ascii="Times New Roman" w:hAnsi="Times New Roman"/>
          <w:b w:val="0"/>
          <w:i/>
          <w:sz w:val="24"/>
        </w:rPr>
        <w:t>"a mentalidade daqui é diferente. Eles viveram seca e miséria que o litoral nunca viveu. Vocês de Aracaju e Salvador, por menos que tenham, têm à disposição uma imensa diversidade — têm praia. Aqui, até pouco tempo, as pessoas comiam farinha com carne seca. Aqui é a regra da farinha pouca, meu pirão primeiro."</w:t>
      </w:r>
    </w:p>
    <w:p>
      <w:pPr>
        <w:spacing w:before="0" w:after="120" w:line="360" w:lineRule="exact"/>
        <w:jc w:val="both"/>
      </w:pPr>
      <w:r>
        <w:rPr>
          <w:rFonts w:ascii="Times New Roman" w:hAnsi="Times New Roman"/>
          <w:b w:val="0"/>
          <w:i w:val="0"/>
          <w:sz w:val="24"/>
        </w:rPr>
        <w:t>Essa frase não é anedota regional. É a entrada analítica deste artigo.</w:t>
      </w:r>
    </w:p>
    <w:p>
      <w:pPr>
        <w:spacing w:before="0" w:after="120" w:line="360" w:lineRule="exact"/>
        <w:jc w:val="both"/>
      </w:pPr>
      <w:r>
        <w:rPr>
          <w:rFonts w:ascii="Times New Roman" w:hAnsi="Times New Roman"/>
          <w:b w:val="0"/>
          <w:i w:val="0"/>
          <w:sz w:val="24"/>
        </w:rPr>
        <w:t>A cidade-sede da Universidade Federal do Semiárido (UFSEM) não é uma capital regional. Situada no Alto Sertão Paraibano, a cerca de 500 quilômetros do litoral mais próximo, conheceu a seca e a miséria de uma forma que as capitais nordestinas nunca conheceram. É também um polo regional de serviços e educação — universidade federal, faculdades privadas, hospitais de referência. Esse paradoxo — dinamismo institucional construído sobre um habitus histórico de escassez — é o objeto deste artigo.</w:t>
      </w:r>
    </w:p>
    <w:p>
      <w:pPr>
        <w:spacing w:before="0" w:after="120" w:line="360" w:lineRule="exact"/>
        <w:jc w:val="both"/>
      </w:pPr>
      <w:r>
        <w:rPr>
          <w:rFonts w:ascii="Times New Roman" w:hAnsi="Times New Roman"/>
          <w:b w:val="0"/>
          <w:i w:val="0"/>
          <w:sz w:val="24"/>
        </w:rPr>
        <w:t>Este artigo é uma autoetnografia. Seu objeto é o Professor Rolando — nome fictício de um docente cujo ingresso na carreira na UFSEM data de pouco mais de uma década, com doutorado concluído numa universidade francesa e aceitação para estágio pós-doutoral na École des Hautes Études en Sciences Sociales de Paris. Era a primeira vez que um professor daquela unidade havia sido aceito na EHESS. Em todos esses anos, seu aniversário nunca foi anunciado no ritual coletivo da unidade — enquanto todos os demais colegas recebem esse reconhecimento no seu dia. Esses dois dados — a aceitação na escola mais prestigiada das ciências sociais europeias e o silêncio anual do aniversário — são a contradição que este artigo se propõe a analisar.</w:t>
      </w:r>
    </w:p>
    <w:p>
      <w:pPr>
        <w:spacing w:before="0" w:after="120" w:line="360" w:lineRule="exact"/>
        <w:jc w:val="both"/>
      </w:pPr>
      <w:r>
        <w:rPr>
          <w:rFonts w:ascii="Times New Roman" w:hAnsi="Times New Roman"/>
          <w:b w:val="0"/>
          <w:i w:val="0"/>
          <w:sz w:val="24"/>
        </w:rPr>
        <w:t>O argumento central é este: o campo acadêmico periférico opera com uma camada analítica que os instrumentos construídos no centro não conseguem capturar completamente. Sobre o habitus acadêmico sobrepõe-se um habitus regional de escassez, historicamente produzido por décadas de seca e miséria, que opera com lógica própria: conter quem chega com capital que os outros não têm, distribuir os recursos simbólicos disponíveis entre os já estabelecidos, invisibilizar o outro como instrumento de manutenção da ordem. A essa camada adicional este artigo propõe o nome de habitus da escassez.</w:t>
      </w:r>
    </w:p>
    <w:p>
      <w:pPr>
        <w:spacing w:before="0" w:after="120" w:line="360" w:lineRule="exact"/>
        <w:jc w:val="both"/>
      </w:pPr>
      <w:r>
        <w:rPr>
          <w:rFonts w:ascii="Times New Roman" w:hAnsi="Times New Roman"/>
          <w:b w:val="0"/>
          <w:i w:val="0"/>
          <w:sz w:val="24"/>
        </w:rPr>
        <w:t>O artigo utiliza o método do caso ampliado (BURAWOY, 2009) aplicado de forma reflexiva: o pesquisador é simultaneamente o observador e o caso. A trajetória do Professor Rolando não é tratada como desabafo autobiográfico nem como acusação institucional — é tratada como unidade analítica primária a partir da qual emerge a teoria.</w:t>
      </w:r>
    </w:p>
    <w:p>
      <w:pPr>
        <w:spacing w:before="0" w:after="120" w:line="360" w:lineRule="exact"/>
        <w:jc w:val="both"/>
      </w:pPr>
      <w:r>
        <w:rPr>
          <w:rFonts w:ascii="Times New Roman" w:hAnsi="Times New Roman"/>
          <w:b w:val="0"/>
          <w:i w:val="0"/>
          <w:sz w:val="24"/>
        </w:rPr>
        <w:t>O artigo está organizado em seis seções. A seção 2 apresenta o método. A seção 3 desenvolve o quadro teórico. A seção 4 analisa três episódios centrais. A seção 5 examina a virada etnográfica e as figuras de Pedro Conceição e Sandra. A seção 6 desenvolve o conceito de habitus da escassez. A conclusão retoma o argumento central.</w:t>
      </w:r>
    </w:p>
    <w:p>
      <w:pPr>
        <w:spacing w:before="240" w:after="120" w:line="360" w:lineRule="exact"/>
        <w:jc w:val="left"/>
      </w:pPr>
      <w:r>
        <w:rPr>
          <w:rFonts w:ascii="Times New Roman" w:hAnsi="Times New Roman"/>
          <w:b/>
          <w:i w:val="0"/>
          <w:sz w:val="24"/>
        </w:rPr>
        <w:t>2. O CASO AMPLIADO COMO MÉTODO E COMO OBJETO</w:t>
      </w:r>
    </w:p>
    <w:p>
      <w:pPr>
        <w:spacing w:before="0" w:after="120" w:line="360" w:lineRule="exact"/>
        <w:jc w:val="both"/>
      </w:pPr>
      <w:r>
        <w:rPr>
          <w:rFonts w:ascii="Times New Roman" w:hAnsi="Times New Roman"/>
          <w:b w:val="0"/>
          <w:i w:val="0"/>
          <w:sz w:val="24"/>
        </w:rPr>
        <w:t>A escolha metodológica deste artigo exige justificação explícita. Utilizar o próprio pesquisador como objeto de análise é um gesto que a tradição sociológica recebe com desconfiança — frequentemente confundido com narcisismo acadêmico ou com a impossibilidade de distância analítica. Este artigo defende posição contrária: quando o objeto é o campo acadêmico periférico, o pesquisador que viveu esse campo por dentro possui um tipo de acesso empírico que o observador externo não pode reproduzir.</w:t>
      </w:r>
    </w:p>
    <w:p>
      <w:pPr>
        <w:spacing w:before="0" w:after="120" w:line="360" w:lineRule="exact"/>
        <w:jc w:val="both"/>
      </w:pPr>
      <w:r>
        <w:rPr>
          <w:rFonts w:ascii="Times New Roman" w:hAnsi="Times New Roman"/>
          <w:b w:val="0"/>
          <w:i w:val="0"/>
          <w:sz w:val="24"/>
        </w:rPr>
        <w:t>O método do caso ampliado, desenvolvido por Michael Burawoy (2009), oferece o enquadramento metodológico adequado. Para Burawoy, o caso ampliado não é ilustração de uma tese prévia — é unidade analítica primária a partir da qual emergem os conceitos. O pesquisador parte do singular, do concreto, do vivido — e estende a análise até alcançar as estruturas que o caso revela. A validade do método não depende da representatividade estatística do caso, mas de sua capacidade de iluminar mecanismos estruturais que o caso médio obscurece.</w:t>
      </w:r>
    </w:p>
    <w:p>
      <w:pPr>
        <w:spacing w:before="0" w:after="120" w:line="360" w:lineRule="exact"/>
        <w:jc w:val="both"/>
      </w:pPr>
      <w:r>
        <w:rPr>
          <w:rFonts w:ascii="Times New Roman" w:hAnsi="Times New Roman"/>
          <w:b w:val="0"/>
          <w:i w:val="0"/>
          <w:sz w:val="24"/>
        </w:rPr>
        <w:t>A trajetória do Professor Rolando é um caso ampliado no sentido preciso do termo. Não é o caso típico do professor universitário brasileiro — é o caso que revela, por contraste e contradição, as estruturas que o caso típico naturaliza. Um professor com doutorado numa universidade francesa e pós-doutorado na EHESS, chegando a uma instituição federal no interior nordestino, carrega um volume de capital acadêmico que nenhum colega local possui. É precisamente essa desproporção que torna o caso analiticamente fértil.</w:t>
      </w:r>
    </w:p>
    <w:p>
      <w:pPr>
        <w:spacing w:before="0" w:after="120" w:line="360" w:lineRule="exact"/>
        <w:jc w:val="both"/>
      </w:pPr>
      <w:r>
        <w:rPr>
          <w:rFonts w:ascii="Times New Roman" w:hAnsi="Times New Roman"/>
          <w:b w:val="0"/>
          <w:i w:val="0"/>
          <w:sz w:val="24"/>
        </w:rPr>
        <w:t xml:space="preserve">Há precedentes respeitáveis para essa escolha. Pierre Bourdieu, em </w:t>
      </w:r>
      <w:r>
        <w:rPr>
          <w:rFonts w:ascii="Times New Roman" w:hAnsi="Times New Roman"/>
          <w:b w:val="0"/>
          <w:i/>
          <w:sz w:val="24"/>
        </w:rPr>
        <w:t>Homo Academicus</w:t>
      </w:r>
      <w:r>
        <w:rPr>
          <w:rFonts w:ascii="Times New Roman" w:hAnsi="Times New Roman"/>
          <w:b w:val="0"/>
          <w:i w:val="0"/>
          <w:sz w:val="24"/>
        </w:rPr>
        <w:t xml:space="preserve"> (1984), analisou o campo universitário francês de dentro — como participante e como objeto. Loïc Wacquant, em </w:t>
      </w:r>
      <w:r>
        <w:rPr>
          <w:rFonts w:ascii="Times New Roman" w:hAnsi="Times New Roman"/>
          <w:b w:val="0"/>
          <w:i/>
          <w:sz w:val="24"/>
        </w:rPr>
        <w:t>Corps et Âme</w:t>
      </w:r>
      <w:r>
        <w:rPr>
          <w:rFonts w:ascii="Times New Roman" w:hAnsi="Times New Roman"/>
          <w:b w:val="0"/>
          <w:i w:val="0"/>
          <w:sz w:val="24"/>
        </w:rPr>
        <w:t xml:space="preserve"> (2002), foi mais longe: tornou seu próprio corpo o instrumento de pesquisa. O presente artigo segue essa tradição, com uma inversão reflexiva adicional: o pesquisador não escolheu seu campo de imersão. Foi colocado nele pelas circunstâncias.</w:t>
      </w:r>
    </w:p>
    <w:p>
      <w:pPr>
        <w:spacing w:before="0" w:after="120" w:line="360" w:lineRule="exact"/>
        <w:jc w:val="both"/>
      </w:pPr>
      <w:r>
        <w:rPr>
          <w:rFonts w:ascii="Times New Roman" w:hAnsi="Times New Roman"/>
          <w:b w:val="0"/>
          <w:i w:val="0"/>
          <w:sz w:val="24"/>
        </w:rPr>
        <w:t>A autoetnografia crítica distingue-se do relato autobiográfico por dois critérios: a mobilização sistemática de conceitos teóricos para analisar a experiência vivida, e a capacidade de generalizar a partir do singular para estruturas que transcendem o caso individual. Este artigo atende a ambos os critérios.</w:t>
      </w:r>
    </w:p>
    <w:p>
      <w:pPr>
        <w:spacing w:before="240" w:after="120" w:line="360" w:lineRule="exact"/>
        <w:jc w:val="left"/>
      </w:pPr>
      <w:r>
        <w:rPr>
          <w:rFonts w:ascii="Times New Roman" w:hAnsi="Times New Roman"/>
          <w:b/>
          <w:i w:val="0"/>
          <w:sz w:val="24"/>
        </w:rPr>
        <w:t>3. O CAMPO TEÓRICO</w:t>
      </w:r>
    </w:p>
    <w:p>
      <w:pPr>
        <w:spacing w:before="120" w:after="120" w:line="360" w:lineRule="exact"/>
        <w:jc w:val="left"/>
      </w:pPr>
      <w:r>
        <w:rPr>
          <w:rFonts w:ascii="Times New Roman" w:hAnsi="Times New Roman"/>
          <w:b/>
          <w:i w:val="0"/>
          <w:sz w:val="24"/>
        </w:rPr>
        <w:t>3.1 Bourdieu: campo, habitus e capital simbólico</w:t>
      </w:r>
    </w:p>
    <w:p>
      <w:pPr>
        <w:spacing w:before="0" w:after="120" w:line="360" w:lineRule="exact"/>
        <w:jc w:val="both"/>
      </w:pPr>
      <w:r>
        <w:rPr>
          <w:rFonts w:ascii="Times New Roman" w:hAnsi="Times New Roman"/>
          <w:b w:val="0"/>
          <w:i w:val="0"/>
          <w:sz w:val="24"/>
        </w:rPr>
        <w:t xml:space="preserve">Para Bourdieu (1980), o campo é um espaço social de posições estruturado pela distribuição desigual de diferentes formas de capital. O campo acadêmico, analisado em </w:t>
      </w:r>
      <w:r>
        <w:rPr>
          <w:rFonts w:ascii="Times New Roman" w:hAnsi="Times New Roman"/>
          <w:b w:val="0"/>
          <w:i/>
          <w:sz w:val="24"/>
        </w:rPr>
        <w:t>Homo Academicus</w:t>
      </w:r>
      <w:r>
        <w:rPr>
          <w:rFonts w:ascii="Times New Roman" w:hAnsi="Times New Roman"/>
          <w:b w:val="0"/>
          <w:i w:val="0"/>
          <w:sz w:val="24"/>
        </w:rPr>
        <w:t xml:space="preserve"> (1984), opera com lógica particular: o capital que conta é o capital científico. Mas Bourdieu demonstrou também que o campo acadêmico nunca é puramente científico — é atravessado por formas de capital social e simbólico que operam segundo critérios de pertencimento que a meritocracia oficial não reconhece.</w:t>
      </w:r>
    </w:p>
    <w:p>
      <w:pPr>
        <w:spacing w:before="0" w:after="120" w:line="360" w:lineRule="exact"/>
        <w:jc w:val="both"/>
      </w:pPr>
      <w:r>
        <w:rPr>
          <w:rFonts w:ascii="Times New Roman" w:hAnsi="Times New Roman"/>
          <w:b w:val="0"/>
          <w:i w:val="0"/>
          <w:sz w:val="24"/>
        </w:rPr>
        <w:t>O habitus é o conceito que articula o individual e o coletivo: sistema de disposições duráveis e transponíveis incorporados ao longo da trajetória social (BOURDIEU, 1980). O capital simbólico é a forma que qualquer tipo de capital assume quando é reconhecido como legítimo pelos agentes do campo. Essa distinção é crucial: o capital acadêmico europeu do Professor Rolando é objetivamente elevado. Mas num campo cujos agentes estabelecidos não possuem instrumentos para avaliá-lo, esse capital não se converte em capital simbólico. Converte-se em ameaça.</w:t>
      </w:r>
    </w:p>
    <w:p>
      <w:pPr>
        <w:spacing w:before="120" w:after="120" w:line="360" w:lineRule="exact"/>
        <w:jc w:val="left"/>
      </w:pPr>
      <w:r>
        <w:rPr>
          <w:rFonts w:ascii="Times New Roman" w:hAnsi="Times New Roman"/>
          <w:b/>
          <w:i w:val="0"/>
          <w:sz w:val="24"/>
        </w:rPr>
        <w:t>3.2 Honneth: reconhecimento, invisibilidade e desrespeito</w:t>
      </w:r>
    </w:p>
    <w:p>
      <w:pPr>
        <w:spacing w:before="0" w:after="120" w:line="360" w:lineRule="exact"/>
        <w:jc w:val="both"/>
      </w:pPr>
      <w:r>
        <w:rPr>
          <w:rFonts w:ascii="Times New Roman" w:hAnsi="Times New Roman"/>
          <w:b w:val="0"/>
          <w:i w:val="0"/>
          <w:sz w:val="24"/>
        </w:rPr>
        <w:t>Axel Honneth (1992) argumenta que a constituição da identidade positiva do sujeito depende de três esferas de reconhecimento: o amor, o direito e a solidariedade. A cada esfera corresponde uma forma de desrespeito: violência física, privação de direitos e invisibilidade social. É essa terceira forma que este artigo examina em dois registros simultâneos — o do campo acadêmico e o das camadas populares da cidade. Não há conflito declarado, não há agressão registrável. Há apenas o silêncio — repetido, anual, preciso — do aniversário não anunciado. Há o R$20,00 que ninguém entende por que é pago. Há a internet instalada contra a recusa do marido. Em cada um desses gestos opera a mesma luta por reconhecimento que Honneth teorizou a partir de outro continente e de outras condições.</w:t>
      </w:r>
    </w:p>
    <w:p>
      <w:pPr>
        <w:spacing w:before="240" w:after="120" w:line="360" w:lineRule="exact"/>
        <w:jc w:val="left"/>
      </w:pPr>
      <w:r>
        <w:rPr>
          <w:rFonts w:ascii="Times New Roman" w:hAnsi="Times New Roman"/>
          <w:b/>
          <w:i w:val="0"/>
          <w:sz w:val="24"/>
        </w:rPr>
        <w:t>4. TRÊS EPISÓDIOS — O CAMPO EM AÇÃO</w:t>
      </w:r>
    </w:p>
    <w:p>
      <w:pPr>
        <w:spacing w:before="120" w:after="120" w:line="360" w:lineRule="exact"/>
        <w:jc w:val="left"/>
      </w:pPr>
      <w:r>
        <w:rPr>
          <w:rFonts w:ascii="Times New Roman" w:hAnsi="Times New Roman"/>
          <w:b/>
          <w:i w:val="0"/>
          <w:sz w:val="24"/>
        </w:rPr>
        <w:t>4.1 O EHESS — A Contenção do Capital Externo</w:t>
      </w:r>
    </w:p>
    <w:p>
      <w:pPr>
        <w:spacing w:before="0" w:after="120" w:line="360" w:lineRule="exact"/>
        <w:jc w:val="both"/>
      </w:pPr>
      <w:r>
        <w:rPr>
          <w:rFonts w:ascii="Times New Roman" w:hAnsi="Times New Roman"/>
          <w:b w:val="0"/>
          <w:i w:val="0"/>
          <w:sz w:val="24"/>
        </w:rPr>
        <w:t>Em determinado momento de sua trajetória, o Professor Rolando foi aceito para um estágio pós-doutoral na École des Hautes Études en Sciences Sociales de Paris. Era a primeira vez que um professor daquela unidade havia sido aceito na EHESS. A notícia não produziu celebração. Produziu resistência.</w:t>
      </w:r>
    </w:p>
    <w:p>
      <w:pPr>
        <w:spacing w:before="0" w:after="120" w:line="360" w:lineRule="exact"/>
        <w:jc w:val="both"/>
      </w:pPr>
      <w:r>
        <w:rPr>
          <w:rFonts w:ascii="Times New Roman" w:hAnsi="Times New Roman"/>
          <w:b w:val="0"/>
          <w:i w:val="0"/>
          <w:sz w:val="24"/>
        </w:rPr>
        <w:t>Durante meses, a coordenação administrativa adiou sistematicamente a votação que liberaria o Professor Rolando para o estágio. Os argumentos variavam a cada reunião — ausência de banco de substitutos, irregularidades processuais, questões de calendário — mas o efeito era sempre o mesmo: mais um mês de espera, mais um prazo se aproximando.</w:t>
      </w:r>
    </w:p>
    <w:p>
      <w:pPr>
        <w:spacing w:before="0" w:after="120" w:line="360" w:lineRule="exact"/>
        <w:jc w:val="both"/>
      </w:pPr>
      <w:r>
        <w:rPr>
          <w:rFonts w:ascii="Times New Roman" w:hAnsi="Times New Roman"/>
          <w:b w:val="0"/>
          <w:i w:val="0"/>
          <w:sz w:val="24"/>
        </w:rPr>
        <w:t>O Professor Rolando recorreu a uma rede de relações externas — um antropólogo influente, seu antigo professor de graduação, que o levou diretamente ao gabinete do reitor. O reitor disse: "eles são mais reais do que a realeza." E preparou um documento em duas vias confirmando que a liberação era um direito líquido.</w:t>
      </w:r>
    </w:p>
    <w:p>
      <w:pPr>
        <w:spacing w:before="0" w:after="120" w:line="360" w:lineRule="exact"/>
        <w:jc w:val="both"/>
      </w:pPr>
      <w:r>
        <w:rPr>
          <w:rFonts w:ascii="Times New Roman" w:hAnsi="Times New Roman"/>
          <w:b w:val="0"/>
          <w:i w:val="0"/>
          <w:sz w:val="24"/>
        </w:rPr>
        <w:t>Na reunião seguinte, a coordenadora recusou integrar o documento ao processo. Foi então que um professor de filosofia — até então silencioso — disse: "eu assino." Uma assinatura foi suficiente para que o sistema não fechasse completamente.</w:t>
      </w:r>
    </w:p>
    <w:p>
      <w:pPr>
        <w:spacing w:before="0" w:after="120" w:line="360" w:lineRule="exact"/>
        <w:jc w:val="both"/>
      </w:pPr>
      <w:r>
        <w:rPr>
          <w:rFonts w:ascii="Times New Roman" w:hAnsi="Times New Roman"/>
          <w:b w:val="0"/>
          <w:i w:val="0"/>
          <w:sz w:val="24"/>
        </w:rPr>
        <w:t>O contraste com o episódio posterior é revelador. Quando uma professora do mesmo grupo foi aceita num programa de pós-doutorado nos Estados Unidos, a unidade organizou uma cerimônia com discursos e reverências. O capital americano era reconhecível. O capital parisiense não era. O habitus da escassez não rejeita todo capital externo — rejeita o capital que ameaça a hierarquia estabelecida.</w:t>
      </w:r>
    </w:p>
    <w:p>
      <w:pPr>
        <w:spacing w:before="120" w:after="120" w:line="360" w:lineRule="exact"/>
        <w:jc w:val="left"/>
      </w:pPr>
      <w:r>
        <w:rPr>
          <w:rFonts w:ascii="Times New Roman" w:hAnsi="Times New Roman"/>
          <w:b/>
          <w:i w:val="0"/>
          <w:sz w:val="24"/>
        </w:rPr>
        <w:t>4.2 O Caribe — O Coeficiente Não Calculado</w:t>
      </w:r>
    </w:p>
    <w:p>
      <w:pPr>
        <w:spacing w:before="0" w:after="120" w:line="360" w:lineRule="exact"/>
        <w:jc w:val="both"/>
      </w:pPr>
      <w:r>
        <w:rPr>
          <w:rFonts w:ascii="Times New Roman" w:hAnsi="Times New Roman"/>
          <w:b w:val="0"/>
          <w:i w:val="0"/>
          <w:sz w:val="24"/>
        </w:rPr>
        <w:t>Em 2012, o Professor Rolando foi aceito para participar de um importante colóquio internacional de economia política realizado em uma nação caribenha. O tema era preciso: os impactos da crise do capitalismo sobre os países periféricos da América Latina e do Caribe. A assembleia de professores da unidade votou massivamente a favor do financiamento. Parecia uma vitória. Não foi.</w:t>
      </w:r>
    </w:p>
    <w:p>
      <w:pPr>
        <w:spacing w:before="0" w:after="120" w:line="360" w:lineRule="exact"/>
        <w:jc w:val="both"/>
      </w:pPr>
      <w:r>
        <w:rPr>
          <w:rFonts w:ascii="Times New Roman" w:hAnsi="Times New Roman"/>
          <w:b w:val="0"/>
          <w:i w:val="0"/>
          <w:sz w:val="24"/>
        </w:rPr>
        <w:t>Numa noite, às 19h30, foi convocado às pressas para uma reunião cujo tema desconhecia. A mensagem foi direta: "passagem aérea ou estadia. Escolha." O processo havia sido redirecionado da unidade para a administração central — um movimento técnico que invalidava a votação favorável da assembleia.</w:t>
      </w:r>
    </w:p>
    <w:p>
      <w:pPr>
        <w:spacing w:before="0" w:after="120" w:line="360" w:lineRule="exact"/>
        <w:jc w:val="both"/>
      </w:pPr>
      <w:r>
        <w:rPr>
          <w:rFonts w:ascii="Times New Roman" w:hAnsi="Times New Roman"/>
          <w:b w:val="0"/>
          <w:i w:val="0"/>
          <w:sz w:val="24"/>
        </w:rPr>
        <w:t>O Professor Rolando foi ao Caribe com dinheiro emprestado pelo irmão.</w:t>
      </w:r>
    </w:p>
    <w:p>
      <w:pPr>
        <w:spacing w:before="0" w:after="120" w:line="360" w:lineRule="exact"/>
        <w:jc w:val="both"/>
      </w:pPr>
      <w:r>
        <w:rPr>
          <w:rFonts w:ascii="Times New Roman" w:hAnsi="Times New Roman"/>
          <w:b w:val="0"/>
          <w:i w:val="0"/>
          <w:sz w:val="24"/>
        </w:rPr>
        <w:t>O que o colóquio colocava em debate — a crise do capital e seus efeitos sobre as periferias do sistema-mundo — era, sem que ninguém na UFSEM tivesse percebido a ironia, exatamente o que estava acontecendo na sala de reunião do sertão. O habitus da escassez não é uma exceção regional ao capitalismo global. É uma de suas expressões periféricas mais precisas: a escassez estrutural que o sistema produz se reconfigura, no campo acadêmico do interior, como contenção do capital externo, distribuição seletiva do reconhecimento e invisibilização daqueles que chegam de fora com recursos que o campo local não gerou.</w:t>
      </w:r>
    </w:p>
    <w:p>
      <w:pPr>
        <w:spacing w:before="0" w:after="120" w:line="360" w:lineRule="exact"/>
        <w:jc w:val="both"/>
      </w:pPr>
      <w:r>
        <w:rPr>
          <w:rFonts w:ascii="Times New Roman" w:hAnsi="Times New Roman"/>
          <w:b w:val="0"/>
          <w:i w:val="0"/>
          <w:sz w:val="24"/>
        </w:rPr>
        <w:t>A nação caribenha — destruída pelo colonialismo histórico, exposta ao mundo como laboratório do colapso após uma catástrofe natural, e escolhida como sede do colóquio exatamente por isso — era o espelho macro do que o Professor Rolando vivia em escala micro. A crise que intelectuais latino-americanos foram debater no Caribe operava, com outras intensidades e outros instrumentos, no mesmo sertão que produziu Pedro Conceição e Sandra.</w:t>
      </w:r>
    </w:p>
    <w:p>
      <w:pPr>
        <w:spacing w:before="0" w:after="120" w:line="360" w:lineRule="exact"/>
        <w:jc w:val="both"/>
      </w:pPr>
      <w:r>
        <w:rPr>
          <w:rFonts w:ascii="Times New Roman" w:hAnsi="Times New Roman"/>
          <w:b w:val="0"/>
          <w:i w:val="0"/>
          <w:sz w:val="24"/>
        </w:rPr>
        <w:t>Foi lá que o Professor Rolando consolidou redes de solidariedade intelectual com pesquisadores da América Latina, da Europa e do Caribe — vínculos construídos exatamente no espaço que a UFSEM havia tentado inviabilizar. O campo institucional havia apostado na escassez como instrumento de imobilização. Não havia calculado que os espaços de debate científico internacional produzem formas de capital que nenhum processo administrativo consegue bloquear: a autonomia intelectual forjada fora dos muros da instituição que recusou financiar a viagem.</w:t>
      </w:r>
    </w:p>
    <w:p>
      <w:pPr>
        <w:spacing w:before="0" w:after="120" w:line="360" w:lineRule="exact"/>
        <w:jc w:val="both"/>
      </w:pPr>
      <w:r>
        <w:rPr>
          <w:rFonts w:ascii="Times New Roman" w:hAnsi="Times New Roman"/>
          <w:b w:val="0"/>
          <w:i w:val="0"/>
          <w:sz w:val="24"/>
        </w:rPr>
        <w:t>A tentativa de contenção produziu o coeficiente não calculado: a autonomia do pesquisador transbordou os limites do campo institucional. O Professor Rolando que retornou do Caribe não era o mesmo que a coordenação havia tentado imobilizar — carregava redes de resistência acadêmica internacional que nenhuma planilha de carga horária pode regulamentar. O campo da farinha pouca não havia previsto esse desdobramento. O habitus da escassez, que bloqueou a passagem e cortou a estadia, não conseguiu calcular o que escapa ao campo quando o campo tenta fechar: a solidariedade que se constrói precisamente nos espaços que a instituição não financia.</w:t>
      </w:r>
    </w:p>
    <w:p>
      <w:pPr>
        <w:spacing w:before="120" w:after="120" w:line="360" w:lineRule="exact"/>
        <w:jc w:val="left"/>
      </w:pPr>
      <w:r>
        <w:rPr>
          <w:rFonts w:ascii="Times New Roman" w:hAnsi="Times New Roman"/>
          <w:b/>
          <w:i w:val="0"/>
          <w:sz w:val="24"/>
        </w:rPr>
        <w:t>4.3 O Aniversário em Silêncio — A Invisibilização como Instrumento</w:t>
      </w:r>
    </w:p>
    <w:p>
      <w:pPr>
        <w:spacing w:before="0" w:after="120" w:line="360" w:lineRule="exact"/>
        <w:jc w:val="both"/>
      </w:pPr>
      <w:r>
        <w:rPr>
          <w:rFonts w:ascii="Times New Roman" w:hAnsi="Times New Roman"/>
          <w:b w:val="0"/>
          <w:i w:val="0"/>
          <w:sz w:val="24"/>
        </w:rPr>
        <w:t>Na unidade existe um ritual: no dia do aniversário de cada professor, o nome é anunciado publicamente. É uma formalidade simples — um gesto de reconhecimento coletivo que custa nada e significa tudo.</w:t>
      </w:r>
    </w:p>
    <w:p>
      <w:pPr>
        <w:spacing w:before="0" w:after="120" w:line="360" w:lineRule="exact"/>
        <w:jc w:val="both"/>
      </w:pPr>
      <w:r>
        <w:rPr>
          <w:rFonts w:ascii="Times New Roman" w:hAnsi="Times New Roman"/>
          <w:b w:val="0"/>
          <w:i w:val="0"/>
          <w:sz w:val="24"/>
        </w:rPr>
        <w:t>Em mais de uma década de exercício do cargo, o aniversário do Professor Rolando nunca foi anunciado. O dos colegas, sim. O dele, não.</w:t>
      </w:r>
    </w:p>
    <w:p>
      <w:pPr>
        <w:spacing w:before="0" w:after="120" w:line="360" w:lineRule="exact"/>
        <w:jc w:val="both"/>
      </w:pPr>
      <w:r>
        <w:rPr>
          <w:rFonts w:ascii="Times New Roman" w:hAnsi="Times New Roman"/>
          <w:b w:val="0"/>
          <w:i/>
          <w:sz w:val="24"/>
        </w:rPr>
        <w:t>"Cada ano que não anunciam é a confirmação de uma nulidade inapagável"</w:t>
      </w:r>
      <w:r>
        <w:rPr>
          <w:rFonts w:ascii="Times New Roman" w:hAnsi="Times New Roman"/>
          <w:b w:val="0"/>
          <w:i w:val="0"/>
          <w:sz w:val="24"/>
        </w:rPr>
        <w:t xml:space="preserve"> — são suas palavras. E depois, com a distância de quem aprendeu a habitar a margem: </w:t>
      </w:r>
      <w:r>
        <w:rPr>
          <w:rFonts w:ascii="Times New Roman" w:hAnsi="Times New Roman"/>
          <w:b w:val="0"/>
          <w:i/>
          <w:sz w:val="24"/>
        </w:rPr>
        <w:t>"já estou conformado. Não tem mais importância. Sou um estrangeiro vivendo ali."</w:t>
      </w:r>
    </w:p>
    <w:p>
      <w:pPr>
        <w:spacing w:before="0" w:after="120" w:line="360" w:lineRule="exact"/>
        <w:jc w:val="both"/>
      </w:pPr>
      <w:r>
        <w:rPr>
          <w:rFonts w:ascii="Times New Roman" w:hAnsi="Times New Roman"/>
          <w:b w:val="0"/>
          <w:i w:val="0"/>
          <w:sz w:val="24"/>
        </w:rPr>
        <w:t>É a terceira forma de desrespeito de Honneth — a invisibilidade social — operando com precisão cirúrgica. Não há violência registrável. Há apenas o silêncio que apaga.</w:t>
      </w:r>
    </w:p>
    <w:p>
      <w:pPr>
        <w:spacing w:before="240" w:after="120" w:line="360" w:lineRule="exact"/>
        <w:jc w:val="left"/>
      </w:pPr>
      <w:r>
        <w:rPr>
          <w:rFonts w:ascii="Times New Roman" w:hAnsi="Times New Roman"/>
          <w:b/>
          <w:i w:val="0"/>
          <w:sz w:val="24"/>
        </w:rPr>
        <w:t>5. A VIRADA — O INVISÍVEL QUE FOI AO CAMPO</w:t>
      </w:r>
    </w:p>
    <w:p>
      <w:pPr>
        <w:spacing w:before="0" w:after="120" w:line="360" w:lineRule="exact"/>
        <w:jc w:val="both"/>
      </w:pPr>
      <w:r>
        <w:rPr>
          <w:rFonts w:ascii="Times New Roman" w:hAnsi="Times New Roman"/>
          <w:b w:val="0"/>
          <w:i w:val="0"/>
          <w:sz w:val="24"/>
        </w:rPr>
        <w:t>O Professor Rolando desenvolveu, ao longo de mais de uma década, distância etnográfica em relação à própria instituição. Não amargura — aceitação. "Sou um estrangeiro vivendo ali", diria ele. E foi precisamente essa condição de estrangeiro que produziu o etnógrafo.</w:t>
      </w:r>
    </w:p>
    <w:p>
      <w:pPr>
        <w:spacing w:before="0" w:after="120" w:line="360" w:lineRule="exact"/>
        <w:jc w:val="both"/>
      </w:pPr>
      <w:r>
        <w:rPr>
          <w:rFonts w:ascii="Times New Roman" w:hAnsi="Times New Roman"/>
          <w:b w:val="0"/>
          <w:i w:val="0"/>
          <w:sz w:val="24"/>
        </w:rPr>
        <w:t>Quando a instituição fecha as portas do reconhecimento interno, o pesquisador tem duas opções: investir ainda mais energia na tentativa de ser reconhecido pelo campo que o rejeita — o que Bourdieu chamaria de ilusio — ou redirecionar essa energia para outro campo. O Professor Rolando foi ao campo. Literalmente.</w:t>
      </w:r>
    </w:p>
    <w:p>
      <w:pPr>
        <w:spacing w:before="0" w:after="120" w:line="360" w:lineRule="exact"/>
        <w:jc w:val="both"/>
      </w:pPr>
      <w:r>
        <w:rPr>
          <w:rFonts w:ascii="Times New Roman" w:hAnsi="Times New Roman"/>
          <w:b w:val="0"/>
          <w:i w:val="0"/>
          <w:sz w:val="24"/>
        </w:rPr>
        <w:t>Foi assim que encontrou Pedro Conceição.</w:t>
      </w:r>
    </w:p>
    <w:p>
      <w:pPr>
        <w:spacing w:before="0" w:after="120" w:line="360" w:lineRule="exact"/>
        <w:jc w:val="both"/>
      </w:pPr>
      <w:r>
        <w:rPr>
          <w:rFonts w:ascii="Times New Roman" w:hAnsi="Times New Roman"/>
          <w:b w:val="0"/>
          <w:i w:val="0"/>
          <w:sz w:val="24"/>
        </w:rPr>
        <w:t>Pedro trabalha de cinco da manhã às onze da noite entregando pedidos por aplicativo na cidade. Está negativado no Serasa. Quando a moto precisa de manutenção, usa o cartão da esposa — o único crédito disponível na casa. A conta não fecha. Nunca fecha completamente.</w:t>
      </w:r>
    </w:p>
    <w:p>
      <w:pPr>
        <w:spacing w:before="0" w:after="120" w:line="360" w:lineRule="exact"/>
        <w:jc w:val="both"/>
      </w:pPr>
      <w:r>
        <w:rPr>
          <w:rFonts w:ascii="Times New Roman" w:hAnsi="Times New Roman"/>
          <w:b w:val="0"/>
          <w:i w:val="0"/>
          <w:sz w:val="24"/>
        </w:rPr>
        <w:t>Ainda assim, todo mês, Pedro deposita R$20,00 na conta do Coletivo Cruzmaltino do Sertão.</w:t>
      </w:r>
    </w:p>
    <w:p>
      <w:pPr>
        <w:spacing w:before="0" w:after="120" w:line="360" w:lineRule="exact"/>
        <w:jc w:val="both"/>
      </w:pPr>
      <w:r>
        <w:rPr>
          <w:rFonts w:ascii="Times New Roman" w:hAnsi="Times New Roman"/>
          <w:b w:val="0"/>
          <w:i w:val="0"/>
          <w:sz w:val="24"/>
        </w:rPr>
        <w:t xml:space="preserve">Quase ninguém entende. Ele mesmo antecipa a pergunta: </w:t>
      </w:r>
      <w:r>
        <w:rPr>
          <w:rFonts w:ascii="Times New Roman" w:hAnsi="Times New Roman"/>
          <w:b w:val="0"/>
          <w:i/>
          <w:sz w:val="24"/>
        </w:rPr>
        <w:t>"muita gente me pergunta por que sou associado se só às vezes vou lá — só quando tem jogo, quando não estou trabalhando ou quando não viajo para a cidade da minha esposa, no estado vizinho. Colaboro com o coletivo para dar vida a ele."</w:t>
      </w:r>
    </w:p>
    <w:p>
      <w:pPr>
        <w:spacing w:before="0" w:after="120" w:line="360" w:lineRule="exact"/>
        <w:jc w:val="both"/>
      </w:pPr>
      <w:r>
        <w:rPr>
          <w:rFonts w:ascii="Times New Roman" w:hAnsi="Times New Roman"/>
          <w:b w:val="0"/>
          <w:i w:val="0"/>
          <w:sz w:val="24"/>
        </w:rPr>
        <w:t>Dar vida a ele. A frase não é sentimental — é analítica.</w:t>
      </w:r>
    </w:p>
    <w:p>
      <w:pPr>
        <w:spacing w:before="0" w:after="120" w:line="360" w:lineRule="exact"/>
        <w:jc w:val="both"/>
      </w:pPr>
      <w:r>
        <w:rPr>
          <w:rFonts w:ascii="Times New Roman" w:hAnsi="Times New Roman"/>
          <w:b w:val="0"/>
          <w:i w:val="0"/>
          <w:sz w:val="24"/>
        </w:rPr>
        <w:t>O Coletivo Cruzmaltino do Sertão não é novo, mas estava morto. Há cerca de cinco anos, Pedro e outros torcedores se reuniram e alugaram um quartinho pequeníssimo no centro da cidade. Hoje a sede fica num bairro próximo ao campus da UFSEM — por uma ironia que o campo não planejou —, com um espaço relativamente amplo em relação ao que foi. A trajetória do coletivo imita, em escala popular, a de qualquer instituição: começa no que cabe, expande no que resiste.</w:t>
      </w:r>
    </w:p>
    <w:p>
      <w:pPr>
        <w:spacing w:before="0" w:after="120" w:line="360" w:lineRule="exact"/>
        <w:jc w:val="both"/>
      </w:pPr>
      <w:r>
        <w:rPr>
          <w:rFonts w:ascii="Times New Roman" w:hAnsi="Times New Roman"/>
          <w:b w:val="0"/>
          <w:i w:val="0"/>
          <w:sz w:val="24"/>
        </w:rPr>
        <w:t>O que Pedro mantém com seus R$20,00 não é uma torcida. É um campo onde seu capital simbólico existe e é reconhecido sem condições acadêmicas de admissão. O Coletivo Cruzmaltino do Sertão é o único lugar onde Pedro Conceição não precisa explicar sua dívida para justificar sua presença.</w:t>
      </w:r>
    </w:p>
    <w:p>
      <w:pPr>
        <w:spacing w:before="0" w:after="120" w:line="360" w:lineRule="exact"/>
        <w:jc w:val="both"/>
      </w:pPr>
      <w:r>
        <w:rPr>
          <w:rFonts w:ascii="Times New Roman" w:hAnsi="Times New Roman"/>
          <w:b w:val="0"/>
          <w:i w:val="0"/>
          <w:sz w:val="24"/>
        </w:rPr>
        <w:t>Foi também assim que o Professor Rolando encontrou Sandra.</w:t>
      </w:r>
    </w:p>
    <w:p>
      <w:pPr>
        <w:spacing w:before="0" w:after="120" w:line="360" w:lineRule="exact"/>
        <w:jc w:val="both"/>
      </w:pPr>
      <w:r>
        <w:rPr>
          <w:rFonts w:ascii="Times New Roman" w:hAnsi="Times New Roman"/>
          <w:b w:val="0"/>
          <w:i w:val="0"/>
          <w:sz w:val="24"/>
        </w:rPr>
        <w:t>Sandra faz faxina na casa do professor há mais de uma década. Mora no sítio, cultiva a terra. Seu marido é vaqueiro — sai, cuida do gado, volta. Sandra cuida do resto. Sempre cuidou.</w:t>
      </w:r>
    </w:p>
    <w:p>
      <w:pPr>
        <w:spacing w:before="0" w:after="120" w:line="360" w:lineRule="exact"/>
        <w:jc w:val="both"/>
      </w:pPr>
      <w:r>
        <w:rPr>
          <w:rFonts w:ascii="Times New Roman" w:hAnsi="Times New Roman"/>
          <w:b w:val="0"/>
          <w:i w:val="0"/>
          <w:sz w:val="24"/>
        </w:rPr>
        <w:t>São duas filhas. A mais velha cursou pedagogia na UFSEM — foi aluna do próprio Professor Rolando. A mais nova, mais dedicada ao estudo, vai se formar em enfermagem numa faculdade privada pelo PROUNI. Quando o estágio começou a exigir deslocamentos, Sandra comprou uma moto. Com dinheiro de faxina. A cada R$100,00 por dois ou três turnos de trabalho — às vezes a manhã inteira —, ela foi acumulando o que a filha precisava para terminar o curso.</w:t>
      </w:r>
    </w:p>
    <w:p>
      <w:pPr>
        <w:spacing w:before="0" w:after="120" w:line="360" w:lineRule="exact"/>
        <w:jc w:val="both"/>
      </w:pPr>
      <w:r>
        <w:rPr>
          <w:rFonts w:ascii="Times New Roman" w:hAnsi="Times New Roman"/>
          <w:b w:val="0"/>
          <w:i w:val="0"/>
          <w:sz w:val="24"/>
        </w:rPr>
        <w:t>O marido não quis saber. Quando chegou a hora de instalar internet em casa — porque as meninas precisavam para estudar —, ele se opôs. Sandra instalou assim mesmo.</w:t>
      </w:r>
    </w:p>
    <w:p>
      <w:pPr>
        <w:spacing w:before="0" w:after="120" w:line="360" w:lineRule="exact"/>
        <w:jc w:val="both"/>
      </w:pPr>
      <w:r>
        <w:rPr>
          <w:rFonts w:ascii="Times New Roman" w:hAnsi="Times New Roman"/>
          <w:b w:val="0"/>
          <w:i w:val="0"/>
          <w:sz w:val="24"/>
        </w:rPr>
        <w:t>Recentemente, Sandra ficou muito doente. A filha que vai se formar enfermeira passou a acompanhá-la nas faxinas. A trabalhadora que financiou a formação da filha agora depende dela para continuar trabalhando. O ciclo de reprodução social dobra sobre si mesmo — desta vez, a escola que Sandra pagou com faxina retorna como cuidado.</w:t>
      </w:r>
    </w:p>
    <w:p>
      <w:pPr>
        <w:spacing w:before="0" w:after="120" w:line="360" w:lineRule="exact"/>
        <w:jc w:val="both"/>
      </w:pPr>
      <w:r>
        <w:rPr>
          <w:rFonts w:ascii="Times New Roman" w:hAnsi="Times New Roman"/>
          <w:b w:val="0"/>
          <w:i w:val="0"/>
          <w:sz w:val="24"/>
        </w:rPr>
        <w:t>Uma vizinha disse de Sandra, de forma simples: "Sandra é maravilhosa."</w:t>
      </w:r>
    </w:p>
    <w:p>
      <w:pPr>
        <w:spacing w:before="0" w:after="120" w:line="360" w:lineRule="exact"/>
        <w:jc w:val="both"/>
      </w:pPr>
      <w:r>
        <w:rPr>
          <w:rFonts w:ascii="Times New Roman" w:hAnsi="Times New Roman"/>
          <w:b w:val="0"/>
          <w:i w:val="0"/>
          <w:sz w:val="24"/>
        </w:rPr>
        <w:t>O que a vizinha nomeia como qualidade pessoal é, na linguagem de Kergoat (2009), o resultado invisibilizado de décadas de trabalho reprodutivo não remunerado e não reconhecido. Sandra é o esteio material da família — educação, saúde, burocracia, renda. Seu marido tem um trabalho. Ela tem todos os outros.</w:t>
      </w:r>
    </w:p>
    <w:p>
      <w:pPr>
        <w:spacing w:before="0" w:after="120" w:line="360" w:lineRule="exact"/>
        <w:jc w:val="both"/>
      </w:pPr>
      <w:r>
        <w:rPr>
          <w:rFonts w:ascii="Times New Roman" w:hAnsi="Times New Roman"/>
          <w:b w:val="0"/>
          <w:i w:val="0"/>
          <w:sz w:val="24"/>
        </w:rPr>
        <w:t>Gonzaguinha cantou sobre Pedro Conceição, sobre Sandra, sobre o Professor Rolando — sobre todos eles — quando disse que guerreiros são pessoas, são fortes, são fracos, e que não dá para ser feliz.</w:t>
      </w:r>
    </w:p>
    <w:p>
      <w:pPr>
        <w:spacing w:before="0" w:after="120" w:line="360" w:lineRule="exact"/>
        <w:jc w:val="both"/>
      </w:pPr>
      <w:r>
        <w:rPr>
          <w:rFonts w:ascii="Times New Roman" w:hAnsi="Times New Roman"/>
          <w:b w:val="0"/>
          <w:i w:val="0"/>
          <w:sz w:val="24"/>
        </w:rPr>
        <w:t>O programa de pesquisa que nasceu dessa virada tem um nome: Etnografias da dignidade no semiárido. A instituição que recusou reconhecer o Professor Rolando produziu, sem querer, o único etnógrafo sistemático das camadas populares da cidade.</w:t>
      </w:r>
    </w:p>
    <w:p>
      <w:pPr>
        <w:spacing w:before="240" w:after="120" w:line="360" w:lineRule="exact"/>
        <w:jc w:val="left"/>
      </w:pPr>
      <w:r>
        <w:rPr>
          <w:rFonts w:ascii="Times New Roman" w:hAnsi="Times New Roman"/>
          <w:b/>
          <w:i w:val="0"/>
          <w:sz w:val="24"/>
        </w:rPr>
        <w:t>6. O HABITUS DA ESCASSEZ — CONTRIBUIÇÃO TEÓRICA</w:t>
      </w:r>
    </w:p>
    <w:p>
      <w:pPr>
        <w:spacing w:before="0" w:after="120" w:line="360" w:lineRule="exact"/>
        <w:jc w:val="both"/>
      </w:pPr>
      <w:r>
        <w:rPr>
          <w:rFonts w:ascii="Times New Roman" w:hAnsi="Times New Roman"/>
          <w:b w:val="0"/>
          <w:i w:val="0"/>
          <w:sz w:val="24"/>
        </w:rPr>
        <w:t>O conceito de habitus da escassez não chegou pronto. Emergiu da tensão entre três episódios que, à primeira leitura, poderiam parecer desconexos: a EHESS bloqueada, o colóquio caribenho cortado ao meio, o aniversário que nunca veio.</w:t>
      </w:r>
    </w:p>
    <w:p>
      <w:pPr>
        <w:spacing w:before="0" w:after="120" w:line="360" w:lineRule="exact"/>
        <w:jc w:val="both"/>
      </w:pPr>
      <w:r>
        <w:rPr>
          <w:rFonts w:ascii="Times New Roman" w:hAnsi="Times New Roman"/>
          <w:b w:val="0"/>
          <w:i w:val="0"/>
          <w:sz w:val="24"/>
        </w:rPr>
        <w:t>O que o episódio da EHESS revela não é simplesmente hostilidade — é um mecanismo de autopreservação que o campo ativa automaticamente diante do capital que não reconhece. Não há deliberação. Há disposição. A coordenadora que adiou a votação mês após mês não calculou estrategicamente a contenção — ela a executou com a naturalidade de quem age dentro das regras do jogo que internalizou. Foi necessária uma assinatura externa — um professor de filosofia até então silencioso — para que o sistema não fechasse completamente.</w:t>
      </w:r>
    </w:p>
    <w:p>
      <w:pPr>
        <w:spacing w:before="0" w:after="120" w:line="360" w:lineRule="exact"/>
        <w:jc w:val="both"/>
      </w:pPr>
      <w:r>
        <w:rPr>
          <w:rFonts w:ascii="Times New Roman" w:hAnsi="Times New Roman"/>
          <w:b w:val="0"/>
          <w:i w:val="0"/>
          <w:sz w:val="24"/>
        </w:rPr>
        <w:t>O episódio caribenho acrescenta uma dimensão que a contenção não previu: redistribuir forçadamente os recursos não elimina o capital excedente — desloca seus efeitos para fora do controle do campo. A escolha forçada entre passagem e estadia deveria ter imobilizado o Professor Rolando. Produziu, em vez disso, a autonomia intelectual que a instituição não havia calculado. O habitus da escassez não consegue calcular os coeficientes que escapam do campo — e o colóquio sobre a crise do capitalismo demonstrou isso com uma ironia que nenhuma ata de reunião registrou: ao tentar conter a crise interna, a instituição reproduziu, em miniatura, o mecanismo que intelectuais latino-americanos foram ao Caribe debater.</w:t>
      </w:r>
    </w:p>
    <w:p>
      <w:pPr>
        <w:spacing w:before="0" w:after="120" w:line="360" w:lineRule="exact"/>
        <w:jc w:val="both"/>
      </w:pPr>
      <w:r>
        <w:rPr>
          <w:rFonts w:ascii="Times New Roman" w:hAnsi="Times New Roman"/>
          <w:b w:val="0"/>
          <w:i w:val="0"/>
          <w:sz w:val="24"/>
        </w:rPr>
        <w:t>E o aniversário em silêncio completa o quadro: quando a contenção e o deslocamento não bastam, resta a invisibilização — tecnologia de ordem que não produz mártires porque não produz evidências. Anos de silêncio anual são mais eficazes que anos de conflito declarado.</w:t>
      </w:r>
    </w:p>
    <w:p>
      <w:pPr>
        <w:spacing w:before="0" w:after="120" w:line="360" w:lineRule="exact"/>
        <w:jc w:val="both"/>
      </w:pPr>
      <w:r>
        <w:rPr>
          <w:rFonts w:ascii="Times New Roman" w:hAnsi="Times New Roman"/>
          <w:b w:val="0"/>
          <w:i w:val="0"/>
          <w:sz w:val="24"/>
        </w:rPr>
        <w:t>O habitus da escassez não é exclusivo do campo acadêmico. Pedro Conceição o opera quando sustenta o Coletivo Cruzmaltino do Sertão com R$20,00 que não tem — não por irracionalidade econômica, mas porque a lógica da escassez ensina que o único capital que ninguém pode tomar é o de pertencer. Sandra o opera quando instala a internet que o marido recusou, quando compra a moto com dinheiro de faxina, quando acompanha a filha no estágio já doente — a cada gesto, antecipando a necessidade antes que ela se transforme em crise. Quem cresceu na escassez não espera a falta. Age antes.</w:t>
      </w:r>
    </w:p>
    <w:p>
      <w:pPr>
        <w:spacing w:before="0" w:after="120" w:line="360" w:lineRule="exact"/>
        <w:jc w:val="both"/>
      </w:pPr>
      <w:r>
        <w:rPr>
          <w:rFonts w:ascii="Times New Roman" w:hAnsi="Times New Roman"/>
          <w:b w:val="0"/>
          <w:i w:val="0"/>
          <w:sz w:val="24"/>
        </w:rPr>
        <w:t>O que o campo acadêmico acrescenta é a legitimação institucional da contenção. Na roça de Sandra e na moto de Pedro, a escassez é visível — todos sabem o que falta e por quê. No campo acadêmico periférico, a escassez se traveste de norma: a planilha de carga horária, a ata de reunião, o processo redirecionado à administração central. A invisibilização se naturaliza como esquecimento burocrático.</w:t>
      </w:r>
    </w:p>
    <w:p>
      <w:pPr>
        <w:spacing w:before="0" w:after="120" w:line="360" w:lineRule="exact"/>
        <w:jc w:val="both"/>
      </w:pPr>
      <w:r>
        <w:rPr>
          <w:rFonts w:ascii="Times New Roman" w:hAnsi="Times New Roman"/>
          <w:b w:val="0"/>
          <w:i w:val="0"/>
          <w:sz w:val="24"/>
        </w:rPr>
        <w:t>Esse deslocamento — da escassez visível para a escassez institucionalizada — é a contribuição analítica que o habitus da escassez oferece à sociologia dos campos periféricos. As universidades federais do interior brasileiro, criadas em grande número pelo REUNI a partir de 2007, constituem um campo de pesquisa que ainda não possui instrumentos analíticos adequados — porque esses instrumentos foram construídos a partir de campos onde a escassez se esconde melhor.</w:t>
      </w:r>
    </w:p>
    <w:p>
      <w:pPr>
        <w:spacing w:before="0" w:after="120" w:line="360" w:lineRule="exact"/>
        <w:jc w:val="both"/>
      </w:pPr>
      <w:r>
        <w:rPr>
          <w:rFonts w:ascii="Times New Roman" w:hAnsi="Times New Roman"/>
          <w:b w:val="0"/>
          <w:i w:val="0"/>
          <w:sz w:val="24"/>
        </w:rPr>
        <w:t>O invisível oferece ao campo que o ignorou exatamente isso: a legibilidade que a abundância obscurece.</w:t>
      </w:r>
    </w:p>
    <w:p>
      <w:pPr>
        <w:spacing w:before="240" w:after="120" w:line="360" w:lineRule="exact"/>
        <w:jc w:val="left"/>
      </w:pPr>
      <w:r>
        <w:rPr>
          <w:rFonts w:ascii="Times New Roman" w:hAnsi="Times New Roman"/>
          <w:b/>
          <w:i w:val="0"/>
          <w:sz w:val="24"/>
        </w:rPr>
        <w:t>7. CONCLUSÃO</w:t>
      </w:r>
    </w:p>
    <w:p>
      <w:pPr>
        <w:spacing w:before="0" w:after="120" w:line="360" w:lineRule="exact"/>
        <w:jc w:val="both"/>
      </w:pPr>
      <w:r>
        <w:rPr>
          <w:rFonts w:ascii="Times New Roman" w:hAnsi="Times New Roman"/>
          <w:b w:val="0"/>
          <w:i w:val="0"/>
          <w:sz w:val="24"/>
        </w:rPr>
        <w:t>Aquele homem no ônibus não sabia que estava descrevendo um campo acadêmico. Ele descrevia uma lógica — a mesma que adiou a EHESS, que cortou o colóquio caribenho ao meio, que silenciou anos de aniversários, que Pedro Conceição e Sandra conhecem de outros ângulos e outros nomes.</w:t>
      </w:r>
    </w:p>
    <w:p>
      <w:pPr>
        <w:spacing w:before="0" w:after="120" w:line="360" w:lineRule="exact"/>
        <w:jc w:val="both"/>
      </w:pPr>
      <w:r>
        <w:rPr>
          <w:rFonts w:ascii="Times New Roman" w:hAnsi="Times New Roman"/>
          <w:b w:val="0"/>
          <w:i w:val="0"/>
          <w:sz w:val="24"/>
        </w:rPr>
        <w:t>A regra da farinha pouca não é regionalismo folclórico. É um sistema de distribuição que opera com a mesma frieza nos potes de farinha e nas atas de reunião universitária. O habitus da escassez não é uma patologia do sertão — é uma estrutura que o sertão tornou legível porque nunca teve recursos para escondê-la sob a aparência da abundância.</w:t>
      </w:r>
    </w:p>
    <w:p>
      <w:pPr>
        <w:spacing w:before="0" w:after="120" w:line="360" w:lineRule="exact"/>
        <w:jc w:val="both"/>
      </w:pPr>
      <w:r>
        <w:rPr>
          <w:rFonts w:ascii="Times New Roman" w:hAnsi="Times New Roman"/>
          <w:b w:val="0"/>
          <w:i w:val="0"/>
          <w:sz w:val="24"/>
        </w:rPr>
        <w:t>Resta uma questão que este artigo não resolve: em que medida esse habitus é específico ao Alto Sertão brasileiro, e em que medida é um padrão mais amplo dos campos acadêmicos periféricos do país? A resposta exige replicação — outros casos, outras universidades do interior, outros pesquisadores que chegaram de fora com capital que o campo local não reconheceu.</w:t>
      </w:r>
    </w:p>
    <w:p>
      <w:pPr>
        <w:spacing w:before="0" w:after="120" w:line="360" w:lineRule="exact"/>
        <w:jc w:val="both"/>
      </w:pPr>
      <w:r>
        <w:rPr>
          <w:rFonts w:ascii="Times New Roman" w:hAnsi="Times New Roman"/>
          <w:b w:val="0"/>
          <w:i w:val="0"/>
          <w:sz w:val="24"/>
        </w:rPr>
        <w:t>Essa agenda está aberta. E é, ela mesma, um coeficiente que o campo da farinha pouca não havia calculado.</w:t>
      </w:r>
    </w:p>
    <w:p>
      <w:pPr>
        <w:spacing w:before="0" w:after="120" w:line="360" w:lineRule="exact"/>
        <w:jc w:val="both"/>
      </w:pPr>
      <w:r>
        <w:rPr>
          <w:rFonts w:ascii="Times New Roman" w:hAnsi="Times New Roman"/>
          <w:b w:val="0"/>
          <w:i/>
          <w:sz w:val="24"/>
        </w:rPr>
        <w:t>"Sou um estrangeiro vivendo ali"</w:t>
      </w:r>
      <w:r>
        <w:rPr>
          <w:rFonts w:ascii="Times New Roman" w:hAnsi="Times New Roman"/>
          <w:b w:val="0"/>
          <w:i w:val="0"/>
          <w:sz w:val="24"/>
        </w:rPr>
        <w:t xml:space="preserve"> — disse o Professor Rolando sobre sua relação com a instituição. É uma frase de aceitação, não de derrota. O estrangeiro que a instituição não reconheceu construiu, na margem, um programa de pesquisa sobre a dignidade dos que a cidade também não reconhece. Pedro Conceição e Sandra não aparecem neste texto como ilustração de uma tese. Aparecem como o que sempre foram: sujeitos cujas estratégias de sobrevivência contêm mais teoria social do que qualquer tipologia limpa consegue capturar.</w:t>
      </w:r>
    </w:p>
    <w:p>
      <w:pPr>
        <w:spacing w:before="360" w:after="120" w:line="360" w:lineRule="exact"/>
        <w:jc w:val="left"/>
      </w:pPr>
      <w:r>
        <w:rPr>
          <w:rFonts w:ascii="Times New Roman" w:hAnsi="Times New Roman"/>
          <w:b/>
          <w:i w:val="0"/>
          <w:sz w:val="24"/>
        </w:rPr>
        <w:t>REFERÊNCIAS</w:t>
      </w:r>
    </w:p>
    <w:p>
      <w:pPr>
        <w:spacing w:before="0" w:after="80" w:line="360" w:lineRule="exact"/>
        <w:ind w:left="709" w:hanging="709"/>
        <w:jc w:val="both"/>
      </w:pPr>
      <w:r>
        <w:rPr>
          <w:rFonts w:ascii="Times New Roman" w:hAnsi="Times New Roman"/>
          <w:i w:val="0"/>
          <w:sz w:val="24"/>
        </w:rPr>
        <w:t xml:space="preserve">BOURDIEU, Pierre. </w:t>
      </w:r>
      <w:r>
        <w:rPr>
          <w:rFonts w:ascii="Times New Roman" w:hAnsi="Times New Roman"/>
          <w:i/>
          <w:sz w:val="24"/>
        </w:rPr>
        <w:t>Le sens pratique</w:t>
      </w:r>
      <w:r>
        <w:rPr>
          <w:rFonts w:ascii="Times New Roman" w:hAnsi="Times New Roman"/>
          <w:i w:val="0"/>
          <w:sz w:val="24"/>
        </w:rPr>
        <w:t>. Paris: Minuit, 1980.</w:t>
      </w:r>
    </w:p>
    <w:p>
      <w:pPr>
        <w:spacing w:before="0" w:after="80" w:line="360" w:lineRule="exact"/>
        <w:ind w:left="709" w:hanging="709"/>
        <w:jc w:val="both"/>
      </w:pPr>
      <w:r>
        <w:rPr>
          <w:rFonts w:ascii="Times New Roman" w:hAnsi="Times New Roman"/>
          <w:i w:val="0"/>
          <w:sz w:val="24"/>
        </w:rPr>
        <w:t xml:space="preserve">BOURDIEU, Pierre. </w:t>
      </w:r>
      <w:r>
        <w:rPr>
          <w:rFonts w:ascii="Times New Roman" w:hAnsi="Times New Roman"/>
          <w:i/>
          <w:sz w:val="24"/>
        </w:rPr>
        <w:t>Homo academicus</w:t>
      </w:r>
      <w:r>
        <w:rPr>
          <w:rFonts w:ascii="Times New Roman" w:hAnsi="Times New Roman"/>
          <w:i w:val="0"/>
          <w:sz w:val="24"/>
        </w:rPr>
        <w:t>. Paris: Minuit, 1984.</w:t>
      </w:r>
    </w:p>
    <w:p>
      <w:pPr>
        <w:spacing w:before="0" w:after="80" w:line="360" w:lineRule="exact"/>
        <w:ind w:left="709" w:hanging="709"/>
        <w:jc w:val="both"/>
      </w:pPr>
      <w:r>
        <w:rPr>
          <w:rFonts w:ascii="Times New Roman" w:hAnsi="Times New Roman"/>
          <w:i w:val="0"/>
          <w:sz w:val="24"/>
        </w:rPr>
        <w:t xml:space="preserve">BURAWOY, Michael. </w:t>
      </w:r>
      <w:r>
        <w:rPr>
          <w:rFonts w:ascii="Times New Roman" w:hAnsi="Times New Roman"/>
          <w:i/>
          <w:sz w:val="24"/>
        </w:rPr>
        <w:t>The extended case method: four countries, four decades, four great transformations, and one theoretical tradition</w:t>
      </w:r>
      <w:r>
        <w:rPr>
          <w:rFonts w:ascii="Times New Roman" w:hAnsi="Times New Roman"/>
          <w:i w:val="0"/>
          <w:sz w:val="24"/>
        </w:rPr>
        <w:t>. Berkeley: University of California Press, 2009.</w:t>
      </w:r>
    </w:p>
    <w:p>
      <w:pPr>
        <w:spacing w:before="0" w:after="80" w:line="360" w:lineRule="exact"/>
        <w:ind w:left="709" w:hanging="709"/>
        <w:jc w:val="both"/>
      </w:pPr>
      <w:r>
        <w:rPr>
          <w:rFonts w:ascii="Times New Roman" w:hAnsi="Times New Roman"/>
          <w:i w:val="0"/>
          <w:sz w:val="24"/>
        </w:rPr>
        <w:t xml:space="preserve">GONZAGUINHA. Guerreiro Menino. In: </w:t>
      </w:r>
      <w:r>
        <w:rPr>
          <w:rFonts w:ascii="Times New Roman" w:hAnsi="Times New Roman"/>
          <w:i/>
          <w:sz w:val="24"/>
        </w:rPr>
        <w:t>Caminhos do Coração</w:t>
      </w:r>
      <w:r>
        <w:rPr>
          <w:rFonts w:ascii="Times New Roman" w:hAnsi="Times New Roman"/>
          <w:i w:val="0"/>
          <w:sz w:val="24"/>
        </w:rPr>
        <w:t>. EMI, 1982.</w:t>
      </w:r>
    </w:p>
    <w:p>
      <w:pPr>
        <w:spacing w:before="0" w:after="80" w:line="360" w:lineRule="exact"/>
        <w:ind w:left="709" w:hanging="709"/>
        <w:jc w:val="both"/>
      </w:pPr>
      <w:r>
        <w:rPr>
          <w:rFonts w:ascii="Times New Roman" w:hAnsi="Times New Roman"/>
          <w:i w:val="0"/>
          <w:sz w:val="24"/>
        </w:rPr>
        <w:t xml:space="preserve">HONNETH, Axel. </w:t>
      </w:r>
      <w:r>
        <w:rPr>
          <w:rFonts w:ascii="Times New Roman" w:hAnsi="Times New Roman"/>
          <w:i/>
          <w:sz w:val="24"/>
        </w:rPr>
        <w:t>Kampf um Anerkennung</w:t>
      </w:r>
      <w:r>
        <w:rPr>
          <w:rFonts w:ascii="Times New Roman" w:hAnsi="Times New Roman"/>
          <w:i w:val="0"/>
          <w:sz w:val="24"/>
        </w:rPr>
        <w:t xml:space="preserve">. Frankfurt: Suhrkamp, 1992. [Edição brasileira: </w:t>
      </w:r>
      <w:r>
        <w:rPr>
          <w:rFonts w:ascii="Times New Roman" w:hAnsi="Times New Roman"/>
          <w:i/>
          <w:sz w:val="24"/>
        </w:rPr>
        <w:t>Luta por reconhecimento</w:t>
      </w:r>
      <w:r>
        <w:rPr>
          <w:rFonts w:ascii="Times New Roman" w:hAnsi="Times New Roman"/>
          <w:i w:val="0"/>
          <w:sz w:val="24"/>
        </w:rPr>
        <w:t>. São Paulo: Ed. 34, 2003.]</w:t>
      </w:r>
    </w:p>
    <w:p>
      <w:pPr>
        <w:spacing w:before="0" w:after="80" w:line="360" w:lineRule="exact"/>
        <w:ind w:left="709" w:hanging="709"/>
        <w:jc w:val="both"/>
      </w:pPr>
      <w:r>
        <w:rPr>
          <w:rFonts w:ascii="Times New Roman" w:hAnsi="Times New Roman"/>
          <w:i w:val="0"/>
          <w:sz w:val="24"/>
        </w:rPr>
        <w:t xml:space="preserve">KERGOAT, Danièle. Divisão sexual do trabalho e relações sociais de sexo. In: HIRATA, Helena et al. (orgs.). </w:t>
      </w:r>
      <w:r>
        <w:rPr>
          <w:rFonts w:ascii="Times New Roman" w:hAnsi="Times New Roman"/>
          <w:i/>
          <w:sz w:val="24"/>
        </w:rPr>
        <w:t>Dicionário crítico do feminismo</w:t>
      </w:r>
      <w:r>
        <w:rPr>
          <w:rFonts w:ascii="Times New Roman" w:hAnsi="Times New Roman"/>
          <w:i w:val="0"/>
          <w:sz w:val="24"/>
        </w:rPr>
        <w:t>. São Paulo: Editora UNESP, 2009.</w:t>
      </w:r>
    </w:p>
    <w:p>
      <w:pPr>
        <w:spacing w:before="0" w:after="80" w:line="360" w:lineRule="exact"/>
        <w:ind w:left="709" w:hanging="709"/>
        <w:jc w:val="both"/>
      </w:pPr>
      <w:r>
        <w:rPr>
          <w:rFonts w:ascii="Times New Roman" w:hAnsi="Times New Roman"/>
          <w:i w:val="0"/>
          <w:sz w:val="24"/>
        </w:rPr>
        <w:t xml:space="preserve">WACQUANT, Loïc. </w:t>
      </w:r>
      <w:r>
        <w:rPr>
          <w:rFonts w:ascii="Times New Roman" w:hAnsi="Times New Roman"/>
          <w:i/>
          <w:sz w:val="24"/>
        </w:rPr>
        <w:t>Corps et âme</w:t>
      </w:r>
      <w:r>
        <w:rPr>
          <w:rFonts w:ascii="Times New Roman" w:hAnsi="Times New Roman"/>
          <w:i w:val="0"/>
          <w:sz w:val="24"/>
        </w:rPr>
        <w:t>: carnets ethnographiques d'un apprenti boxeur. Marseille: Agone, 2002.</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