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exact"/>
        <w:jc w:val="left"/>
      </w:pPr>
      <w:r>
        <w:rPr>
          <w:rFonts w:ascii="Times New Roman" w:hAnsi="Times New Roman"/>
          <w:b w:val="0"/>
          <w:i w:val="0"/>
          <w:sz w:val="24"/>
        </w:rPr>
        <w:t>À Comissão Editorial</w:t>
      </w:r>
    </w:p>
    <w:p>
      <w:pPr>
        <w:spacing w:before="0" w:after="0" w:line="360" w:lineRule="exact"/>
        <w:jc w:val="both"/>
      </w:pPr>
      <w:r>
        <w:rPr>
          <w:rFonts w:ascii="Times New Roman" w:hAnsi="Times New Roman"/>
          <w:b w:val="0"/>
          <w:i w:val="0"/>
          <w:sz w:val="24"/>
        </w:rPr>
      </w:r>
    </w:p>
    <w:p>
      <w:pPr>
        <w:spacing w:before="0" w:after="120" w:line="360" w:lineRule="exact"/>
        <w:jc w:val="left"/>
      </w:pPr>
      <w:r>
        <w:rPr>
          <w:rFonts w:ascii="Times New Roman" w:hAnsi="Times New Roman"/>
          <w:b w:val="0"/>
          <w:i w:val="0"/>
          <w:sz w:val="24"/>
        </w:rPr>
        <w:t>Prezados editores,</w:t>
      </w:r>
    </w:p>
    <w:p>
      <w:pPr>
        <w:spacing w:before="0" w:after="120" w:line="360" w:lineRule="exact"/>
        <w:ind w:firstLine="709"/>
        <w:jc w:val="both"/>
      </w:pPr>
      <w:r>
        <w:rPr>
          <w:rFonts w:ascii="Times New Roman" w:hAnsi="Times New Roman"/>
          <w:b w:val="0"/>
          <w:i w:val="0"/>
          <w:sz w:val="24"/>
        </w:rPr>
        <w:t>Submeto ao processo de avaliação deste periódico o artigo intitulado "Habitus da Escassez: uma autoetnografia do campo acadêmico periférico". O argumento central é que a escassez material e simbólica nos campos acadêmicos periféricos não constitui mero acidente estrutural, mas opera como mecanismo ativo de controle — um conjunto de práticas institucionais que produz e reproduz disposições específicas nos agentes submetidos à sua lógica. O manuscrito mobiliza o Método do Caso Ampliado (BURAWOY, 2009), a teoria dos campos de Bourdieu e a teoria do reconhecimento de Honneth para analisar etnograficamente as condições de trabalho docente em uma universidade federal localizada no interior do Brasil.</w:t>
      </w:r>
    </w:p>
    <w:p>
      <w:pPr>
        <w:spacing w:before="0" w:after="120" w:line="360" w:lineRule="exact"/>
        <w:ind w:firstLine="709"/>
        <w:jc w:val="both"/>
      </w:pPr>
      <w:r>
        <w:rPr>
          <w:rFonts w:ascii="Times New Roman" w:hAnsi="Times New Roman"/>
          <w:b w:val="0"/>
          <w:i w:val="0"/>
          <w:sz w:val="24"/>
        </w:rPr>
        <w:t>O artigo contribui para o debate sobre invisibilidade institucional, violência simbólica e resistência acadêmica em contextos periféricos, oferecendo análise empiricamente fundada e teoricamente densa. Declaro que o manuscrito é original, não está em avaliação simultânea em outro periódico e que todos os procedimentos éticos foram observados, incluindo a anonimização dos sujeitos e da instituição envolvidos.</w:t>
      </w:r>
    </w:p>
    <w:p>
      <w:pPr>
        <w:spacing w:before="0" w:after="120" w:line="360" w:lineRule="exact"/>
        <w:jc w:val="left"/>
      </w:pPr>
      <w:r>
        <w:rPr>
          <w:rFonts w:ascii="Times New Roman" w:hAnsi="Times New Roman"/>
          <w:b w:val="0"/>
          <w:i w:val="0"/>
          <w:sz w:val="24"/>
        </w:rPr>
        <w:t>Atenciosamente,</w:t>
      </w:r>
    </w:p>
    <w:p>
      <w:pPr>
        <w:spacing w:before="0" w:after="120" w:line="360" w:lineRule="exact"/>
        <w:jc w:val="left"/>
      </w:pPr>
      <w:r>
        <w:rPr>
          <w:rFonts w:ascii="Times New Roman" w:hAnsi="Times New Roman"/>
          <w:b w:val="0"/>
          <w:i w:val="0"/>
          <w:sz w:val="24"/>
        </w:rPr>
        <w:t>O Autor</w:t>
      </w:r>
    </w:p>
    <w:p>
      <w:r>
        <w:br w:type="page"/>
      </w:r>
    </w:p>
    <w:p>
      <w:pPr>
        <w:spacing w:before="120" w:after="80" w:line="360" w:lineRule="exact"/>
        <w:jc w:val="center"/>
      </w:pPr>
      <w:r>
        <w:rPr>
          <w:rFonts w:ascii="Times New Roman" w:hAnsi="Times New Roman"/>
          <w:b/>
          <w:i w:val="0"/>
          <w:sz w:val="24"/>
        </w:rPr>
        <w:t>HABITUS DA ESCASSEZ: UMA AUTOETNOGRAFIA DO CAMPO ACADÊMICO PERIFÉRICO</w:t>
      </w:r>
    </w:p>
    <w:p>
      <w:pPr>
        <w:spacing w:before="0" w:after="360" w:line="360" w:lineRule="exact"/>
        <w:jc w:val="center"/>
      </w:pPr>
      <w:r>
        <w:rPr>
          <w:rFonts w:ascii="Times New Roman" w:hAnsi="Times New Roman"/>
          <w:b w:val="0"/>
          <w:i/>
          <w:sz w:val="24"/>
        </w:rPr>
        <w:t>HABITUS OF SCARCITY: AN AUTOETHNOGRAPHY OF THE PERIPHERAL ACADEMIC FIELD</w:t>
      </w:r>
    </w:p>
    <w:p>
      <w:pPr>
        <w:spacing w:before="120" w:after="120" w:line="360" w:lineRule="exact"/>
        <w:jc w:val="center"/>
      </w:pPr>
      <w:r>
        <w:rPr>
          <w:rFonts w:ascii="Times New Roman" w:hAnsi="Times New Roman"/>
          <w:b/>
          <w:i w:val="0"/>
          <w:sz w:val="24"/>
        </w:rPr>
        <w:t>RESUMO</w:t>
      </w:r>
    </w:p>
    <w:p>
      <w:pPr>
        <w:spacing w:before="0" w:after="0" w:line="360" w:lineRule="exact"/>
        <w:jc w:val="both"/>
      </w:pPr>
      <w:r>
        <w:rPr>
          <w:rFonts w:ascii="Times New Roman" w:hAnsi="Times New Roman"/>
          <w:b w:val="0"/>
          <w:i w:val="0"/>
          <w:sz w:val="24"/>
        </w:rPr>
        <w:t>Este artigo apresenta uma autoetnografia do campo acadêmico periférico, mobilizando o Método do Caso Ampliado (BURAWOY, 2009), a teoria dos campos de Bourdieu e a teoria do reconhecimento de Honneth. O pesquisador-caso é um professor de Sociologia em uma universidade federal do interior do Brasil — denominada UFSEM para fins éticos — que enfrenta distribuição arbitrária de carga horária, isolamento geográfico e violência simbólica institucional. A partir de cinco episódios etnográficos — a grade horária como prisão burocrática, a arquitetura material do descaso, a calúnia burocrática no escaninho, o êxodo do coordenador argentino e a consolidação de redes de solidariedade intelectual no Colóquio Internacional de Economia Política no Caribe em 2012 — o artigo elabora o conceito de habitus da escassez: sistema de disposições duráveis produzido por gerações de privação material e simbólica, que opera nos campos acadêmicos periféricos como contenção do capital externo, distribuição seletiva do reconhecimento e invisibilização como tecnologia de ordem. Os resultados indicam que a escassez não é ausência de recursos, mas mecanismo ativo de controle, e que a autonomia do pesquisador constitui o coeficiente não calculado da tentativa de contenção institucional.</w:t>
      </w:r>
    </w:p>
    <w:p>
      <w:pPr>
        <w:spacing w:before="0" w:after="240" w:line="360" w:lineRule="exact"/>
        <w:jc w:val="both"/>
      </w:pPr>
      <w:r>
        <w:rPr>
          <w:rFonts w:ascii="Times New Roman" w:hAnsi="Times New Roman"/>
          <w:b w:val="0"/>
          <w:i w:val="0"/>
          <w:sz w:val="24"/>
        </w:rPr>
        <w:t>Palavras-chave: campo acadêmico; habitus da escassez; autoetnografia; violência simbólica; periferias universitárias.</w:t>
      </w:r>
    </w:p>
    <w:p>
      <w:pPr>
        <w:spacing w:before="120" w:after="120" w:line="360" w:lineRule="exact"/>
        <w:jc w:val="center"/>
      </w:pPr>
      <w:r>
        <w:rPr>
          <w:rFonts w:ascii="Times New Roman" w:hAnsi="Times New Roman"/>
          <w:b/>
          <w:i w:val="0"/>
          <w:sz w:val="24"/>
        </w:rPr>
        <w:t>ABSTRACT</w:t>
      </w:r>
    </w:p>
    <w:p>
      <w:pPr>
        <w:spacing w:before="0" w:after="0" w:line="360" w:lineRule="exact"/>
        <w:jc w:val="both"/>
      </w:pPr>
      <w:r>
        <w:rPr>
          <w:rFonts w:ascii="Times New Roman" w:hAnsi="Times New Roman"/>
          <w:b w:val="0"/>
          <w:i w:val="0"/>
          <w:sz w:val="24"/>
        </w:rPr>
        <w:t>This article presents an autoethnography of the peripheral academic field, drawing on the Extended Case Method (BURAWOY, 2009), Bourdieu's field theory, and Honneth's recognition theory. The researcher-case is a Sociology professor at a federal university in inland Brazil — referred to as UFSEM for ethical purposes — who faces arbitrary workload distribution, geographic isolation, and institutional symbolic violence. From five ethnographic episodes — the timetable as bureaucratic imprisonment, the material architecture of neglect, bureaucratic slander at the pigeonhole, the Argentine coordinator's exodus, and the consolidation of international intellectual solidarity networks at the 2012 International Colloquium on Political Economy in the Caribbean — the article develops the concept of habitus of scarcity: a system of durable dispositions produced by generations of material and symbolic deprivation, operating in peripheral academic fields as containment of external capital, selective distribution of recognition, and invisibilization as a technology of order. Findings suggest that scarcity is not the absence of resources but an active mechanism of control, and that researcher autonomy constitutes the uncalculated coefficient of the attempt at institutional containment.</w:t>
      </w:r>
    </w:p>
    <w:p>
      <w:pPr>
        <w:spacing w:before="0" w:after="320" w:line="360" w:lineRule="exact"/>
        <w:jc w:val="both"/>
      </w:pPr>
      <w:r>
        <w:rPr>
          <w:rFonts w:ascii="Times New Roman" w:hAnsi="Times New Roman"/>
          <w:b w:val="0"/>
          <w:i w:val="0"/>
          <w:sz w:val="24"/>
        </w:rPr>
        <w:t>Keywords: academic field; habitus of scarcity; autoethnography; symbolic violence; university peripheries.</w:t>
      </w:r>
    </w:p>
    <w:p>
      <w:pPr>
        <w:spacing w:before="120" w:after="80" w:line="360" w:lineRule="exact"/>
        <w:jc w:val="left"/>
      </w:pPr>
      <w:r>
        <w:rPr>
          <w:rFonts w:ascii="Times New Roman" w:hAnsi="Times New Roman"/>
          <w:b/>
          <w:i w:val="0"/>
          <w:sz w:val="24"/>
        </w:rPr>
        <w:t>Nota sobre procedimentos éticos e anonimização</w:t>
      </w:r>
    </w:p>
    <w:p>
      <w:pPr>
        <w:spacing w:before="0" w:after="320" w:line="360" w:lineRule="exact"/>
        <w:ind w:firstLine="709"/>
        <w:jc w:val="both"/>
      </w:pPr>
      <w:r>
        <w:rPr>
          <w:rFonts w:ascii="Times New Roman" w:hAnsi="Times New Roman"/>
          <w:b w:val="0"/>
          <w:i w:val="0"/>
          <w:sz w:val="24"/>
        </w:rPr>
        <w:t>Em observância aos princípios éticos que regem a pesquisa com seres humanos, todos os nomes de pessoas, instituições e localidades foram substituídos por pseudônimos ou designações genéricas. A instituição em que o pesquisador atua é referida como UFSEM. Os sujeitos institucionais que aparecem nos episódios etnográficos receberam nomes fictícios. O pesquisador-narrador é denominado Professor Rolando, também pseudônimo. Estas escolhas não comprometem a validade analítica dos dados — a força explicativa do argumento repousa sobre as estruturas relacionais e os mecanismos institucionais descritos, não sobre a identificação nominal dos agentes.</w:t>
      </w:r>
    </w:p>
    <w:p>
      <w:pPr>
        <w:spacing w:before="360" w:after="120" w:line="360" w:lineRule="exact"/>
        <w:jc w:val="center"/>
      </w:pPr>
      <w:r>
        <w:rPr>
          <w:rFonts w:ascii="Times New Roman" w:hAnsi="Times New Roman"/>
          <w:b/>
          <w:sz w:val="24"/>
        </w:rPr>
        <w:t>1 INTRODUÇÃO</w:t>
      </w:r>
    </w:p>
    <w:p>
      <w:pPr>
        <w:spacing w:before="0" w:after="120" w:line="360" w:lineRule="exact"/>
        <w:ind w:firstLine="709"/>
        <w:jc w:val="both"/>
      </w:pPr>
      <w:r>
        <w:rPr>
          <w:rFonts w:ascii="Times New Roman" w:hAnsi="Times New Roman"/>
          <w:b w:val="0"/>
          <w:i w:val="0"/>
          <w:sz w:val="24"/>
        </w:rPr>
        <w:t>Às seis da manhã de uma segunda-feira qualquer, o ônibus que conecta a cidade-sede da UFSEM ao município vizinho parte com três passageiros: dois estudantes do ensino médio e um docente do ensino superior federal. A segunda-feira de manhã não é horário de escolha. É horário de imposição: a grade curricular do Professor Rolando começa às oito horas da manhã da segunda, o que significa que o retorno do fim de semana — nos casos em que um fim de semana existe — ocorre no ônibus das cinco e quarenta. A cena não é excepcional. É estrutural.</w:t>
      </w:r>
    </w:p>
    <w:p>
      <w:pPr>
        <w:spacing w:before="0" w:after="120" w:line="360" w:lineRule="exact"/>
        <w:ind w:firstLine="709"/>
        <w:jc w:val="both"/>
      </w:pPr>
      <w:r>
        <w:rPr>
          <w:rFonts w:ascii="Times New Roman" w:hAnsi="Times New Roman"/>
          <w:b w:val="0"/>
          <w:i w:val="0"/>
          <w:sz w:val="24"/>
        </w:rPr>
        <w:t>Este artigo é uma autoetnografia. O pesquisador é simultaneamente observador e caso — procedimento que Burawoy (2009) nomeia como Método do Caso Ampliado. A opção não é biográfica, mas epistemológica: o caso singular é a porta de entrada para as estruturas que o produzem. O que se descreve aqui não é a trajetória de um indivíduo, mas o funcionamento de um campo — o campo acadêmico periférico brasileiro — a partir de dentro.</w:t>
      </w:r>
    </w:p>
    <w:p>
      <w:pPr>
        <w:spacing w:before="0" w:after="120" w:line="360" w:lineRule="exact"/>
        <w:ind w:firstLine="709"/>
        <w:jc w:val="both"/>
      </w:pPr>
      <w:r>
        <w:rPr>
          <w:rFonts w:ascii="Times New Roman" w:hAnsi="Times New Roman"/>
          <w:b w:val="0"/>
          <w:i w:val="0"/>
          <w:sz w:val="24"/>
        </w:rPr>
        <w:t>O conceito que emerge da análise é o de habitus da escassez: um sistema de disposições duráveis produzido por gerações de privação material e simbólica, que nos campos acadêmicos periféricos opera como contenção do capital externo, distribuição seletiva do reconhecimento e invisibilização como tecnologia de ordem. A escassez, neste registro, não é ausência de recursos. É mecanismo ativo de controle.</w:t>
      </w:r>
    </w:p>
    <w:p>
      <w:pPr>
        <w:spacing w:before="360" w:after="120" w:line="360" w:lineRule="exact"/>
        <w:jc w:val="center"/>
      </w:pPr>
      <w:r>
        <w:rPr>
          <w:rFonts w:ascii="Times New Roman" w:hAnsi="Times New Roman"/>
          <w:b/>
          <w:sz w:val="24"/>
        </w:rPr>
        <w:t>2 REFERENCIAL TEÓRICO</w:t>
      </w:r>
    </w:p>
    <w:p>
      <w:pPr>
        <w:spacing w:before="360" w:after="120" w:line="360" w:lineRule="exact"/>
        <w:jc w:val="left"/>
      </w:pPr>
      <w:r>
        <w:rPr>
          <w:rFonts w:ascii="Times New Roman" w:hAnsi="Times New Roman"/>
          <w:b/>
          <w:sz w:val="24"/>
        </w:rPr>
        <w:t>2.1 O Método do Caso Ampliado</w:t>
      </w:r>
    </w:p>
    <w:p>
      <w:pPr>
        <w:spacing w:before="0" w:after="120" w:line="360" w:lineRule="exact"/>
        <w:ind w:firstLine="709"/>
        <w:jc w:val="both"/>
      </w:pPr>
      <w:r>
        <w:rPr>
          <w:rFonts w:ascii="Times New Roman" w:hAnsi="Times New Roman"/>
          <w:b w:val="0"/>
          <w:i w:val="0"/>
          <w:sz w:val="24"/>
        </w:rPr>
        <w:t>A autoetnografia como procedimento científico encontra em Burawoy (2009) sua justificativa metodológica mais rigorosa. O Método do Caso Ampliado parte da situação singular para atingir a estrutura que a produz: o pesquisador não abandona sua posição no mundo social para observá-lo de fora, mas a utiliza como instrumento de análise. A reflexividade não é contaminação — é dado.</w:t>
      </w:r>
    </w:p>
    <w:p>
      <w:pPr>
        <w:spacing w:before="0" w:after="120" w:line="360" w:lineRule="exact"/>
        <w:ind w:firstLine="709"/>
        <w:jc w:val="both"/>
      </w:pPr>
      <w:r>
        <w:rPr>
          <w:rFonts w:ascii="Times New Roman" w:hAnsi="Times New Roman"/>
          <w:b w:val="0"/>
          <w:i w:val="0"/>
          <w:sz w:val="24"/>
        </w:rPr>
        <w:t>No caso em análise, o pesquisador-caso não é escolhido por conveniência biográfica, mas porque sua posição estrutural — professor recém-ingressado, concursado para campo periférico, sem redes locais de proteção — o torna exemplar dos mecanismos de funcionamento do campo acadêmico em regiões distantes dos centros de produção científica. O caso amplia para a estrutura; a estrutura ilumina o caso.</w:t>
      </w:r>
    </w:p>
    <w:p>
      <w:pPr>
        <w:spacing w:before="360" w:after="120" w:line="360" w:lineRule="exact"/>
        <w:jc w:val="left"/>
      </w:pPr>
      <w:r>
        <w:rPr>
          <w:rFonts w:ascii="Times New Roman" w:hAnsi="Times New Roman"/>
          <w:b/>
          <w:sz w:val="24"/>
        </w:rPr>
        <w:t>2.2 Campo, Habitus e Capital Simbólico</w:t>
      </w:r>
    </w:p>
    <w:p>
      <w:pPr>
        <w:spacing w:before="0" w:after="120" w:line="360" w:lineRule="exact"/>
        <w:ind w:firstLine="709"/>
        <w:jc w:val="both"/>
      </w:pPr>
      <w:r>
        <w:rPr>
          <w:rFonts w:ascii="Times New Roman" w:hAnsi="Times New Roman"/>
          <w:b w:val="0"/>
          <w:i w:val="0"/>
          <w:sz w:val="24"/>
        </w:rPr>
        <w:t>Bourdieu (1980, 1984, 1989) elaborou o campo como espaço de posições estruturadas por relações de força entre agentes portadores de diferentes volumes e composições de capital. O campo acadêmico tem sua lógica específica — a ilusio científica, a crença no valor do conhecimento — mas não está imune às pressões externas dos campos político e econômico. Em universidades periféricas, essa permeabilidade é particularmente intensa: o campo não dispõe de capital simbólico acumulado suficiente para repelir intrusões.</w:t>
      </w:r>
    </w:p>
    <w:p>
      <w:pPr>
        <w:spacing w:before="0" w:after="120" w:line="360" w:lineRule="exact"/>
        <w:ind w:firstLine="709"/>
        <w:jc w:val="both"/>
      </w:pPr>
      <w:r>
        <w:rPr>
          <w:rFonts w:ascii="Times New Roman" w:hAnsi="Times New Roman"/>
          <w:b w:val="0"/>
          <w:i w:val="0"/>
          <w:sz w:val="24"/>
        </w:rPr>
        <w:t>O habitus, como sistema de disposições incorporadas, é o produto da história do campo inscrito nos corpos dos agentes (BOURDIEU, 1980). No campo acadêmico periférico, o habitus que se produz — o que este artigo nomeia como habitus da escassez — não é disfuncional. É funcionalmente adequado a um campo onde a escassez é a regra, onde a distribuição do reconhecimento obedece a critérios extra-científicos e onde o controle sobre os corpos e os tempos dos professores constitui prerrogativa administrativa.</w:t>
      </w:r>
    </w:p>
    <w:p>
      <w:pPr>
        <w:spacing w:before="360" w:after="120" w:line="360" w:lineRule="exact"/>
        <w:jc w:val="left"/>
      </w:pPr>
      <w:r>
        <w:rPr>
          <w:rFonts w:ascii="Times New Roman" w:hAnsi="Times New Roman"/>
          <w:b/>
          <w:sz w:val="24"/>
        </w:rPr>
        <w:t>2.3 Reconhecimento e Invisibilidade Social</w:t>
      </w:r>
    </w:p>
    <w:p>
      <w:pPr>
        <w:spacing w:before="0" w:after="120" w:line="360" w:lineRule="exact"/>
        <w:ind w:firstLine="709"/>
        <w:jc w:val="both"/>
      </w:pPr>
      <w:r>
        <w:rPr>
          <w:rFonts w:ascii="Times New Roman" w:hAnsi="Times New Roman"/>
          <w:b w:val="0"/>
          <w:i w:val="0"/>
          <w:sz w:val="24"/>
        </w:rPr>
        <w:t>Honneth (2003) propõe que o reconhecimento é a gramática moral das relações sociais. Três esferas estruturam a experiência do reconhecimento: o amor, os direitos e a solidariedade. A cada esfera corresponde uma forma de desrespeito — violação física, negação de direitos, degradação social. A invisibilidade é a terceira forma: a negação da solidariedade, o não-reconhecimento do valor social do outro.</w:t>
      </w:r>
    </w:p>
    <w:p>
      <w:pPr>
        <w:spacing w:before="0" w:after="120" w:line="360" w:lineRule="exact"/>
        <w:ind w:firstLine="709"/>
        <w:jc w:val="both"/>
      </w:pPr>
      <w:r>
        <w:rPr>
          <w:rFonts w:ascii="Times New Roman" w:hAnsi="Times New Roman"/>
          <w:b w:val="0"/>
          <w:i w:val="0"/>
          <w:sz w:val="24"/>
        </w:rPr>
        <w:t>No campo acadêmico periférico, a invisibilidade opera em múltiplas escalas. O professor isolado não existe para os pares dos centros de excelência — sua produção não circula, seus grupos de pesquisa não se formam, sua inserção em redes científicas é bloqueada pela própria estrutura de sua jornada de trabalho. A invisibilidade não é ausência; é produto de condições estruturais ativamente reproduzidas.</w:t>
      </w:r>
    </w:p>
    <w:p>
      <w:pPr>
        <w:spacing w:before="360" w:after="120" w:line="360" w:lineRule="exact"/>
        <w:jc w:val="left"/>
      </w:pPr>
      <w:r>
        <w:rPr>
          <w:rFonts w:ascii="Times New Roman" w:hAnsi="Times New Roman"/>
          <w:b/>
          <w:sz w:val="24"/>
        </w:rPr>
        <w:t>2.4 Divisão Sexual do Trabalho e Consubstancialidade</w:t>
      </w:r>
    </w:p>
    <w:p>
      <w:pPr>
        <w:spacing w:before="0" w:after="120" w:line="360" w:lineRule="exact"/>
        <w:ind w:firstLine="709"/>
        <w:jc w:val="both"/>
      </w:pPr>
      <w:r>
        <w:rPr>
          <w:rFonts w:ascii="Times New Roman" w:hAnsi="Times New Roman"/>
          <w:b w:val="0"/>
          <w:i w:val="0"/>
          <w:sz w:val="24"/>
        </w:rPr>
        <w:t>Kergoat (2009) demonstrou que a divisão sexual do trabalho não é traço periférico das relações sociais, mas seu princípio organizador. O trabalho reprodutivo — historicamente feminino, estruturalmente invisível — sustenta o trabalho produtivo que recebe reconhecimento. No campo acadêmico, esta lógica se reproduz: o trabalho docente de base — aulas em número excessivo, orientações numerosas, burocracias curriculares — recai desproporcionalmente sobre os professores sem capital simbólico acumulado. A noção de consubstancialidade permite analisar como relações de classe, raça e gênero se articulam simultaneamente no interior do campo acadêmico periférico.</w:t>
      </w:r>
    </w:p>
    <w:p>
      <w:pPr>
        <w:spacing w:before="360" w:after="120" w:line="360" w:lineRule="exact"/>
        <w:jc w:val="center"/>
      </w:pPr>
      <w:r>
        <w:rPr>
          <w:rFonts w:ascii="Times New Roman" w:hAnsi="Times New Roman"/>
          <w:b/>
          <w:sz w:val="24"/>
        </w:rPr>
        <w:t>3 METODOLOGIA</w:t>
      </w:r>
    </w:p>
    <w:p>
      <w:pPr>
        <w:spacing w:before="0" w:after="120" w:line="360" w:lineRule="exact"/>
        <w:ind w:firstLine="709"/>
        <w:jc w:val="both"/>
      </w:pPr>
      <w:r>
        <w:rPr>
          <w:rFonts w:ascii="Times New Roman" w:hAnsi="Times New Roman"/>
          <w:b w:val="0"/>
          <w:i w:val="0"/>
          <w:sz w:val="24"/>
        </w:rPr>
        <w:t>A autoetnografia produz dados a partir da posição do pesquisador no campo social que analisa. Esta escolha não neutraliza o viés — a neutralidade é ela própria uma ficção de campo — mas o coloca em evidência, submetendo-o à análise. O pesquisador que narra é o mesmo que foi submetido às estruturas que descreve; sua capacidade analítica não é apesar disso, mas por causa disso.</w:t>
      </w:r>
    </w:p>
    <w:p>
      <w:pPr>
        <w:spacing w:before="0" w:after="120" w:line="360" w:lineRule="exact"/>
        <w:ind w:firstLine="709"/>
        <w:jc w:val="both"/>
      </w:pPr>
      <w:r>
        <w:rPr>
          <w:rFonts w:ascii="Times New Roman" w:hAnsi="Times New Roman"/>
          <w:b w:val="0"/>
          <w:i w:val="0"/>
          <w:sz w:val="24"/>
        </w:rPr>
        <w:t>Os dados empíricos que alimentam os episódios analisados provêm de registros sistemáticos — anotações de campo, documentos institucionais, comunicações formais e dados quantitativos sobre distribuição de carga horária — produzidos ao longo dos primeiros anos do ingresso do pesquisador na UFSEM. O recorte temporal é o período probatório, quando a vulnerabilidade institucional do professor é máxima e os mecanismos de controle operam com menor constrangimento.</w:t>
      </w:r>
    </w:p>
    <w:p>
      <w:pPr>
        <w:spacing w:before="0" w:after="120" w:line="360" w:lineRule="exact"/>
        <w:ind w:firstLine="709"/>
        <w:jc w:val="both"/>
      </w:pPr>
      <w:r>
        <w:rPr>
          <w:rFonts w:ascii="Times New Roman" w:hAnsi="Times New Roman"/>
          <w:b w:val="0"/>
          <w:i w:val="0"/>
          <w:sz w:val="24"/>
        </w:rPr>
        <w:t>A análise mobiliza o Método do Caso Ampliado (BURAWOY, 2009) em articulação com a teoria dos campos (BOURDIEU, 1980, 1984, 1989), a teoria do reconhecimento (HONNETH, 2003) e os estudos sobre divisão sexual do trabalho (KERGOAT, 2009). A triangulação teórica não é ecletismo; é resposta à multidimensionalidade do objeto.</w:t>
      </w:r>
    </w:p>
    <w:p>
      <w:pPr>
        <w:spacing w:before="360" w:after="120" w:line="360" w:lineRule="exact"/>
        <w:jc w:val="center"/>
      </w:pPr>
      <w:r>
        <w:rPr>
          <w:rFonts w:ascii="Times New Roman" w:hAnsi="Times New Roman"/>
          <w:b/>
          <w:sz w:val="24"/>
        </w:rPr>
        <w:t>4 O CAMPUS COMO ARQUITETURA DO DESCASO</w:t>
      </w:r>
    </w:p>
    <w:p>
      <w:pPr>
        <w:spacing w:before="0" w:after="120" w:line="360" w:lineRule="exact"/>
        <w:ind w:firstLine="709"/>
        <w:jc w:val="both"/>
      </w:pPr>
      <w:r>
        <w:rPr>
          <w:rFonts w:ascii="Times New Roman" w:hAnsi="Times New Roman"/>
          <w:b w:val="0"/>
          <w:i w:val="0"/>
          <w:sz w:val="24"/>
        </w:rPr>
        <w:t>Antes de descrever o que ocorre no campo acadêmico da UFSEM, é necessário descrever onde ocorre. A materialidade do espaço não é cenário passivo; é dado sociológico. A arquitetura revela o valor que a instituição atribui àqueles que nela trabalham e aprendem.</w:t>
      </w:r>
    </w:p>
    <w:p>
      <w:pPr>
        <w:spacing w:before="0" w:after="120" w:line="360" w:lineRule="exact"/>
        <w:ind w:firstLine="709"/>
        <w:jc w:val="both"/>
      </w:pPr>
      <w:r>
        <w:rPr>
          <w:rFonts w:ascii="Times New Roman" w:hAnsi="Times New Roman"/>
          <w:b w:val="0"/>
          <w:i w:val="0"/>
          <w:sz w:val="24"/>
        </w:rPr>
        <w:t>O campus da UFSEM na cidade-sede é uma obra incompleta que o tempo transformou em permanente. As instalações elétricas improvisadas — gambiarras que percorrem fachadas e corredores em configurações que qualquer laudo técnico interditaria — não são resultado de descuido eventual. São o estado ordinário de uma infraestrutura que nunca recebeu a manutenção que deveria. Em ao menos dois episódios documentados pelos servidores, o risco de incêndio foi explicitamente sinalizado em comunicações internas sem que medidas corretivas fossem adotadas. A gambiarra letal não é metáfora — é descrição técnica de um estado de coisas administrado como normalidade. O corpo do trabalhador que percorre esses corredores diariamente é submetido a um risco que a instituição conhece e não elimina.</w:t>
      </w:r>
    </w:p>
    <w:p>
      <w:pPr>
        <w:spacing w:before="0" w:after="120" w:line="360" w:lineRule="exact"/>
        <w:ind w:firstLine="709"/>
        <w:jc w:val="both"/>
      </w:pPr>
      <w:r>
        <w:rPr>
          <w:rFonts w:ascii="Times New Roman" w:hAnsi="Times New Roman"/>
          <w:b w:val="0"/>
          <w:i w:val="0"/>
          <w:sz w:val="24"/>
        </w:rPr>
        <w:t>A biblioteca, espaço que em qualquer campo acadêmico funciona como medida do investimento simbólico da instituição no conhecimento, opera na UFSEM como biblioteca fantasma. O acervo físico é insuficiente para as demandas dos cursos instalados; o acervo digital, quando existe, depende de conexões instáveis. Professores em início de carreira — sem recursos para aquisição própria de bibliografias especializadas e sem acesso a bibliotecas de centros universitários maiores — produzem suas aulas com o que conseguem digitalizar, o que solicitam a colegas distantes, o que reside em seus próprios acervos pessoais trazidos de outras cidades. A biblioteca fantasma não é ausência de recursos; é transferência silenciosa do custo institucional para o trabalhador individual.</w:t>
      </w:r>
    </w:p>
    <w:p>
      <w:pPr>
        <w:spacing w:before="0" w:after="120" w:line="360" w:lineRule="exact"/>
        <w:ind w:firstLine="709"/>
        <w:jc w:val="both"/>
      </w:pPr>
      <w:r>
        <w:rPr>
          <w:rFonts w:ascii="Times New Roman" w:hAnsi="Times New Roman"/>
          <w:b w:val="0"/>
          <w:i w:val="0"/>
          <w:sz w:val="24"/>
        </w:rPr>
        <w:t>Este campus — com sua infraestrutura precária, sua biblioteca insuficiente, seu isolamento geográfico — é o campo onde os episódios a seguir ocorrem. Descrevê-lo não é contextualização; é argumento.</w:t>
      </w:r>
    </w:p>
    <w:p>
      <w:pPr>
        <w:spacing w:before="360" w:after="120" w:line="360" w:lineRule="exact"/>
        <w:jc w:val="center"/>
      </w:pPr>
      <w:r>
        <w:rPr>
          <w:rFonts w:ascii="Times New Roman" w:hAnsi="Times New Roman"/>
          <w:b/>
          <w:sz w:val="24"/>
        </w:rPr>
        <w:t>5 EPISÓDIOS ETNOGRÁFICOS</w:t>
      </w:r>
    </w:p>
    <w:p>
      <w:pPr>
        <w:spacing w:before="360" w:after="120" w:line="360" w:lineRule="exact"/>
        <w:jc w:val="left"/>
      </w:pPr>
      <w:r>
        <w:rPr>
          <w:rFonts w:ascii="Times New Roman" w:hAnsi="Times New Roman"/>
          <w:b/>
          <w:sz w:val="24"/>
        </w:rPr>
        <w:t>5.1 A Grade Horária como Prisão Burocrática</w:t>
      </w:r>
    </w:p>
    <w:p>
      <w:pPr>
        <w:spacing w:before="0" w:after="120" w:line="360" w:lineRule="exact"/>
        <w:ind w:firstLine="709"/>
        <w:jc w:val="both"/>
      </w:pPr>
      <w:r>
        <w:rPr>
          <w:rFonts w:ascii="Times New Roman" w:hAnsi="Times New Roman"/>
          <w:b w:val="0"/>
          <w:i w:val="0"/>
          <w:sz w:val="24"/>
        </w:rPr>
        <w:t>A distribuição de carga horária docente é, nos campos acadêmicos periféricos, um dos instrumentos mais eficazes de controle sem aparência de controle. Nenhum regulamento interno prescreve que o professor geograficamente isolado deve receber a grade mais desfavorável. Nenhuma ata de reunião registra o critério pelo qual um docente foi alocado na sexta-feira à noite enquanto seus pares concentram suas disciplinas em dois ou três dias da semana. A decisão é discricionária — e é precisamente a discricionariedade que a torna sociologicamente interessante.</w:t>
      </w:r>
    </w:p>
    <w:p>
      <w:pPr>
        <w:spacing w:before="0" w:after="120" w:line="360" w:lineRule="exact"/>
        <w:ind w:firstLine="709"/>
        <w:jc w:val="both"/>
      </w:pPr>
      <w:r>
        <w:rPr>
          <w:rFonts w:ascii="Times New Roman" w:hAnsi="Times New Roman"/>
          <w:b w:val="0"/>
          <w:i w:val="0"/>
          <w:sz w:val="24"/>
        </w:rPr>
        <w:t>No caso do Professor Rolando, a distribuição de horários apresentava uma regularidade que os dados quantitativos tornam difícil atribuir ao acaso: suas disciplinas eram alocadas de segunda a sexta, com dois pontos de ancoragem estratégicos — a segunda-feira pela manhã e a sexta-feira à noite. O efeito prático desta configuração é preciso: o professor que reside em outro município não pode retornar ao fim de semana sem abrir mão da sexta à noite; não pode adiar o retorno para segunda sem perder a primeira aula. O fim de semana, como unidade de tempo familiar e de recomposição, é estruturalmente inviabilizado — não por proibição, mas por arquitetura horária.</w:t>
      </w:r>
    </w:p>
    <w:p>
      <w:pPr>
        <w:spacing w:before="0" w:after="120" w:line="360" w:lineRule="exact"/>
        <w:ind w:firstLine="709"/>
        <w:jc w:val="both"/>
      </w:pPr>
      <w:r>
        <w:rPr>
          <w:rFonts w:ascii="Times New Roman" w:hAnsi="Times New Roman"/>
          <w:b w:val="0"/>
          <w:i w:val="0"/>
          <w:sz w:val="24"/>
        </w:rPr>
        <w:t>Os pares da mesma coordenação, residentes na cidade-sede, concentravam suas disciplinas em blocos de dois ou três dias consecutivos — configuração que libera períodos inteiros da semana para pesquisa, orientação e deslocamento voluntário. A comparação não requer sofisticação metodológica: o contraste entre as grades é legível nas planilhas institucionais. O que as planilhas não registram é o mecanismo que as produziu.</w:t>
      </w:r>
    </w:p>
    <w:p>
      <w:pPr>
        <w:spacing w:before="0" w:after="120" w:line="360" w:lineRule="exact"/>
        <w:ind w:firstLine="709"/>
        <w:jc w:val="both"/>
      </w:pPr>
      <w:r>
        <w:rPr>
          <w:rFonts w:ascii="Times New Roman" w:hAnsi="Times New Roman"/>
          <w:b w:val="0"/>
          <w:i w:val="0"/>
          <w:sz w:val="24"/>
        </w:rPr>
        <w:t>Bourdieu (1980) descreveu o capital temporal como dimensão frequentemente invisibilizada nas análises de campo. O tempo não é recurso neutro — é distribuído segundo a lógica das posições. O professor que perde as sextas à noite e as segundas de manhã perde, sistematicamente, os únicos momentos em que o deslocamento entre cidade de residência e cidade de trabalho seria compatível com alguma forma de vida fora do perímetro institucional. A prisão burocrática não tem grades visíveis. Tem uma planilha de Excel e uma reunião de coordenação onde o assunto não foi debatido.</w:t>
      </w:r>
    </w:p>
    <w:p>
      <w:pPr>
        <w:spacing w:before="0" w:after="120" w:line="360" w:lineRule="exact"/>
        <w:ind w:firstLine="709"/>
        <w:jc w:val="both"/>
      </w:pPr>
      <w:r>
        <w:rPr>
          <w:rFonts w:ascii="Times New Roman" w:hAnsi="Times New Roman"/>
          <w:b w:val="0"/>
          <w:i w:val="0"/>
          <w:sz w:val="24"/>
        </w:rPr>
        <w:t>Há, neste mecanismo, uma dimensão que a teoria do reconhecimento de Honneth (2003) ilumina com precisão: a negação da esfera do amor — do vínculo afetivo, da vida doméstica, do tempo com aqueles a quem o professor está ligado — não é declarada como política institucional. Aparece como efeito colateral de uma decisão técnica sobre horários. O dano é real; a responsabilidade é difusa. Esta é a forma mais eficiente de violência simbólica: aquela que não precisa se nomear como tal.</w:t>
      </w:r>
    </w:p>
    <w:p>
      <w:pPr>
        <w:spacing w:before="360" w:after="120" w:line="360" w:lineRule="exact"/>
        <w:jc w:val="left"/>
      </w:pPr>
      <w:r>
        <w:rPr>
          <w:rFonts w:ascii="Times New Roman" w:hAnsi="Times New Roman"/>
          <w:b/>
          <w:sz w:val="24"/>
        </w:rPr>
        <w:t>5.2 O Escaninho e a Calúnia Burocrática</w:t>
      </w:r>
    </w:p>
    <w:p>
      <w:pPr>
        <w:spacing w:before="0" w:after="120" w:line="360" w:lineRule="exact"/>
        <w:ind w:firstLine="709"/>
        <w:jc w:val="both"/>
      </w:pPr>
      <w:r>
        <w:rPr>
          <w:rFonts w:ascii="Times New Roman" w:hAnsi="Times New Roman"/>
          <w:b w:val="0"/>
          <w:i w:val="0"/>
          <w:sz w:val="24"/>
        </w:rPr>
        <w:t>O escaninho é o dispositivo material mais rudimentar da comunicação institucional universitária: uma grade de pequenas caixas onde são depositados documentos, comunicados, processos. Em campos acadêmicos com capital simbólico consolidado, o escaninho é logística. Na UFSEM, o escaninho foi, em ao menos uma ocasião documentada, instrumento de difamação.</w:t>
      </w:r>
    </w:p>
    <w:p>
      <w:pPr>
        <w:spacing w:before="0" w:after="120" w:line="360" w:lineRule="exact"/>
        <w:ind w:firstLine="709"/>
        <w:jc w:val="both"/>
      </w:pPr>
      <w:r>
        <w:rPr>
          <w:rFonts w:ascii="Times New Roman" w:hAnsi="Times New Roman"/>
          <w:b w:val="0"/>
          <w:i w:val="0"/>
          <w:sz w:val="24"/>
        </w:rPr>
        <w:t>Em período do primeiro ano do Professor Rolando na instituição, documentos de processo administrativo — cuja tramitação dependia de sua assinatura — foram dados como não localizados pela coordenação. A sequência do episódio é sociologicamente precisa: a coordenação afirmou ter depositado os documentos no escaninho do Professor Rolando; o Professor Rolando afirmou não tê-los recebido; a coordenação, em registro verbal, insinuou que os documentos poderiam ter sido retirados pelo próprio professor sem o procedimento regular.</w:t>
      </w:r>
    </w:p>
    <w:p>
      <w:pPr>
        <w:spacing w:before="0" w:after="120" w:line="360" w:lineRule="exact"/>
        <w:ind w:firstLine="709"/>
        <w:jc w:val="both"/>
      </w:pPr>
      <w:r>
        <w:rPr>
          <w:rFonts w:ascii="Times New Roman" w:hAnsi="Times New Roman"/>
          <w:b w:val="0"/>
          <w:i w:val="0"/>
          <w:sz w:val="24"/>
        </w:rPr>
        <w:t>A insinuação — nunca formalizada em acusação oficial, pois a formalização obrigaria à prova — cumpriu sua função sem precisar ser verdadeira. O campo da suspeita é suficiente. O professor acusado de 'roubar processos' — expressão que circulou informalmente nos corredores — não pode responder a uma acusação que não existe formalmente; não pode se defender de algo que, oficialmente, nunca foi dito. A violência simbólica opera exatamente neste intervalo: entre o que é insinuado e o que pode ser contestado.</w:t>
      </w:r>
    </w:p>
    <w:p>
      <w:pPr>
        <w:spacing w:before="0" w:after="120" w:line="360" w:lineRule="exact"/>
        <w:ind w:firstLine="709"/>
        <w:jc w:val="both"/>
      </w:pPr>
      <w:r>
        <w:rPr>
          <w:rFonts w:ascii="Times New Roman" w:hAnsi="Times New Roman"/>
          <w:b w:val="0"/>
          <w:i w:val="0"/>
          <w:sz w:val="24"/>
        </w:rPr>
        <w:t>Bourdieu (1989) descreveu o capital burocrático como a capacidade de agir em nome da instituição. A coordenação que controla os processos administrativos controla também a narrativa sobre esses processos. O papel burocrático, neste episódio, não é ferramenta de gestão. É arma.</w:t>
      </w:r>
    </w:p>
    <w:p>
      <w:pPr>
        <w:spacing w:before="360" w:after="120" w:line="360" w:lineRule="exact"/>
        <w:jc w:val="left"/>
      </w:pPr>
      <w:r>
        <w:rPr>
          <w:rFonts w:ascii="Times New Roman" w:hAnsi="Times New Roman"/>
          <w:b/>
          <w:sz w:val="24"/>
        </w:rPr>
        <w:t>5.3 O Coordenador Argentino: Crítica, Aculturação e Êxodo</w:t>
      </w:r>
    </w:p>
    <w:p>
      <w:pPr>
        <w:spacing w:before="0" w:after="120" w:line="360" w:lineRule="exact"/>
        <w:ind w:firstLine="709"/>
        <w:jc w:val="both"/>
      </w:pPr>
      <w:r>
        <w:rPr>
          <w:rFonts w:ascii="Times New Roman" w:hAnsi="Times New Roman"/>
          <w:b w:val="0"/>
          <w:i w:val="0"/>
          <w:sz w:val="24"/>
        </w:rPr>
        <w:t>O Dr. Cláudio chegou à UFSEM como doutor em Ciências Sociais formado em Buenos Aires, com trajetória intelectual forjada no pensamento crítico latino-americano — a tradição que vai de Mariátegui a Quijano, da teoria da dependência à colonialidade do poder. No papel, era o perfil que qualquer programa de pós-graduação em Sociologia da América Latina celebraria. Na prática, assumiu a coordenação do curso de Ciências Sociais da UFSEM e, progressivamente, incorporou a lógica do campo que deveria analisar.</w:t>
      </w:r>
    </w:p>
    <w:p>
      <w:pPr>
        <w:spacing w:before="0" w:after="120" w:line="360" w:lineRule="exact"/>
        <w:ind w:firstLine="709"/>
        <w:jc w:val="both"/>
      </w:pPr>
      <w:r>
        <w:rPr>
          <w:rFonts w:ascii="Times New Roman" w:hAnsi="Times New Roman"/>
          <w:b w:val="0"/>
          <w:i w:val="0"/>
          <w:sz w:val="24"/>
        </w:rPr>
        <w:t>A trajetória do Dr. Cláudio é material para o que Bourdieu (1989) chamaria de conversão do habitus: a estrutura do campo que se inscreve no agente, produzindo práticas alinhadas com a reprodução da ordem mesmo quando o agente, discursivamente, se posiciona contra ela. O crítico do eurocentrismo aprendeu a operar a burocracia universitária brasileira — suas planilhas de carga horária, suas atas de reunião, seus processos administrativos — com a eficiência de quem descobriu que a burocracia é, antes de tudo, um mecanismo de distribuição de privilégios. Quem controla o processo controla o campo.</w:t>
      </w:r>
    </w:p>
    <w:p>
      <w:pPr>
        <w:spacing w:before="0" w:after="120" w:line="360" w:lineRule="exact"/>
        <w:ind w:firstLine="709"/>
        <w:jc w:val="both"/>
      </w:pPr>
      <w:r>
        <w:rPr>
          <w:rFonts w:ascii="Times New Roman" w:hAnsi="Times New Roman"/>
          <w:b w:val="0"/>
          <w:i w:val="0"/>
          <w:sz w:val="24"/>
        </w:rPr>
        <w:t>O episódio final da trajetória do Dr. Cláudio na UFSEM merece análise detida. Após a eleição de um novo reitor — cujo perfil político e relações com setores conservadores do campo universitário eram conhecidos no ambiente institucional, sendo referido internamente como 'o reitor da ditadura' por sua proximidade com gestores identificados com períodos de exceção na gestão universitária — a Dra. Valéria, esposa do Dr. Cláudio, assumiu cargo administrativo relevante na mesma instituição, vinculado à nova gestão.</w:t>
      </w:r>
    </w:p>
    <w:p>
      <w:pPr>
        <w:spacing w:before="0" w:after="120" w:line="360" w:lineRule="exact"/>
        <w:ind w:firstLine="709"/>
        <w:jc w:val="both"/>
      </w:pPr>
      <w:r>
        <w:rPr>
          <w:rFonts w:ascii="Times New Roman" w:hAnsi="Times New Roman"/>
          <w:b w:val="0"/>
          <w:i w:val="0"/>
          <w:sz w:val="24"/>
        </w:rPr>
        <w:t>A solicitação de remoção por acompanhamento de cônjuge, que o Dr. Cláudio protocolou logo em seguida, é o ponto de inflexão analítico. O mecanismo de remoção por 'acompanhamento de cônjuge' existe no funcionalismo público federal para casos de transferência para outra cidade, outro estado, outra realidade geográfica. No caso do Dr. Cláudio, o município de destino distava menos de cem quilômetros da cidade-sede da UFSEM — dentro do mesmo estado. A ironia sociológica não precisa de adjetivos: o crítico da colonialidade utilizou o mecanismo burocrático disponível para sua mobilidade particular, independente de sua adequação objetiva ao caso.</w:t>
      </w:r>
    </w:p>
    <w:p>
      <w:pPr>
        <w:spacing w:before="0" w:after="120" w:line="360" w:lineRule="exact"/>
        <w:ind w:firstLine="709"/>
        <w:jc w:val="both"/>
      </w:pPr>
      <w:r>
        <w:rPr>
          <w:rFonts w:ascii="Times New Roman" w:hAnsi="Times New Roman"/>
          <w:b w:val="0"/>
          <w:i w:val="0"/>
          <w:sz w:val="24"/>
        </w:rPr>
        <w:t>O efeito estrutural, porém, excede a trajetória individual do coordenador. O curso de Ciências Sociais da UFSEM ficou sem professor responsável pela disciplina de História da América por dois anos letivos consecutivos. Estudantes que haviam ingressado com a expectativa de uma formação em Ciências Sociais — e que haviam escolhido este curso em parte pela presença de um corpo docente com formação sul-americana — cursaram dois anos sem acesso a um conteúdo central de sua grade curricular. O abandono é, neste sentido, duplamente simbólico: o intelectual crítico abandonou não apenas a instituição, mas os estudantes que a crítica deveria servir.</w:t>
      </w:r>
    </w:p>
    <w:p>
      <w:pPr>
        <w:spacing w:before="360" w:after="120" w:line="360" w:lineRule="exact"/>
        <w:jc w:val="left"/>
      </w:pPr>
      <w:r>
        <w:rPr>
          <w:rFonts w:ascii="Times New Roman" w:hAnsi="Times New Roman"/>
          <w:b/>
          <w:sz w:val="24"/>
        </w:rPr>
        <w:t>5.4 O Colóquio Caribenho e a Autonomia como Coeficiente Não Calculado</w:t>
      </w:r>
    </w:p>
    <w:p>
      <w:pPr>
        <w:spacing w:before="0" w:after="120" w:line="360" w:lineRule="exact"/>
        <w:ind w:firstLine="709"/>
        <w:jc w:val="both"/>
      </w:pPr>
      <w:r>
        <w:rPr>
          <w:rFonts w:ascii="Times New Roman" w:hAnsi="Times New Roman"/>
          <w:b w:val="0"/>
          <w:i w:val="0"/>
          <w:sz w:val="24"/>
        </w:rPr>
        <w:t>Em novembro de 2012, realizou-se em uma nação caribenha o 8º Colóquio Internacional de Economia Política, evento organizado pela Sociedade de Economia Política da América Latina — SEPLA — cujo tema central era a crise do capitalismo global e suas manifestações periféricas. O Professor Rolando participou do evento com apresentação de trabalho. A coordenação da UFSEM havia sinalizado, nos meses anteriores, que a participação em eventos internacionais durante o período probatório seria 'mal vista' — expressão informal que, no vocabulário do campo, significa que haveria consequências administrativas não especificadas.</w:t>
      </w:r>
    </w:p>
    <w:p>
      <w:pPr>
        <w:spacing w:before="0" w:after="120" w:line="360" w:lineRule="exact"/>
        <w:ind w:firstLine="709"/>
        <w:jc w:val="both"/>
      </w:pPr>
      <w:r>
        <w:rPr>
          <w:rFonts w:ascii="Times New Roman" w:hAnsi="Times New Roman"/>
          <w:b w:val="0"/>
          <w:i w:val="0"/>
          <w:sz w:val="24"/>
        </w:rPr>
        <w:t>A ironia estrutural é precisa: a coordenação tentou bloquear a participação do Professor Rolando em um colóquio cujo tema central era exatamente o mecanismo que ela mesma reproduzia — a produção de dependência periférica e a contenção da circulação autônoma de pesquisadores. O campo acadêmico da UFSEM reproduzia, em escala micro-institucional, o mecanismo que a SEPLA havia se reunido para debater em escala global.</w:t>
      </w:r>
    </w:p>
    <w:p>
      <w:pPr>
        <w:spacing w:before="0" w:after="120" w:line="360" w:lineRule="exact"/>
        <w:ind w:firstLine="709"/>
        <w:jc w:val="both"/>
      </w:pPr>
      <w:r>
        <w:rPr>
          <w:rFonts w:ascii="Times New Roman" w:hAnsi="Times New Roman"/>
          <w:b w:val="0"/>
          <w:i w:val="0"/>
          <w:sz w:val="24"/>
        </w:rPr>
        <w:t>Foi no Colóquio que o Professor Rolando consolidou redes de solidariedade intelectual com pesquisadores da América Latina, da Europa e do Caribe — vínculos construídos exatamente no espaço que a UFSEM havia tentado inviabilizar. A Sandra, colega pesquisadora do Sul Global cuja trajetória cruzou a do Professor Rolando nos circuitos de pesquisa sobre economias periféricas, integrou essas redes. O Pedro Conceição, pesquisador brasileiro radicado em instituição europeia, estabeleceu colaboração que resultaria em produção científica posterior — produção que a UFSEM contabilizaria em seus relatórios sem reconhecer que havia tentado impedi-la.</w:t>
      </w:r>
    </w:p>
    <w:p>
      <w:pPr>
        <w:spacing w:before="0" w:after="120" w:line="360" w:lineRule="exact"/>
        <w:ind w:firstLine="709"/>
        <w:jc w:val="both"/>
      </w:pPr>
      <w:r>
        <w:rPr>
          <w:rFonts w:ascii="Times New Roman" w:hAnsi="Times New Roman"/>
          <w:b w:val="0"/>
          <w:i w:val="0"/>
          <w:sz w:val="24"/>
        </w:rPr>
        <w:t>A tentativa de contenção produziu o coeficiente não calculado: a autonomia do pesquisador transbordou os limites do campo institucional. O Professor Rolando que retornou do Caribe não era o mesmo que a coordenação havia tentado imobilizar — carregava redes de resistência acadêmica internacional que nenhuma planilha de carga horária pode regulamentar.</w:t>
      </w:r>
    </w:p>
    <w:p>
      <w:pPr>
        <w:spacing w:before="360" w:after="120" w:line="360" w:lineRule="exact"/>
        <w:jc w:val="center"/>
      </w:pPr>
      <w:r>
        <w:rPr>
          <w:rFonts w:ascii="Times New Roman" w:hAnsi="Times New Roman"/>
          <w:b/>
          <w:sz w:val="24"/>
        </w:rPr>
        <w:t>6 O HABITUS DA ESCASSEZ COMO CONCEITO ANALÍTICO</w:t>
      </w:r>
    </w:p>
    <w:p>
      <w:pPr>
        <w:spacing w:before="0" w:after="120" w:line="360" w:lineRule="exact"/>
        <w:ind w:firstLine="709"/>
        <w:jc w:val="both"/>
      </w:pPr>
      <w:r>
        <w:rPr>
          <w:rFonts w:ascii="Times New Roman" w:hAnsi="Times New Roman"/>
          <w:b w:val="0"/>
          <w:i w:val="0"/>
          <w:sz w:val="24"/>
        </w:rPr>
        <w:t>Os cinco episódios descritos não são incidentes isolados. São manifestações de uma lógica de campo que este artigo propõe nomear como habitus da escassez. O conceito não é formulado a priori como categoria teórica; emerge da análise indutiva dos episódios, em procedimento coerente com o Método do Caso Ampliado (BURAWOY, 2009).</w:t>
      </w:r>
    </w:p>
    <w:p>
      <w:pPr>
        <w:spacing w:before="0" w:after="120" w:line="360" w:lineRule="exact"/>
        <w:ind w:firstLine="709"/>
        <w:jc w:val="both"/>
      </w:pPr>
      <w:r>
        <w:rPr>
          <w:rFonts w:ascii="Times New Roman" w:hAnsi="Times New Roman"/>
          <w:b w:val="0"/>
          <w:i w:val="0"/>
          <w:sz w:val="24"/>
        </w:rPr>
        <w:t>O habitus da escassez é um sistema de disposições duráveis produzido por gerações de privação material e simbólica. Não se forma em um único professor, em um único departamento ou em uma única gestão. É o produto acumulado de décadas de funcionamento de campos acadêmicos em regiões periféricas — regiões onde a universidade federal é simultaneamente a principal empregadora qualificada, o principal produtor de eventos culturais e o principal espaço de circulação de capital simbólico. Esta centralidade, paradoxalmente, amplifica o poder dos agentes que controlam o campo e reduz as possibilidades de resistência dos que nele ingressam sem redes de proteção.</w:t>
      </w:r>
    </w:p>
    <w:p>
      <w:pPr>
        <w:spacing w:before="0" w:after="120" w:line="360" w:lineRule="exact"/>
        <w:ind w:firstLine="709"/>
        <w:jc w:val="both"/>
      </w:pPr>
      <w:r>
        <w:rPr>
          <w:rFonts w:ascii="Times New Roman" w:hAnsi="Times New Roman"/>
          <w:b w:val="0"/>
          <w:i w:val="0"/>
          <w:sz w:val="24"/>
        </w:rPr>
        <w:t>O habitus da escassez opera por três mecanismos articulados. O primeiro é a contenção do capital externo: o professor que acumula capital científico fora do campo local ameaça a ordem local de distribuição do prestígio. A resposta do campo é a produção de obstáculos que dificultem essa acumulação: a prisão burocrática da grade horária que consome o capital temporal, a distribuição espacial que impede a participação em eventos, as insinuações que constrangem o agente em sua posição local.</w:t>
      </w:r>
    </w:p>
    <w:p>
      <w:pPr>
        <w:spacing w:before="0" w:after="120" w:line="360" w:lineRule="exact"/>
        <w:ind w:firstLine="709"/>
        <w:jc w:val="both"/>
      </w:pPr>
      <w:r>
        <w:rPr>
          <w:rFonts w:ascii="Times New Roman" w:hAnsi="Times New Roman"/>
          <w:b w:val="0"/>
          <w:i w:val="0"/>
          <w:sz w:val="24"/>
        </w:rPr>
        <w:t>O segundo mecanismo é a distribuição seletiva do reconhecimento. Em campos com escassez de capital simbólico, o reconhecimento disponível é distribuído não pela lógica científica — a qualidade da produção, a originalidade da contribuição — mas pela lógica das alianças locais. O professor integrado às redes de poder administrativo recebe proteção, grade horária favorável, apoio institucional. O professor isolado não recebe nada que não seja previsto formalmente em regimento.</w:t>
      </w:r>
    </w:p>
    <w:p>
      <w:pPr>
        <w:spacing w:before="0" w:after="120" w:line="360" w:lineRule="exact"/>
        <w:ind w:firstLine="709"/>
        <w:jc w:val="both"/>
      </w:pPr>
      <w:r>
        <w:rPr>
          <w:rFonts w:ascii="Times New Roman" w:hAnsi="Times New Roman"/>
          <w:b w:val="0"/>
          <w:i w:val="0"/>
          <w:sz w:val="24"/>
        </w:rPr>
        <w:t>O terceiro mecanismo é a invisibilização como tecnologia de ordem, no sentido honnethiano de negação do valor social do sujeito (HONNETH, 2003). A calúnia no escaninho, a insinuação de que processos foram subtraídos, a ausência de qualquer resposta institucional às condições materiais degradadas do campus, a grade que aniquila o fim de semana sem decretar explicitamente sua aniquilação: estes são atos de invisibilização que posicionam o professor isolado como agente sem voz legítima no campo.</w:t>
      </w:r>
    </w:p>
    <w:p>
      <w:pPr>
        <w:spacing w:before="0" w:after="120" w:line="360" w:lineRule="exact"/>
        <w:ind w:firstLine="709"/>
        <w:jc w:val="both"/>
      </w:pPr>
      <w:r>
        <w:rPr>
          <w:rFonts w:ascii="Times New Roman" w:hAnsi="Times New Roman"/>
          <w:b w:val="0"/>
          <w:i w:val="0"/>
          <w:sz w:val="24"/>
        </w:rPr>
        <w:t>O caso do Dr. Cláudio é, neste registro, duplamente revelador. Primeiro, porque demonstra que o habitus da escassez pode ser incorporado por agentes que chegam ao campo com disposições críticas: a estrutura é mais forte que o discurso. Segundo, porque o êxodo do coordenador argentino — com seu custo em dois anos letivos sem História da América — evidencia que o habitus da escassez não é apenas mecanismo de controle sobre professores individuais; é mecanismo de reprodução da escassez para as gerações de estudantes que deveriam ser formadas por eles.</w:t>
      </w:r>
    </w:p>
    <w:p>
      <w:pPr>
        <w:spacing w:before="360" w:after="120" w:line="360" w:lineRule="exact"/>
        <w:jc w:val="center"/>
      </w:pPr>
      <w:r>
        <w:rPr>
          <w:rFonts w:ascii="Times New Roman" w:hAnsi="Times New Roman"/>
          <w:b/>
          <w:sz w:val="24"/>
        </w:rPr>
        <w:t>7 CONCLUSÃO</w:t>
      </w:r>
    </w:p>
    <w:p>
      <w:pPr>
        <w:spacing w:before="0" w:after="120" w:line="360" w:lineRule="exact"/>
        <w:ind w:firstLine="709"/>
        <w:jc w:val="both"/>
      </w:pPr>
      <w:r>
        <w:rPr>
          <w:rFonts w:ascii="Times New Roman" w:hAnsi="Times New Roman"/>
          <w:b w:val="0"/>
          <w:i w:val="0"/>
          <w:sz w:val="24"/>
        </w:rPr>
        <w:t>O ônibus das cinco e quarenta ainda parte. O Professor Rolando ainda embarca. O campo acadêmico periférico ainda funciona com sua lógica própria — distribuindo grades horárias, administrando escaninhos, produzindo êxodos, construindo gambiarras. A análise empreendida neste artigo não tem como objetivo denunciar uma instituição específica — daí a anonimização que percorre o texto. Tem como objetivo descrever um mecanismo.</w:t>
      </w:r>
    </w:p>
    <w:p>
      <w:pPr>
        <w:spacing w:before="0" w:after="120" w:line="360" w:lineRule="exact"/>
        <w:ind w:firstLine="709"/>
        <w:jc w:val="both"/>
      </w:pPr>
      <w:r>
        <w:rPr>
          <w:rFonts w:ascii="Times New Roman" w:hAnsi="Times New Roman"/>
          <w:b w:val="0"/>
          <w:i w:val="0"/>
          <w:sz w:val="24"/>
        </w:rPr>
        <w:t>O habitus da escassez, como conceito analítico, propõe que a precariedade dos campos acadêmicos periféricos não é déficit em relação a um modelo ideal. É forma positiva de funcionamento — um campo que produz as condições de sua própria reprodução. A escassez material garante a dependência dos agentes; a escassez simbólica concentra o reconhecimento disponível nas mãos de quem controla a distribuição; a prisão burocrática do tempo inviabiliza a acumulação de capital científico sem precisar proibi-la formalmente.</w:t>
      </w:r>
    </w:p>
    <w:p>
      <w:pPr>
        <w:spacing w:before="0" w:after="120" w:line="360" w:lineRule="exact"/>
        <w:ind w:firstLine="709"/>
        <w:jc w:val="both"/>
      </w:pPr>
      <w:r>
        <w:rPr>
          <w:rFonts w:ascii="Times New Roman" w:hAnsi="Times New Roman"/>
          <w:b w:val="0"/>
          <w:i w:val="0"/>
          <w:sz w:val="24"/>
        </w:rPr>
        <w:t>O coeficiente não calculado — a autonomia que transbordou os limites do campo a partir do Colóquio no Caribe — sugere que os mecanismos de contenção não são herméticos. Há brechas. Há redes. Há pesquisadores que, submetidos à lógica do campo, encontram nos interstícios os recursos para construir trajetórias que a instituição não havia planejado. A resistência não é heróica — é estrutural. Ocorre onde o campo deixa espaço, e o campo sempre deixa espaço. O habitus da escassez produz resistência como produto não intencional de sua própria contenção.</w:t>
      </w:r>
    </w:p>
    <w:p>
      <w:pPr>
        <w:spacing w:before="0" w:after="120" w:line="360" w:lineRule="exact"/>
        <w:ind w:firstLine="709"/>
        <w:jc w:val="both"/>
      </w:pPr>
      <w:r>
        <w:rPr>
          <w:rFonts w:ascii="Times New Roman" w:hAnsi="Times New Roman"/>
          <w:b w:val="0"/>
          <w:i w:val="0"/>
          <w:sz w:val="24"/>
        </w:rPr>
        <w:t>A agenda de pesquisa aberta por este artigo inclui: a comparação sistemática entre campos acadêmicos periféricos em diferentes regiões do Brasil; a análise das trajetórias de saída — como o caso do Dr. Cláudio — e seus efeitos sobre os estudantes; e a investigação das condições sob as quais as redes de solidariedade intelectual internacional constituem mecanismos efetivos de resistência ao habitus da escassez. São perguntas que este artigo não responde. Apenas as torna sociologicamente legítimas.</w:t>
      </w:r>
    </w:p>
    <w:p>
      <w:pPr>
        <w:spacing w:before="360" w:after="120" w:line="360" w:lineRule="exact"/>
        <w:jc w:val="center"/>
      </w:pPr>
      <w:r>
        <w:rPr>
          <w:rFonts w:ascii="Times New Roman" w:hAnsi="Times New Roman"/>
          <w:b/>
          <w:sz w:val="24"/>
        </w:rPr>
        <w:t>REFERÊNCIAS</w:t>
      </w:r>
    </w:p>
    <w:p>
      <w:pPr>
        <w:spacing w:before="0" w:after="120" w:line="360" w:lineRule="exact"/>
        <w:ind w:left="709" w:hanging="709"/>
        <w:jc w:val="both"/>
      </w:pPr>
      <w:r>
        <w:rPr>
          <w:rFonts w:ascii="Times New Roman" w:hAnsi="Times New Roman"/>
          <w:b/>
          <w:i w:val="0"/>
          <w:sz w:val="24"/>
        </w:rPr>
        <w:t xml:space="preserve">BOURDIEU, Pierre. </w:t>
      </w:r>
      <w:r>
        <w:rPr>
          <w:rFonts w:ascii="Times New Roman" w:hAnsi="Times New Roman"/>
          <w:b w:val="0"/>
          <w:i/>
          <w:sz w:val="24"/>
        </w:rPr>
        <w:t>Le sens pratique</w:t>
      </w:r>
      <w:r>
        <w:rPr>
          <w:rFonts w:ascii="Times New Roman" w:hAnsi="Times New Roman"/>
          <w:b w:val="0"/>
          <w:i w:val="0"/>
          <w:sz w:val="24"/>
        </w:rPr>
        <w:t>. Paris: Les Éditions de Minuit, 1980.</w:t>
      </w:r>
    </w:p>
    <w:p>
      <w:pPr>
        <w:spacing w:before="0" w:after="120" w:line="360" w:lineRule="exact"/>
        <w:ind w:left="709" w:hanging="709"/>
        <w:jc w:val="both"/>
      </w:pPr>
      <w:r>
        <w:rPr>
          <w:rFonts w:ascii="Times New Roman" w:hAnsi="Times New Roman"/>
          <w:b/>
          <w:i w:val="0"/>
          <w:sz w:val="24"/>
        </w:rPr>
        <w:t xml:space="preserve">BOURDIEU, Pierre. </w:t>
      </w:r>
      <w:r>
        <w:rPr>
          <w:rFonts w:ascii="Times New Roman" w:hAnsi="Times New Roman"/>
          <w:b w:val="0"/>
          <w:i/>
          <w:sz w:val="24"/>
        </w:rPr>
        <w:t>Homo Academicus</w:t>
      </w:r>
      <w:r>
        <w:rPr>
          <w:rFonts w:ascii="Times New Roman" w:hAnsi="Times New Roman"/>
          <w:b w:val="0"/>
          <w:i w:val="0"/>
          <w:sz w:val="24"/>
        </w:rPr>
        <w:t>. Paris: Les Éditions de Minuit, 1984.</w:t>
      </w:r>
    </w:p>
    <w:p>
      <w:pPr>
        <w:spacing w:before="0" w:after="120" w:line="360" w:lineRule="exact"/>
        <w:ind w:left="709" w:hanging="709"/>
        <w:jc w:val="both"/>
      </w:pPr>
      <w:r>
        <w:rPr>
          <w:rFonts w:ascii="Times New Roman" w:hAnsi="Times New Roman"/>
          <w:b/>
          <w:i w:val="0"/>
          <w:sz w:val="24"/>
        </w:rPr>
        <w:t xml:space="preserve">BOURDIEU, Pierre. </w:t>
      </w:r>
      <w:r>
        <w:rPr>
          <w:rFonts w:ascii="Times New Roman" w:hAnsi="Times New Roman"/>
          <w:b w:val="0"/>
          <w:i/>
          <w:sz w:val="24"/>
        </w:rPr>
        <w:t>La noblesse d'État: grandes écoles et esprit de corps</w:t>
      </w:r>
      <w:r>
        <w:rPr>
          <w:rFonts w:ascii="Times New Roman" w:hAnsi="Times New Roman"/>
          <w:b w:val="0"/>
          <w:i w:val="0"/>
          <w:sz w:val="24"/>
        </w:rPr>
        <w:t>. Paris: Les Éditions de Minuit, 1989.</w:t>
      </w:r>
    </w:p>
    <w:p>
      <w:pPr>
        <w:spacing w:before="0" w:after="120" w:line="360" w:lineRule="exact"/>
        <w:ind w:left="709" w:hanging="709"/>
        <w:jc w:val="both"/>
      </w:pPr>
      <w:r>
        <w:rPr>
          <w:rFonts w:ascii="Times New Roman" w:hAnsi="Times New Roman"/>
          <w:b/>
          <w:i w:val="0"/>
          <w:sz w:val="24"/>
        </w:rPr>
        <w:t xml:space="preserve">BURAWOY, Michael. </w:t>
      </w:r>
      <w:r>
        <w:rPr>
          <w:rFonts w:ascii="Times New Roman" w:hAnsi="Times New Roman"/>
          <w:b w:val="0"/>
          <w:i/>
          <w:sz w:val="24"/>
        </w:rPr>
        <w:t>The extended case method: four countries, four decades, four great transformations, and one theoretical tradition</w:t>
      </w:r>
      <w:r>
        <w:rPr>
          <w:rFonts w:ascii="Times New Roman" w:hAnsi="Times New Roman"/>
          <w:b w:val="0"/>
          <w:i w:val="0"/>
          <w:sz w:val="24"/>
        </w:rPr>
        <w:t>. Berkeley: University of California Press, 2009.</w:t>
      </w:r>
    </w:p>
    <w:p>
      <w:pPr>
        <w:spacing w:before="0" w:after="120" w:line="360" w:lineRule="exact"/>
        <w:ind w:left="709" w:hanging="709"/>
        <w:jc w:val="both"/>
      </w:pPr>
      <w:r>
        <w:rPr>
          <w:rFonts w:ascii="Times New Roman" w:hAnsi="Times New Roman"/>
          <w:b/>
          <w:i w:val="0"/>
          <w:sz w:val="24"/>
        </w:rPr>
        <w:t xml:space="preserve">HONNETH, Axel. </w:t>
      </w:r>
      <w:r>
        <w:rPr>
          <w:rFonts w:ascii="Times New Roman" w:hAnsi="Times New Roman"/>
          <w:b w:val="0"/>
          <w:i/>
          <w:sz w:val="24"/>
        </w:rPr>
        <w:t>Luta por reconhecimento: a gramática moral dos conflitos sociais</w:t>
      </w:r>
      <w:r>
        <w:rPr>
          <w:rFonts w:ascii="Times New Roman" w:hAnsi="Times New Roman"/>
          <w:b w:val="0"/>
          <w:i w:val="0"/>
          <w:sz w:val="24"/>
        </w:rPr>
        <w:t>. São Paulo: Ed. 34, 2003.</w:t>
      </w:r>
    </w:p>
    <w:p>
      <w:pPr>
        <w:spacing w:before="0" w:after="120" w:line="360" w:lineRule="exact"/>
        <w:ind w:left="709" w:hanging="709"/>
        <w:jc w:val="both"/>
      </w:pPr>
      <w:r>
        <w:rPr>
          <w:rFonts w:ascii="Times New Roman" w:hAnsi="Times New Roman"/>
          <w:b/>
          <w:i w:val="0"/>
          <w:sz w:val="24"/>
        </w:rPr>
        <w:t xml:space="preserve">KERGOAT, Danièle. Divisão sexual do trabalho e relações sociais de sexo. In: HIRATA, Helena et al. (org.). </w:t>
      </w:r>
      <w:r>
        <w:rPr>
          <w:rFonts w:ascii="Times New Roman" w:hAnsi="Times New Roman"/>
          <w:b w:val="0"/>
          <w:i/>
          <w:sz w:val="24"/>
        </w:rPr>
        <w:t>Dicionário crítico do feminismo</w:t>
      </w:r>
      <w:r>
        <w:rPr>
          <w:rFonts w:ascii="Times New Roman" w:hAnsi="Times New Roman"/>
          <w:b w:val="0"/>
          <w:i w:val="0"/>
          <w:sz w:val="24"/>
        </w:rPr>
        <w:t>. São Paulo: UNESP, 2009. p. 67-75.</w:t>
      </w:r>
    </w:p>
    <w:p>
      <w:pPr>
        <w:spacing w:before="0" w:after="120" w:line="360" w:lineRule="exact"/>
        <w:ind w:left="709" w:hanging="709"/>
        <w:jc w:val="both"/>
      </w:pPr>
      <w:r>
        <w:rPr>
          <w:rFonts w:ascii="Times New Roman" w:hAnsi="Times New Roman"/>
          <w:b/>
          <w:i w:val="0"/>
          <w:sz w:val="24"/>
        </w:rPr>
        <w:t xml:space="preserve">SEPLA — SOCIEDADE DE ECONOMIA POLÍTICA DA AMÉRICA LATINA. </w:t>
      </w:r>
      <w:r>
        <w:rPr>
          <w:rFonts w:ascii="Times New Roman" w:hAnsi="Times New Roman"/>
          <w:b w:val="0"/>
          <w:i/>
          <w:sz w:val="24"/>
        </w:rPr>
        <w:t>8º Colóquio Internacional de Economia Política: crise do capitalismo e perspectivas para a América Latina</w:t>
      </w:r>
      <w:r>
        <w:rPr>
          <w:rFonts w:ascii="Times New Roman" w:hAnsi="Times New Roman"/>
          <w:b w:val="0"/>
          <w:i w:val="0"/>
          <w:sz w:val="24"/>
        </w:rPr>
        <w:t>. [S.l.]: SEPLA, 2012.</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