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60" w:lineRule="exact"/>
        <w:jc w:val="center"/>
      </w:pPr>
      <w:r>
        <w:rPr>
          <w:rFonts w:ascii="Times New Roman" w:hAnsi="Times New Roman"/>
          <w:b/>
          <w:i w:val="0"/>
          <w:sz w:val="24"/>
        </w:rPr>
        <w:t>CARTA DE APRESENTAÇÃO</w:t>
      </w:r>
    </w:p>
    <w:p>
      <w:pPr>
        <w:spacing w:before="0" w:after="40" w:line="360" w:lineRule="exact"/>
        <w:jc w:val="left"/>
      </w:pPr>
      <w:r>
        <w:rPr>
          <w:rFonts w:ascii="Times New Roman" w:hAnsi="Times New Roman"/>
          <w:b w:val="0"/>
          <w:i w:val="0"/>
          <w:sz w:val="24"/>
        </w:rPr>
        <w:t>À/Ao Editor/a-Chefe</w:t>
      </w:r>
    </w:p>
    <w:p>
      <w:pPr>
        <w:spacing w:before="0" w:after="280" w:line="360" w:lineRule="exact"/>
        <w:jc w:val="left"/>
      </w:pPr>
      <w:r>
        <w:rPr>
          <w:rFonts w:ascii="Times New Roman" w:hAnsi="Times New Roman"/>
          <w:b w:val="0"/>
          <w:i w:val="0"/>
          <w:sz w:val="24"/>
        </w:rPr>
        <w:t>[Nome da Revista]</w:t>
      </w:r>
    </w:p>
    <w:p>
      <w:pPr>
        <w:spacing w:before="0" w:after="200" w:line="360" w:lineRule="exact"/>
        <w:jc w:val="both"/>
      </w:pPr>
      <w:r>
        <w:rPr>
          <w:rFonts w:ascii="Times New Roman" w:hAnsi="Times New Roman"/>
          <w:b w:val="0"/>
          <w:i w:val="0"/>
          <w:sz w:val="24"/>
        </w:rPr>
        <w:t>Submeto à consideração do Conselho Editorial o artigo "The Invisible Professor Who Went to the Field: Academic Capital, Institutional Habitus and the Politics of Scarcity in a Brazilian Sertão University", autoetnografia crítica que propõe o conceito de habitus da escassez — contribuição teórica inédita ao debate sobre campos acadêmicos periféricos no Brasil.</w:t>
      </w:r>
    </w:p>
    <w:p>
      <w:pPr>
        <w:spacing w:before="0" w:after="200" w:line="360" w:lineRule="exact"/>
        <w:jc w:val="both"/>
      </w:pPr>
      <w:r>
        <w:rPr>
          <w:rFonts w:ascii="Times New Roman" w:hAnsi="Times New Roman"/>
          <w:b w:val="0"/>
          <w:i w:val="0"/>
          <w:sz w:val="24"/>
        </w:rPr>
        <w:t>O argumento parte de uma lacuna específica na teoria bourdieuiana: os conceitos de campo, habitus e capital simbólico foram construídos a partir de campos situados no centro — universidades europeias e norte-americanas com acesso estruturalmente estável a recursos simbólicos e materiais. O que este artigo demonstra, a partir de uma trajetória de catorze anos em uma universidade federal do Alto Sertão Paraibano, é que o campo acadêmico periférico opera com uma camada analítica adicional, produzida por gerações de vida sob condições de escassez extrema: o habitus da escassez. Esse habitus se manifesta como contenção do capital externo abundante, distribuição seletiva do reconhecimento e invisibilização como tecnologia de ordem — mecanismos que os instrumentos construídos no centro do campo não conseguem nomear completamente.</w:t>
      </w:r>
    </w:p>
    <w:p>
      <w:pPr>
        <w:spacing w:before="0" w:after="200" w:line="360" w:lineRule="exact"/>
        <w:jc w:val="both"/>
      </w:pPr>
      <w:r>
        <w:rPr>
          <w:rFonts w:ascii="Times New Roman" w:hAnsi="Times New Roman"/>
          <w:b w:val="0"/>
          <w:i w:val="0"/>
          <w:sz w:val="24"/>
        </w:rPr>
        <w:t>A opção metodológica pelo Método do Caso Ampliado (Burawoy, 2009) não é decorativa. O caso singular — um pesquisador com pós-doutorado na EHESS sistematicamente invisibilizado por uma unidade que nunca havia visto esse tipo de capital — ilumina estruturas que o caso médio naturaliza. E é precisamente o deslocamento etnográfico produzido por essa invisibilização que permite ao pesquisador encontrar Pedro Conceição e Samara: um entregador de aplicativo endividado que sustenta uma torcida organizada como único espaço de pertencimento irrestrito; uma faxineira que financiou a formação universitária das filhas sem qualquer suporte institucional. O que Burawoy chama de extensão do singular ao estrutural opera aqui em dois registros simultâneos — o campo acadêmico e as camadas populares de Cajazeiras —, demonstrando que o habitus da escassez não é uma patologia localizada. É uma estrutura.</w:t>
      </w:r>
    </w:p>
    <w:p>
      <w:pPr>
        <w:spacing w:before="0" w:after="200" w:line="360" w:lineRule="exact"/>
        <w:jc w:val="both"/>
      </w:pPr>
      <w:r>
        <w:rPr>
          <w:rFonts w:ascii="Times New Roman" w:hAnsi="Times New Roman"/>
          <w:b w:val="0"/>
          <w:i w:val="0"/>
          <w:sz w:val="24"/>
        </w:rPr>
        <w:t>O artigo contribui para três debates em curso na sociologia brasileira: o mapeamento das universidades federais criadas pelo REUNI, ainda insuficientemente analisadas como campo específico; os estudos sobre precariedade institucional e reconhecimento no ensino superior público; e a discussão metodológica sobre autoetnografia crítica como instrumento legítimo de produção de teoria social. O conceito de habitus da escassez está disponível para replicação — outros casos, outras universidades do interior, outros pesquisadores que chegaram de fora com capital que o campo local não reconheceu.</w:t>
      </w:r>
    </w:p>
    <w:p>
      <w:pPr>
        <w:spacing w:before="0" w:after="360" w:line="360" w:lineRule="exact"/>
        <w:jc w:val="both"/>
      </w:pPr>
      <w:r>
        <w:rPr>
          <w:rFonts w:ascii="Times New Roman" w:hAnsi="Times New Roman"/>
          <w:b w:val="0"/>
          <w:i w:val="0"/>
          <w:sz w:val="24"/>
        </w:rPr>
        <w:t>Declaro que o artigo é original, não está submetido simultaneamente a outro periódico e que o nome fictício do pesquisador-objeto protege os sujeitos sem comprometer a validade analítica do trabalho.</w:t>
      </w:r>
    </w:p>
    <w:p>
      <w:pPr>
        <w:spacing w:before="0" w:after="360" w:line="360" w:lineRule="exact"/>
        <w:jc w:val="left"/>
      </w:pPr>
      <w:r>
        <w:rPr>
          <w:rFonts w:ascii="Times New Roman" w:hAnsi="Times New Roman"/>
          <w:b w:val="0"/>
          <w:i w:val="0"/>
          <w:sz w:val="24"/>
        </w:rPr>
        <w:t>[Local], [Data]</w:t>
      </w:r>
    </w:p>
    <w:p>
      <w:pPr>
        <w:spacing w:before="0" w:after="40" w:line="360" w:lineRule="exact"/>
        <w:jc w:val="left"/>
      </w:pPr>
      <w:r>
        <w:rPr>
          <w:rFonts w:ascii="Times New Roman" w:hAnsi="Times New Roman"/>
          <w:b w:val="0"/>
          <w:i w:val="0"/>
          <w:sz w:val="24"/>
        </w:rPr>
        <w:t>Professor Rolando</w:t>
      </w:r>
    </w:p>
    <w:p>
      <w:pPr>
        <w:spacing w:before="0" w:after="0" w:line="360" w:lineRule="exact"/>
        <w:jc w:val="left"/>
      </w:pPr>
      <w:r>
        <w:rPr>
          <w:rFonts w:ascii="Times New Roman" w:hAnsi="Times New Roman"/>
          <w:b w:val="0"/>
          <w:i/>
          <w:sz w:val="24"/>
        </w:rPr>
        <w:t>[nome fictício — instituição omitida por razões éticas]</w:t>
      </w:r>
    </w:p>
    <w:p>
      <w:r>
        <w:br w:type="page"/>
      </w:r>
    </w:p>
    <w:p>
      <w:pPr>
        <w:spacing w:before="0" w:after="120" w:line="360" w:lineRule="exact"/>
        <w:jc w:val="center"/>
      </w:pPr>
      <w:r>
        <w:rPr>
          <w:rFonts w:ascii="Times New Roman" w:hAnsi="Times New Roman"/>
          <w:b/>
          <w:i w:val="0"/>
          <w:sz w:val="24"/>
        </w:rPr>
        <w:t>THE INVISIBLE PROFESSOR WHO WENT TO THE FIELD</w:t>
      </w:r>
    </w:p>
    <w:p>
      <w:pPr>
        <w:spacing w:before="0" w:after="120" w:line="360" w:lineRule="exact"/>
        <w:jc w:val="center"/>
      </w:pPr>
      <w:r>
        <w:rPr>
          <w:rFonts w:ascii="Times New Roman" w:hAnsi="Times New Roman"/>
          <w:b w:val="0"/>
          <w:i/>
          <w:sz w:val="24"/>
        </w:rPr>
        <w:t>Academic Capital, Institutional Habitus and the Politics</w:t>
        <w:br/>
        <w:t>of Scarcity in a Brazilian Sertão University</w:t>
      </w:r>
    </w:p>
    <w:p>
      <w:pPr>
        <w:spacing w:before="0" w:after="40" w:line="360" w:lineRule="exact"/>
        <w:jc w:val="center"/>
      </w:pPr>
      <w:r>
        <w:rPr>
          <w:rFonts w:ascii="Times New Roman" w:hAnsi="Times New Roman"/>
          <w:b w:val="0"/>
          <w:i w:val="0"/>
          <w:sz w:val="24"/>
        </w:rPr>
        <w:t>Professor Rolando</w:t>
      </w:r>
    </w:p>
    <w:p>
      <w:pPr>
        <w:spacing w:before="0" w:after="280" w:line="360" w:lineRule="exact"/>
        <w:jc w:val="center"/>
      </w:pPr>
      <w:r>
        <w:rPr>
          <w:rFonts w:ascii="Times New Roman" w:hAnsi="Times New Roman"/>
          <w:b w:val="0"/>
          <w:i/>
          <w:sz w:val="24"/>
        </w:rPr>
        <w:t>[nome fictício — instituição omitida por razões éticas]</w:t>
      </w:r>
    </w:p>
    <w:p>
      <w:pPr>
        <w:spacing w:before="0" w:after="80" w:line="360" w:lineRule="exact"/>
        <w:jc w:val="left"/>
      </w:pPr>
      <w:r>
        <w:rPr>
          <w:rFonts w:ascii="Times New Roman" w:hAnsi="Times New Roman"/>
          <w:b/>
          <w:i w:val="0"/>
          <w:sz w:val="24"/>
        </w:rPr>
        <w:t>RESUMO</w:t>
      </w:r>
    </w:p>
    <w:p>
      <w:pPr>
        <w:spacing w:before="0" w:after="80" w:line="360" w:lineRule="exact"/>
        <w:jc w:val="both"/>
      </w:pPr>
      <w:r>
        <w:rPr>
          <w:rFonts w:ascii="Times New Roman" w:hAnsi="Times New Roman"/>
          <w:b w:val="0"/>
          <w:i w:val="0"/>
          <w:sz w:val="24"/>
        </w:rPr>
        <w:t>Entre Cajazeiras, no Alto Sertão Paraibano, e os centros de consagração acadêmica — a EHESS de Paris, os colóquios de Porto Príncipe —, opera uma lógica que os instrumentos construídos no centro do campo não conseguem nomear completamente. Esta autoetnografia analisa a trajetória do Professor Rolando, docente de uma universidade federal do interior do Nordeste brasileiro, utilizando o método do caso ampliado (BURAWOY, 2009) de forma reflexiva: o pesquisador é simultaneamente o observador e o caso. A partir de três episódios institucionais — o bloqueio sistemático de um pós-doutorado na EHESS, o financiamento truncado de uma missão no Haiti e catorze anos de silêncio no ritual de aniversário da unidade —, o artigo propõe o conceito de habitus da escassez como extensão do aparato teórico de Bourdieu para campos acadêmicos periféricos. O habitus da escassez designa o sistema de disposições duráveis produzido por gerações de privação material e simbólica que se manifesta no campo acadêmico como contenção do capital externo, distribuição seletiva do reconhecimento e invisibilização como tecnologia de ordem. O argumento se estende às camadas populares de Cajazeiras — Pedro Conceição, entregador de aplicativo que sustenta uma torcida organizada como único espaço de pertencimento irrestrito; Samara, faxineira que financiou a formação universitária das filhas com dinheiro de faxina — para demonstrar que o habitus da escassez não é patologia acadêmica. É estrutura social.</w:t>
      </w:r>
    </w:p>
    <w:p>
      <w:pPr>
        <w:spacing w:before="0" w:after="240" w:line="360" w:lineRule="exact"/>
        <w:jc w:val="both"/>
      </w:pPr>
      <w:r>
        <w:rPr>
          <w:rFonts w:ascii="Times New Roman" w:hAnsi="Times New Roman"/>
          <w:b/>
          <w:i w:val="0"/>
          <w:sz w:val="24"/>
        </w:rPr>
        <w:t xml:space="preserve">Palavras-chave: </w:t>
      </w:r>
      <w:r>
        <w:rPr>
          <w:rFonts w:ascii="Times New Roman" w:hAnsi="Times New Roman"/>
          <w:b w:val="0"/>
          <w:i w:val="0"/>
          <w:sz w:val="24"/>
        </w:rPr>
        <w:t>habitus da escassez; campo acadêmico periférico; método do caso ampliado; Nordeste brasileiro; invisibilidade social.</w:t>
      </w:r>
    </w:p>
    <w:p>
      <w:pPr>
        <w:spacing w:before="0" w:after="80" w:line="360" w:lineRule="exact"/>
        <w:jc w:val="left"/>
      </w:pPr>
      <w:r>
        <w:rPr>
          <w:rFonts w:ascii="Times New Roman" w:hAnsi="Times New Roman"/>
          <w:b/>
          <w:i w:val="0"/>
          <w:sz w:val="24"/>
        </w:rPr>
        <w:t>ABSTRACT</w:t>
      </w:r>
    </w:p>
    <w:p>
      <w:pPr>
        <w:spacing w:before="0" w:after="80" w:line="360" w:lineRule="exact"/>
        <w:jc w:val="both"/>
      </w:pPr>
      <w:r>
        <w:rPr>
          <w:rFonts w:ascii="Times New Roman" w:hAnsi="Times New Roman"/>
          <w:b w:val="0"/>
          <w:i w:val="0"/>
          <w:sz w:val="24"/>
        </w:rPr>
        <w:t>Between Cajazeiras, in the Alto Sertão of Paraíba, and the centers of academic consecration — the EHESS in Paris, the colloquia of Port-au-Prince —, a logic operates that the instruments built at the center of the field cannot fully name. This critical autoethnography analyzes the trajectory of Professor Rolando, a faculty member at a federal university in the interior of northeastern Brazil, using Burawoy's (2009) extended case method reflexively: the researcher is simultaneously observer and case. Three institutional episodes structure the analysis — the systematic blocking of a postdoctoral fellowship at the EHESS, the truncated funding of a mission to Haiti, and fourteen years of silence during the unit's birthday ritual — from which the article derives the concept of scarcity habitus as an extension of Bourdieu's theoretical apparatus to peripheral academic fields. The scarcity habitus designates the durable system of dispositions produced by generations of material and symbolic deprivation, manifesting in the academic field as containment of external capital, selective distribution of recognition, and invisibilization as a technology of order. The argument extends to the popular strata of Cajazeiras — Pedro Conceição, a delivery worker who sustains a football supporters' club as his only space of unconditional belonging; Samara, a domestic cleaner who financed her daughters' university education from cleaning income — to demonstrate that the scarcity habitus is not an academic pathology. It is social structure.</w:t>
      </w:r>
    </w:p>
    <w:p>
      <w:pPr>
        <w:spacing w:before="0" w:after="360" w:line="360" w:lineRule="exact"/>
        <w:jc w:val="both"/>
      </w:pPr>
      <w:r>
        <w:rPr>
          <w:rFonts w:ascii="Times New Roman" w:hAnsi="Times New Roman"/>
          <w:b/>
          <w:i w:val="0"/>
          <w:sz w:val="24"/>
        </w:rPr>
        <w:t xml:space="preserve">Keywords: </w:t>
      </w:r>
      <w:r>
        <w:rPr>
          <w:rFonts w:ascii="Times New Roman" w:hAnsi="Times New Roman"/>
          <w:b w:val="0"/>
          <w:i w:val="0"/>
          <w:sz w:val="24"/>
        </w:rPr>
        <w:t>scarcity habitus; peripheral academic field; extended case method; northeastern Brazil; social invisibility.</w:t>
      </w:r>
    </w:p>
    <w:p>
      <w:pPr>
        <w:spacing w:before="240" w:after="120" w:line="360" w:lineRule="exact"/>
        <w:jc w:val="left"/>
      </w:pPr>
      <w:r>
        <w:rPr>
          <w:rFonts w:ascii="Times New Roman" w:hAnsi="Times New Roman"/>
          <w:b/>
          <w:i w:val="0"/>
          <w:sz w:val="24"/>
        </w:rPr>
        <w:t>1. INTRODUÇÃO</w:t>
      </w:r>
    </w:p>
    <w:p>
      <w:pPr>
        <w:spacing w:before="0" w:after="120" w:line="360" w:lineRule="exact"/>
        <w:jc w:val="both"/>
      </w:pPr>
      <w:r>
        <w:rPr>
          <w:rFonts w:ascii="Times New Roman" w:hAnsi="Times New Roman"/>
          <w:b w:val="0"/>
          <w:i w:val="0"/>
          <w:sz w:val="24"/>
        </w:rPr>
        <w:t xml:space="preserve">Num ônibus vindo do Recife em direção a Cajazeiras, o Professor Rolando encontrou um homem que havia acabado de conseguir uma vaga como professor no Instituto Federal de Feira de Santana. Ele era de Cajazeiras, regressava para visitar a família, e quando soube que o interlocutor trabalhava na universidade federal da cidade, disse sem hesitar: </w:t>
      </w:r>
      <w:r>
        <w:rPr>
          <w:rFonts w:ascii="Times New Roman" w:hAnsi="Times New Roman"/>
          <w:b w:val="0"/>
          <w:i/>
          <w:sz w:val="24"/>
        </w:rPr>
        <w:t>"a mentalidade de Cajazeiras é diferente. Eles viveram seca e miséria que o litoral nunca viveu. Vocês de Aracaju e Salvador, por menos que tenham, têm à disposição uma imensa diversidade — têm praia. Aqui, até pouco tempo, as pessoas comiam farinha com carne seca. Aqui é a regra da farinha pouca, meu pirão primeiro."</w:t>
      </w:r>
    </w:p>
    <w:p>
      <w:pPr>
        <w:spacing w:before="0" w:after="120" w:line="360" w:lineRule="exact"/>
        <w:jc w:val="both"/>
      </w:pPr>
      <w:r>
        <w:rPr>
          <w:rFonts w:ascii="Times New Roman" w:hAnsi="Times New Roman"/>
          <w:b w:val="0"/>
          <w:i w:val="0"/>
          <w:sz w:val="24"/>
        </w:rPr>
        <w:t>Essa frase não é anedota regional. É a entrada analítica deste artigo.</w:t>
      </w:r>
    </w:p>
    <w:p>
      <w:pPr>
        <w:spacing w:before="0" w:after="120" w:line="360" w:lineRule="exact"/>
        <w:jc w:val="both"/>
      </w:pPr>
      <w:r>
        <w:rPr>
          <w:rFonts w:ascii="Times New Roman" w:hAnsi="Times New Roman"/>
          <w:b w:val="0"/>
          <w:i w:val="0"/>
          <w:sz w:val="24"/>
        </w:rPr>
        <w:t>Cajazeiras não é Campina Grande. Situada no Alto Sertão Paraibano, a cerca de 500 quilômetros do litoral mais próximo, é uma cidade que conheceu a seca e a miséria de uma forma que as capitais nordestinas nunca conheceram. É também um polo regional de serviços e educação — com uma universidade federal, faculdades privadas, hospitais de referência regional. Esse paradoxo — dinamismo institucional construído sobre um habitus histórico de escassez — é o objeto deste artigo.</w:t>
      </w:r>
    </w:p>
    <w:p>
      <w:pPr>
        <w:spacing w:before="0" w:after="120" w:line="360" w:lineRule="exact"/>
        <w:jc w:val="both"/>
      </w:pPr>
      <w:r>
        <w:rPr>
          <w:rFonts w:ascii="Times New Roman" w:hAnsi="Times New Roman"/>
          <w:b w:val="0"/>
          <w:i w:val="0"/>
          <w:sz w:val="24"/>
        </w:rPr>
        <w:t>Este artigo é uma autoetnografia. Seu objeto é o Professor Rolando — nome fictício de um docente que chegou a essa universidade em 2011 com o doutorado concluído numa universidade francesa e a aceitação para um estágio pós-doutoral na École des Hautes Études en Sciences Sociales de Paris. Era a primeira vez que um professor daquela unidade havia sido aceito na EHESS. Em catorze anos, seu aniversário nunca foi anunciado no ritual coletivo da unidade — enquanto todos os demais colegas recebem esse reconhecimento no seu dia. Esses dois dados — a aceitação na escola mais prestigiada das ciências sociais europeias e o silêncio anual do aniversário — são a contradição que este artigo se propõe a analisar.</w:t>
      </w:r>
    </w:p>
    <w:p>
      <w:pPr>
        <w:spacing w:before="0" w:after="120" w:line="360" w:lineRule="exact"/>
        <w:jc w:val="both"/>
      </w:pPr>
      <w:r>
        <w:rPr>
          <w:rFonts w:ascii="Times New Roman" w:hAnsi="Times New Roman"/>
          <w:b w:val="0"/>
          <w:i w:val="0"/>
          <w:sz w:val="24"/>
        </w:rPr>
        <w:t>O argumento central é este: o campo acadêmico periférico opera com uma camada analítica que os instrumentos construídos no centro não conseguem capturar completamente. Sobre o habitus acadêmico sobrepõe-se um habitus regional de escassez, historicamente produzido por décadas de seca e miséria, que opera com lógica própria: conter quem chega com capital que os outros não têm, distribuir os recursos simbólicos disponíveis entre os já estabelecidos, invisibilizar o outro como instrumento de manutenção da ordem. A essa camada adicional este artigo propõe o nome de habitus da escassez.</w:t>
      </w:r>
    </w:p>
    <w:p>
      <w:pPr>
        <w:spacing w:before="0" w:after="120" w:line="360" w:lineRule="exact"/>
        <w:jc w:val="both"/>
      </w:pPr>
      <w:r>
        <w:rPr>
          <w:rFonts w:ascii="Times New Roman" w:hAnsi="Times New Roman"/>
          <w:b w:val="0"/>
          <w:i w:val="0"/>
          <w:sz w:val="24"/>
        </w:rPr>
        <w:t>O artigo utiliza o método do caso ampliado (BURAWOY, 2009) aplicado de forma reflexiva: o pesquisador é simultaneamente o observador e o caso. A trajetória do Professor Rolando não é tratada como desabafo autobiográfico nem como acusação institucional — é tratada como unidade analítica primária a partir da qual emerge a teoria.</w:t>
      </w:r>
    </w:p>
    <w:p>
      <w:pPr>
        <w:spacing w:before="0" w:after="120" w:line="360" w:lineRule="exact"/>
        <w:jc w:val="both"/>
      </w:pPr>
      <w:r>
        <w:rPr>
          <w:rFonts w:ascii="Times New Roman" w:hAnsi="Times New Roman"/>
          <w:b w:val="0"/>
          <w:i w:val="0"/>
          <w:sz w:val="24"/>
        </w:rPr>
        <w:t>O artigo está organizado em seis seções. A seção 2 apresenta o método. A seção 3 desenvolve o quadro teórico. A seção 4 analisa três episódios centrais. A seção 5 examina a virada etnográfica e as figuras de Pedro Conceição e Samara. A seção 6 desenvolve o conceito de habitus da escassez a partir dos casos. A conclusão retoma o argumento central.</w:t>
      </w:r>
    </w:p>
    <w:p>
      <w:pPr>
        <w:spacing w:before="240" w:after="120" w:line="360" w:lineRule="exact"/>
        <w:jc w:val="left"/>
      </w:pPr>
      <w:r>
        <w:rPr>
          <w:rFonts w:ascii="Times New Roman" w:hAnsi="Times New Roman"/>
          <w:b/>
          <w:i w:val="0"/>
          <w:sz w:val="24"/>
        </w:rPr>
        <w:t>2. O CASO AMPLIADO COMO MÉTODO E COMO OBJETO</w:t>
      </w:r>
    </w:p>
    <w:p>
      <w:pPr>
        <w:spacing w:before="0" w:after="120" w:line="360" w:lineRule="exact"/>
        <w:jc w:val="both"/>
      </w:pPr>
      <w:r>
        <w:rPr>
          <w:rFonts w:ascii="Times New Roman" w:hAnsi="Times New Roman"/>
          <w:b w:val="0"/>
          <w:i w:val="0"/>
          <w:sz w:val="24"/>
        </w:rPr>
        <w:t>A escolha metodológica deste artigo exige justificação explícita. Utilizar o próprio pesquisador como objeto de análise é um gesto que a tradição sociológica recebe com desconfiança — frequentemente confundido com narcisismo acadêmico ou com a impossibilidade de distância analítica. Este artigo defende posição contrária: quando o objeto é o campo acadêmico periférico, o pesquisador que viveu esse campo por dentro possui um tipo de acesso empírico que o observador externo não pode reproduzir.</w:t>
      </w:r>
    </w:p>
    <w:p>
      <w:pPr>
        <w:spacing w:before="0" w:after="120" w:line="360" w:lineRule="exact"/>
        <w:jc w:val="both"/>
      </w:pPr>
      <w:r>
        <w:rPr>
          <w:rFonts w:ascii="Times New Roman" w:hAnsi="Times New Roman"/>
          <w:b w:val="0"/>
          <w:i w:val="0"/>
          <w:sz w:val="24"/>
        </w:rPr>
        <w:t>O método do caso ampliado, desenvolvido por Michael Burawoy (2009), oferece o enquadramento metodológico adequado. Para Burawoy, o caso ampliado não é ilustração de uma tese prévia — é unidade analítica primária a partir da qual emergem os conceitos. O pesquisador parte do singular, do concreto, do vivido — e estende a análise até alcançar as estruturas que o caso revela. A validade do método não depende da representatividade estatística do caso, mas de sua capacidade de iluminar mecanismos estruturais que o caso médio obscurece.</w:t>
      </w:r>
    </w:p>
    <w:p>
      <w:pPr>
        <w:spacing w:before="0" w:after="120" w:line="360" w:lineRule="exact"/>
        <w:jc w:val="both"/>
      </w:pPr>
      <w:r>
        <w:rPr>
          <w:rFonts w:ascii="Times New Roman" w:hAnsi="Times New Roman"/>
          <w:b w:val="0"/>
          <w:i w:val="0"/>
          <w:sz w:val="24"/>
        </w:rPr>
        <w:t>A trajetória do Professor Rolando é um caso ampliado no sentido preciso do termo. Não é o caso típico do professor universitário brasileiro — é o caso que revela, por contraste e contradição, as estruturas que o caso típico naturaliza. Um professor com doutorado numa universidade francesa e pós-doutorado na EHESS, chegando a uma universidade federal do sertão paraibano, carrega consigo um volume de capital acadêmico que nenhum colega local possui. É precisamente essa desproporção que torna o caso analiticamente fértil.</w:t>
      </w:r>
    </w:p>
    <w:p>
      <w:pPr>
        <w:spacing w:before="0" w:after="120" w:line="360" w:lineRule="exact"/>
        <w:jc w:val="both"/>
      </w:pPr>
      <w:r>
        <w:rPr>
          <w:rFonts w:ascii="Times New Roman" w:hAnsi="Times New Roman"/>
          <w:b w:val="0"/>
          <w:i w:val="0"/>
          <w:sz w:val="24"/>
        </w:rPr>
        <w:t xml:space="preserve">Há precedentes respeitáveis para essa escolha. Pierre Bourdieu, em </w:t>
      </w:r>
      <w:r>
        <w:rPr>
          <w:rFonts w:ascii="Times New Roman" w:hAnsi="Times New Roman"/>
          <w:b w:val="0"/>
          <w:i/>
          <w:sz w:val="24"/>
        </w:rPr>
        <w:t>Homo Academicus</w:t>
      </w:r>
      <w:r>
        <w:rPr>
          <w:rFonts w:ascii="Times New Roman" w:hAnsi="Times New Roman"/>
          <w:b w:val="0"/>
          <w:i w:val="0"/>
          <w:sz w:val="24"/>
        </w:rPr>
        <w:t xml:space="preserve"> (1984), analisou o campo universitário francês de dentro — como participante e como objeto. Loïc Wacquant, em </w:t>
      </w:r>
      <w:r>
        <w:rPr>
          <w:rFonts w:ascii="Times New Roman" w:hAnsi="Times New Roman"/>
          <w:b w:val="0"/>
          <w:i/>
          <w:sz w:val="24"/>
        </w:rPr>
        <w:t>Corps et Âme</w:t>
      </w:r>
      <w:r>
        <w:rPr>
          <w:rFonts w:ascii="Times New Roman" w:hAnsi="Times New Roman"/>
          <w:b w:val="0"/>
          <w:i w:val="0"/>
          <w:sz w:val="24"/>
        </w:rPr>
        <w:t xml:space="preserve"> (2002), foi mais longe — tornou seu próprio corpo o instrumento de pesquisa. O presente artigo segue essa tradição, com uma inversão reflexiva adicional: o pesquisador não escolheu seu campo de imersão. Foi colocado nele pelas circunstâncias.</w:t>
      </w:r>
    </w:p>
    <w:p>
      <w:pPr>
        <w:spacing w:before="0" w:after="120" w:line="360" w:lineRule="exact"/>
        <w:jc w:val="both"/>
      </w:pPr>
      <w:r>
        <w:rPr>
          <w:rFonts w:ascii="Times New Roman" w:hAnsi="Times New Roman"/>
          <w:b w:val="0"/>
          <w:i w:val="0"/>
          <w:sz w:val="24"/>
        </w:rPr>
        <w:t>A autoetnografia crítica distingue-se do relato autobiográfico por dois critérios: a mobilização sistemática de conceitos teóricos para analisar a experiência vivida, e a capacidade de generalizar a partir do singular para estruturas que transcendem o caso individual. Este artigo atende a ambos os critérios.</w:t>
      </w:r>
    </w:p>
    <w:p>
      <w:pPr>
        <w:spacing w:before="0" w:after="120" w:line="360" w:lineRule="exact"/>
        <w:jc w:val="both"/>
      </w:pPr>
      <w:r>
        <w:rPr>
          <w:rFonts w:ascii="Times New Roman" w:hAnsi="Times New Roman"/>
          <w:b w:val="0"/>
          <w:i w:val="0"/>
          <w:sz w:val="24"/>
        </w:rPr>
        <w:t>Uma última observação metodológica: os nomes dos atores institucionais foram alterados e a universidade não é identificada. Essa proteção não compromete a validade analítica — os mecanismos que o artigo descreve não dependem da identidade dos atores individuais. Dependem da estrutura do campo.</w:t>
      </w:r>
    </w:p>
    <w:p>
      <w:pPr>
        <w:spacing w:before="240" w:after="120" w:line="360" w:lineRule="exact"/>
        <w:jc w:val="left"/>
      </w:pPr>
      <w:r>
        <w:rPr>
          <w:rFonts w:ascii="Times New Roman" w:hAnsi="Times New Roman"/>
          <w:b/>
          <w:i w:val="0"/>
          <w:sz w:val="24"/>
        </w:rPr>
        <w:t>3. O CAMPO TEÓRICO</w:t>
      </w:r>
    </w:p>
    <w:p>
      <w:pPr>
        <w:spacing w:before="120" w:after="120" w:line="360" w:lineRule="exact"/>
        <w:jc w:val="left"/>
      </w:pPr>
      <w:r>
        <w:rPr>
          <w:rFonts w:ascii="Times New Roman" w:hAnsi="Times New Roman"/>
          <w:b/>
          <w:i w:val="0"/>
          <w:sz w:val="24"/>
        </w:rPr>
        <w:t>3.1 Bourdieu: campo, habitus e capital simbólico</w:t>
      </w:r>
    </w:p>
    <w:p>
      <w:pPr>
        <w:spacing w:before="0" w:after="120" w:line="360" w:lineRule="exact"/>
        <w:jc w:val="both"/>
      </w:pPr>
      <w:r>
        <w:rPr>
          <w:rFonts w:ascii="Times New Roman" w:hAnsi="Times New Roman"/>
          <w:b w:val="0"/>
          <w:i w:val="0"/>
          <w:sz w:val="24"/>
        </w:rPr>
        <w:t xml:space="preserve">Para Bourdieu (1980), o campo é um espaço social de posições estruturado pela distribuição desigual de diferentes formas de capital. O campo acadêmico, analisado em </w:t>
      </w:r>
      <w:r>
        <w:rPr>
          <w:rFonts w:ascii="Times New Roman" w:hAnsi="Times New Roman"/>
          <w:b w:val="0"/>
          <w:i/>
          <w:sz w:val="24"/>
        </w:rPr>
        <w:t>Homo Academicus</w:t>
      </w:r>
      <w:r>
        <w:rPr>
          <w:rFonts w:ascii="Times New Roman" w:hAnsi="Times New Roman"/>
          <w:b w:val="0"/>
          <w:i w:val="0"/>
          <w:sz w:val="24"/>
        </w:rPr>
        <w:t xml:space="preserve"> (1984), opera com lógica particular: o capital que conta é o capital científico. Mas Bourdieu demonstrou também que o campo acadêmico nunca é puramente científico — é atravessado por formas de capital social e simbólico que operam segundo critérios de pertencimento que a meritocracia oficial não reconhece.</w:t>
      </w:r>
    </w:p>
    <w:p>
      <w:pPr>
        <w:spacing w:before="0" w:after="120" w:line="360" w:lineRule="exact"/>
        <w:jc w:val="both"/>
      </w:pPr>
      <w:r>
        <w:rPr>
          <w:rFonts w:ascii="Times New Roman" w:hAnsi="Times New Roman"/>
          <w:b w:val="0"/>
          <w:i w:val="0"/>
          <w:sz w:val="24"/>
        </w:rPr>
        <w:t>O habitus é o conceito que articula o individual e o coletivo: sistema de disposições duráveis e transponíveis incorporados ao longo da trajetória social (BOURDIEU, 1980). O capital simbólico é a forma que qualquer tipo de capital assume quando é reconhecido como legítimo pelos agentes do campo. Essa distinção é crucial: o capital acadêmico europeu do Professor Rolando é objetivamente elevado. Mas num campo cujos agentes estabelecidos não possuem instrumentos para avaliá-lo, esse capital não se converte em capital simbólico. Converte-se em ameaça.</w:t>
      </w:r>
    </w:p>
    <w:p>
      <w:pPr>
        <w:spacing w:before="120" w:after="120" w:line="360" w:lineRule="exact"/>
        <w:jc w:val="left"/>
      </w:pPr>
      <w:r>
        <w:rPr>
          <w:rFonts w:ascii="Times New Roman" w:hAnsi="Times New Roman"/>
          <w:b/>
          <w:i w:val="0"/>
          <w:sz w:val="24"/>
        </w:rPr>
        <w:t>3.2 Honneth: reconhecimento, invisibilidade e desrespeito</w:t>
      </w:r>
    </w:p>
    <w:p>
      <w:pPr>
        <w:spacing w:before="0" w:after="120" w:line="360" w:lineRule="exact"/>
        <w:jc w:val="both"/>
      </w:pPr>
      <w:r>
        <w:rPr>
          <w:rFonts w:ascii="Times New Roman" w:hAnsi="Times New Roman"/>
          <w:b w:val="0"/>
          <w:i w:val="0"/>
          <w:sz w:val="24"/>
        </w:rPr>
        <w:t>Axel Honneth (1992) argumenta que a constituição da identidade positiva do sujeito depende de três esferas de reconhecimento: o amor, o direito e a solidariedade. A cada esfera corresponde uma forma de desrespeito: violência física, privação de direitos e invisibilidade social. É essa terceira forma que este artigo examina em dois registros simultâneos — o do campo acadêmico e o das camadas populares de Cajazeiras. A invisibilidade social não deixa marca visível. Não há conflito declarado, não há agressão registrável. Há apenas o silêncio — repetido, anual, preciso — do aniversário não anunciado. Há o R$20,00 que ninguém entende por que é pago. Há a internet instalada contra a recusa do marido. Em cada um desses gestos opera a mesma luta por reconhecimento que Honneth teorizou a partir de outro continente e de outras condições.</w:t>
      </w:r>
    </w:p>
    <w:p>
      <w:pPr>
        <w:spacing w:before="240" w:after="120" w:line="360" w:lineRule="exact"/>
        <w:jc w:val="left"/>
      </w:pPr>
      <w:r>
        <w:rPr>
          <w:rFonts w:ascii="Times New Roman" w:hAnsi="Times New Roman"/>
          <w:b/>
          <w:i w:val="0"/>
          <w:sz w:val="24"/>
        </w:rPr>
        <w:t>4. TRÊS EPISÓDIOS — O CAMPO EM AÇÃO</w:t>
      </w:r>
    </w:p>
    <w:p>
      <w:pPr>
        <w:spacing w:before="120" w:after="120" w:line="360" w:lineRule="exact"/>
        <w:jc w:val="left"/>
      </w:pPr>
      <w:r>
        <w:rPr>
          <w:rFonts w:ascii="Times New Roman" w:hAnsi="Times New Roman"/>
          <w:b/>
          <w:i w:val="0"/>
          <w:sz w:val="24"/>
        </w:rPr>
        <w:t>4.1 O EHESS — A Contenção do Capital Externo</w:t>
      </w:r>
    </w:p>
    <w:p>
      <w:pPr>
        <w:spacing w:before="0" w:after="120" w:line="360" w:lineRule="exact"/>
        <w:jc w:val="both"/>
      </w:pPr>
      <w:r>
        <w:rPr>
          <w:rFonts w:ascii="Times New Roman" w:hAnsi="Times New Roman"/>
          <w:b w:val="0"/>
          <w:i w:val="0"/>
          <w:sz w:val="24"/>
        </w:rPr>
        <w:t>Em determinado momento de sua trajetória, o Professor Rolando foi aceito para um estágio pós-doutoral na École des Hautes Études en Sciences Sociales de Paris. Era a primeira vez que um professor daquela unidade havia sido aceito na EHESS. A notícia não produziu celebração. Produziu resistência.</w:t>
      </w:r>
    </w:p>
    <w:p>
      <w:pPr>
        <w:spacing w:before="0" w:after="120" w:line="360" w:lineRule="exact"/>
        <w:jc w:val="both"/>
      </w:pPr>
      <w:r>
        <w:rPr>
          <w:rFonts w:ascii="Times New Roman" w:hAnsi="Times New Roman"/>
          <w:b w:val="0"/>
          <w:i w:val="0"/>
          <w:sz w:val="24"/>
        </w:rPr>
        <w:t>Durante meses, a coordenação administrativa da unidade adiou sistematicamente a votação que liberaria o Professor Rolando para o estágio. Os argumentos variavam a cada reunião — ausência de banco de professores substitutos, irregularidades processuais, questões de calendário — mas o efeito era sempre o mesmo: mais um mês de espera, mais um prazo se aproximando.</w:t>
      </w:r>
    </w:p>
    <w:p>
      <w:pPr>
        <w:spacing w:before="0" w:after="120" w:line="360" w:lineRule="exact"/>
        <w:jc w:val="both"/>
      </w:pPr>
      <w:r>
        <w:rPr>
          <w:rFonts w:ascii="Times New Roman" w:hAnsi="Times New Roman"/>
          <w:b w:val="0"/>
          <w:i w:val="0"/>
          <w:sz w:val="24"/>
        </w:rPr>
        <w:t>O Professor Rolando recorreu a uma rede de relações externas — um antropólogo influente, seu antigo professor de graduação, que o levou diretamente ao gabinete do reitor. O reitor disse: "eles são mais reais do que a realeza." E preparou um documento em duas vias confirmando que a liberação era um direito líquido.</w:t>
      </w:r>
    </w:p>
    <w:p>
      <w:pPr>
        <w:spacing w:before="0" w:after="120" w:line="360" w:lineRule="exact"/>
        <w:jc w:val="both"/>
      </w:pPr>
      <w:r>
        <w:rPr>
          <w:rFonts w:ascii="Times New Roman" w:hAnsi="Times New Roman"/>
          <w:b w:val="0"/>
          <w:i w:val="0"/>
          <w:sz w:val="24"/>
        </w:rPr>
        <w:t>Na reunião seguinte, a coordenadora recusou integrar o documento ao processo. Foi então que um professor de filosofia — até então silencioso — disse: "eu assino." Uma assinatura foi suficiente para que o sistema não fechasse completamente.</w:t>
      </w:r>
    </w:p>
    <w:p>
      <w:pPr>
        <w:spacing w:before="0" w:after="120" w:line="360" w:lineRule="exact"/>
        <w:jc w:val="both"/>
      </w:pPr>
      <w:r>
        <w:rPr>
          <w:rFonts w:ascii="Times New Roman" w:hAnsi="Times New Roman"/>
          <w:b w:val="0"/>
          <w:i w:val="0"/>
          <w:sz w:val="24"/>
        </w:rPr>
        <w:t>O contraste com o episódio posterior é revelador. Quando uma professora do mesmo grupo foi aceita num programa de pós-doutorado nos Estados Unidos, a unidade organizou uma cerimônia com discursos e reverências. O capital americano era reconhecível. O capital parisiense não era. O habitus da escassez não rejeita todo capital externo — rejeita o capital que ameaça a hierarquia estabelecida.</w:t>
      </w:r>
    </w:p>
    <w:p>
      <w:pPr>
        <w:spacing w:before="120" w:after="120" w:line="360" w:lineRule="exact"/>
        <w:jc w:val="left"/>
      </w:pPr>
      <w:r>
        <w:rPr>
          <w:rFonts w:ascii="Times New Roman" w:hAnsi="Times New Roman"/>
          <w:b/>
          <w:i w:val="0"/>
          <w:sz w:val="24"/>
        </w:rPr>
        <w:t>4.2 O Haiti — O Coeficiente Não Calculado</w:t>
      </w:r>
    </w:p>
    <w:p>
      <w:pPr>
        <w:spacing w:before="0" w:after="120" w:line="360" w:lineRule="exact"/>
        <w:jc w:val="both"/>
      </w:pPr>
      <w:r>
        <w:rPr>
          <w:rFonts w:ascii="Times New Roman" w:hAnsi="Times New Roman"/>
          <w:b w:val="0"/>
          <w:i w:val="0"/>
          <w:sz w:val="24"/>
        </w:rPr>
        <w:t>O Professor Rolando foi aceito para participar num colóquio internacional sobre as universidades haitianas em reconstrução. A assembleia de professores da unidade votou massivamente a favor do financiamento. Parecia uma vitória. Não foi.</w:t>
      </w:r>
    </w:p>
    <w:p>
      <w:pPr>
        <w:spacing w:before="0" w:after="120" w:line="360" w:lineRule="exact"/>
        <w:jc w:val="both"/>
      </w:pPr>
      <w:r>
        <w:rPr>
          <w:rFonts w:ascii="Times New Roman" w:hAnsi="Times New Roman"/>
          <w:b w:val="0"/>
          <w:i w:val="0"/>
          <w:sz w:val="24"/>
        </w:rPr>
        <w:t>Numa noite, às 19h30, foi convocado às pressas para uma reunião cujo tema desconhecia. A mensagem foi direta: "passagem aérea ou estadia. Escolha." O processo havia sido redirecionado da unidade para a administração central — um movimento técnico que invalidava a votação favorável da assembleia.</w:t>
      </w:r>
    </w:p>
    <w:p>
      <w:pPr>
        <w:spacing w:before="0" w:after="120" w:line="360" w:lineRule="exact"/>
        <w:jc w:val="both"/>
      </w:pPr>
      <w:r>
        <w:rPr>
          <w:rFonts w:ascii="Times New Roman" w:hAnsi="Times New Roman"/>
          <w:b w:val="0"/>
          <w:i w:val="0"/>
          <w:sz w:val="24"/>
        </w:rPr>
        <w:t>O Professor Rolando foi ao Haiti com dinheiro emprestado pelo irmão. Foi lá que conheceu sua esposa — pesquisadora inglesa, professora universitária em Cork, especialista na Revolução Haitiana.</w:t>
      </w:r>
    </w:p>
    <w:p>
      <w:pPr>
        <w:spacing w:before="0" w:after="120" w:line="360" w:lineRule="exact"/>
        <w:jc w:val="both"/>
      </w:pPr>
      <w:r>
        <w:rPr>
          <w:rFonts w:ascii="Times New Roman" w:hAnsi="Times New Roman"/>
          <w:b w:val="0"/>
          <w:i w:val="0"/>
          <w:sz w:val="24"/>
        </w:rPr>
        <w:t>A tentativa de contenção produziu o coeficiente não calculado: o encontro que definiria uma vida. O campo da farinha pouca não havia previsto esse desdobramento.</w:t>
      </w:r>
    </w:p>
    <w:p>
      <w:pPr>
        <w:spacing w:before="120" w:after="120" w:line="360" w:lineRule="exact"/>
        <w:jc w:val="left"/>
      </w:pPr>
      <w:r>
        <w:rPr>
          <w:rFonts w:ascii="Times New Roman" w:hAnsi="Times New Roman"/>
          <w:b/>
          <w:i w:val="0"/>
          <w:sz w:val="24"/>
        </w:rPr>
        <w:t>4.3 O Aniversário em Silêncio — A Invisibilização como Instrumento</w:t>
      </w:r>
    </w:p>
    <w:p>
      <w:pPr>
        <w:spacing w:before="0" w:after="120" w:line="360" w:lineRule="exact"/>
        <w:jc w:val="both"/>
      </w:pPr>
      <w:r>
        <w:rPr>
          <w:rFonts w:ascii="Times New Roman" w:hAnsi="Times New Roman"/>
          <w:b w:val="0"/>
          <w:i w:val="0"/>
          <w:sz w:val="24"/>
        </w:rPr>
        <w:t>Na unidade existe um ritual: no dia do aniversário de cada professor, o nome é anunciado publicamente. É uma formalidade simples — um gesto de reconhecimento coletivo que custa nada e significa tudo.</w:t>
      </w:r>
    </w:p>
    <w:p>
      <w:pPr>
        <w:spacing w:before="0" w:after="120" w:line="360" w:lineRule="exact"/>
        <w:jc w:val="both"/>
      </w:pPr>
      <w:r>
        <w:rPr>
          <w:rFonts w:ascii="Times New Roman" w:hAnsi="Times New Roman"/>
          <w:b w:val="0"/>
          <w:i w:val="0"/>
          <w:sz w:val="24"/>
        </w:rPr>
        <w:t>Em catorze anos, o aniversário do Professor Rolando nunca foi anunciado. Seus colegas, sim. Ele, não.</w:t>
      </w:r>
    </w:p>
    <w:p>
      <w:pPr>
        <w:spacing w:before="0" w:after="120" w:line="360" w:lineRule="exact"/>
        <w:jc w:val="both"/>
      </w:pPr>
      <w:r>
        <w:rPr>
          <w:rFonts w:ascii="Times New Roman" w:hAnsi="Times New Roman"/>
          <w:b w:val="0"/>
          <w:i/>
          <w:sz w:val="24"/>
        </w:rPr>
        <w:t>"Cada ano que não anunciam é a confirmação de uma nulidade inapagável"</w:t>
      </w:r>
      <w:r>
        <w:rPr>
          <w:rFonts w:ascii="Times New Roman" w:hAnsi="Times New Roman"/>
          <w:b w:val="0"/>
          <w:i w:val="0"/>
          <w:sz w:val="24"/>
        </w:rPr>
        <w:t xml:space="preserve"> — são suas palavras. E depois, com a distância de quem aprendeu a habitar a margem: </w:t>
      </w:r>
      <w:r>
        <w:rPr>
          <w:rFonts w:ascii="Times New Roman" w:hAnsi="Times New Roman"/>
          <w:b w:val="0"/>
          <w:i/>
          <w:sz w:val="24"/>
        </w:rPr>
        <w:t>"já estou conformado. Não tem mais importância. Sou um estrangeiro vivendo ali."</w:t>
      </w:r>
    </w:p>
    <w:p>
      <w:pPr>
        <w:spacing w:before="0" w:after="120" w:line="360" w:lineRule="exact"/>
        <w:jc w:val="both"/>
      </w:pPr>
      <w:r>
        <w:rPr>
          <w:rFonts w:ascii="Times New Roman" w:hAnsi="Times New Roman"/>
          <w:b w:val="0"/>
          <w:i w:val="0"/>
          <w:sz w:val="24"/>
        </w:rPr>
        <w:t>É a terceira forma de desrespeito de Honneth — a invisibilidade social — operando com precisão cirúrgica. Não há violência registrável. Há apenas o silêncio que apaga.</w:t>
      </w:r>
    </w:p>
    <w:p>
      <w:pPr>
        <w:spacing w:before="240" w:after="120" w:line="360" w:lineRule="exact"/>
        <w:jc w:val="left"/>
      </w:pPr>
      <w:r>
        <w:rPr>
          <w:rFonts w:ascii="Times New Roman" w:hAnsi="Times New Roman"/>
          <w:b/>
          <w:i w:val="0"/>
          <w:sz w:val="24"/>
        </w:rPr>
        <w:t>5. A VIRADA — O INVISÍVEL QUE FOI AO CAMPO</w:t>
      </w:r>
    </w:p>
    <w:p>
      <w:pPr>
        <w:spacing w:before="0" w:after="120" w:line="360" w:lineRule="exact"/>
        <w:jc w:val="both"/>
      </w:pPr>
      <w:r>
        <w:rPr>
          <w:rFonts w:ascii="Times New Roman" w:hAnsi="Times New Roman"/>
          <w:b w:val="0"/>
          <w:i w:val="0"/>
          <w:sz w:val="24"/>
        </w:rPr>
        <w:t>O Professor Rolando desenvolveu, ao longo de catorze anos, distância etnográfica em relação à própria instituição. Não amargura — aceitação. "Sou um estrangeiro vivendo ali", diria ele. E foi precisamente essa condição de estrangeiro que produziu o etnógrafo.</w:t>
      </w:r>
    </w:p>
    <w:p>
      <w:pPr>
        <w:spacing w:before="0" w:after="120" w:line="360" w:lineRule="exact"/>
        <w:jc w:val="both"/>
      </w:pPr>
      <w:r>
        <w:rPr>
          <w:rFonts w:ascii="Times New Roman" w:hAnsi="Times New Roman"/>
          <w:b w:val="0"/>
          <w:i w:val="0"/>
          <w:sz w:val="24"/>
        </w:rPr>
        <w:t>Quando a instituição fecha as portas do reconhecimento interno, o pesquisador tem duas opções: investir ainda mais energia na tentativa de ser reconhecido pelo campo que o rejeita — o que Bourdieu chamaria de ilusio — ou redirecionar essa energia para outro campo. O Professor Rolando foi ao campo. Literalmente.</w:t>
      </w:r>
    </w:p>
    <w:p>
      <w:pPr>
        <w:spacing w:before="0" w:after="120" w:line="360" w:lineRule="exact"/>
        <w:jc w:val="both"/>
      </w:pPr>
      <w:r>
        <w:rPr>
          <w:rFonts w:ascii="Times New Roman" w:hAnsi="Times New Roman"/>
          <w:b w:val="0"/>
          <w:i w:val="0"/>
          <w:sz w:val="24"/>
        </w:rPr>
        <w:t>Foi assim que encontrou Pedro Conceição.</w:t>
      </w:r>
    </w:p>
    <w:p>
      <w:pPr>
        <w:spacing w:before="0" w:after="120" w:line="360" w:lineRule="exact"/>
        <w:jc w:val="both"/>
      </w:pPr>
      <w:r>
        <w:rPr>
          <w:rFonts w:ascii="Times New Roman" w:hAnsi="Times New Roman"/>
          <w:b w:val="0"/>
          <w:i w:val="0"/>
          <w:sz w:val="24"/>
        </w:rPr>
        <w:t>Pedro trabalha de cinco da manhã às onze da noite entregando pedidos por aplicativo em Cajazeiras. Está negativado no Serasa. Quando a moto precisa de manutenção, usa o cartão da esposa — o único crédito disponível na casa. A conta não fecha. Nunca fecha completamente.</w:t>
      </w:r>
    </w:p>
    <w:p>
      <w:pPr>
        <w:spacing w:before="0" w:after="120" w:line="360" w:lineRule="exact"/>
        <w:jc w:val="both"/>
      </w:pPr>
      <w:r>
        <w:rPr>
          <w:rFonts w:ascii="Times New Roman" w:hAnsi="Times New Roman"/>
          <w:b w:val="0"/>
          <w:i w:val="0"/>
          <w:sz w:val="24"/>
        </w:rPr>
        <w:t>Ainda assim, todo mês, Pedro deposita R$20,00 na conta da Vascaja.</w:t>
      </w:r>
    </w:p>
    <w:p>
      <w:pPr>
        <w:spacing w:before="0" w:after="120" w:line="360" w:lineRule="exact"/>
        <w:jc w:val="both"/>
      </w:pPr>
      <w:r>
        <w:rPr>
          <w:rFonts w:ascii="Times New Roman" w:hAnsi="Times New Roman"/>
          <w:b w:val="0"/>
          <w:i w:val="0"/>
          <w:sz w:val="24"/>
        </w:rPr>
        <w:t xml:space="preserve">Quase ninguém entende. Ele mesmo antecipa a pergunta: </w:t>
      </w:r>
      <w:r>
        <w:rPr>
          <w:rFonts w:ascii="Times New Roman" w:hAnsi="Times New Roman"/>
          <w:b w:val="0"/>
          <w:i/>
          <w:sz w:val="24"/>
        </w:rPr>
        <w:t>"muita gente me pergunta por que sou associado se só às vezes vou lá — só quando tem jogo, quando não estou trabalhando ou quando não viajo para Milagres, no Ceará, onde mora a família da minha esposa. Colaboro com a Vascaja para dar vida a ela."</w:t>
      </w:r>
    </w:p>
    <w:p>
      <w:pPr>
        <w:spacing w:before="0" w:after="120" w:line="360" w:lineRule="exact"/>
        <w:jc w:val="both"/>
      </w:pPr>
      <w:r>
        <w:rPr>
          <w:rFonts w:ascii="Times New Roman" w:hAnsi="Times New Roman"/>
          <w:b w:val="0"/>
          <w:i w:val="0"/>
          <w:sz w:val="24"/>
        </w:rPr>
        <w:t>Dar vida a ela. A frase não é sentimental — é analítica.</w:t>
      </w:r>
    </w:p>
    <w:p>
      <w:pPr>
        <w:spacing w:before="0" w:after="120" w:line="360" w:lineRule="exact"/>
        <w:jc w:val="both"/>
      </w:pPr>
      <w:r>
        <w:rPr>
          <w:rFonts w:ascii="Times New Roman" w:hAnsi="Times New Roman"/>
          <w:b w:val="0"/>
          <w:i w:val="0"/>
          <w:sz w:val="24"/>
        </w:rPr>
        <w:t>A Vascaja não é nova, mas estava morta. Há cerca de cinco anos, Pedro e outros torcedores vascaínos se reuniram e alugaram um quartinho pequeníssimo no centro de Cajazeiras. Hoje a sede fica no Bairro Pôr do Sol — próximo ao campus da UFCG, por uma ironia que o campo não planejou —, com um espaço relativamente amplo em relação ao que foi. A trajetória da Vascaja imita, em escala popular, a trajetória de qualquer instituição: começa no que cabe, expande no que resiste.</w:t>
      </w:r>
    </w:p>
    <w:p>
      <w:pPr>
        <w:spacing w:before="0" w:after="120" w:line="360" w:lineRule="exact"/>
        <w:jc w:val="both"/>
      </w:pPr>
      <w:r>
        <w:rPr>
          <w:rFonts w:ascii="Times New Roman" w:hAnsi="Times New Roman"/>
          <w:b w:val="0"/>
          <w:i w:val="0"/>
          <w:sz w:val="24"/>
        </w:rPr>
        <w:t>O que Pedro mantém com seus R$20,00 não é uma torcida. É um campo onde seu capital simbólico existe e é reconhecido sem condições acadêmicas de admissão. A Vascaja é o único lugar onde Pedro Conceição não precisa explicar sua dívida para justificar sua presença.</w:t>
      </w:r>
    </w:p>
    <w:p>
      <w:pPr>
        <w:spacing w:before="0" w:after="120" w:line="360" w:lineRule="exact"/>
        <w:jc w:val="both"/>
      </w:pPr>
      <w:r>
        <w:rPr>
          <w:rFonts w:ascii="Times New Roman" w:hAnsi="Times New Roman"/>
          <w:b w:val="0"/>
          <w:i w:val="0"/>
          <w:sz w:val="24"/>
        </w:rPr>
        <w:t>Foi também assim que o Professor Rolando encontrou Samara.</w:t>
      </w:r>
    </w:p>
    <w:p>
      <w:pPr>
        <w:spacing w:before="0" w:after="120" w:line="360" w:lineRule="exact"/>
        <w:jc w:val="both"/>
      </w:pPr>
      <w:r>
        <w:rPr>
          <w:rFonts w:ascii="Times New Roman" w:hAnsi="Times New Roman"/>
          <w:b w:val="0"/>
          <w:i w:val="0"/>
          <w:sz w:val="24"/>
        </w:rPr>
        <w:t>Samara faz faxina na casa do professor desde 2012. Mora no sítio, cultiva a terra. Seu marido é vaqueiro — sai, cuida do gado, volta. Samara cuida do resto. Sempre cuidou.</w:t>
      </w:r>
    </w:p>
    <w:p>
      <w:pPr>
        <w:spacing w:before="0" w:after="120" w:line="360" w:lineRule="exact"/>
        <w:jc w:val="both"/>
      </w:pPr>
      <w:r>
        <w:rPr>
          <w:rFonts w:ascii="Times New Roman" w:hAnsi="Times New Roman"/>
          <w:b w:val="0"/>
          <w:i w:val="0"/>
          <w:sz w:val="24"/>
        </w:rPr>
        <w:t>São duas filhas. A mais velha fez pedagogia na UFCG — foi aluna do próprio Professor Rolando. A mais nova, mais dedicada ao estudo, vai se formar em enfermagem na Faculdade São Francisco pelo PROUNI. Quando o estágio começou a exigir deslocamentos, Samara comprou uma moto. Com dinheiro de faxina. A cada R$100,00 por dois ou três turnos de trabalho — às vezes a manhã inteira —, ela foi acumulando o que a filha precisava para terminar o curso.</w:t>
      </w:r>
    </w:p>
    <w:p>
      <w:pPr>
        <w:spacing w:before="0" w:after="120" w:line="360" w:lineRule="exact"/>
        <w:jc w:val="both"/>
      </w:pPr>
      <w:r>
        <w:rPr>
          <w:rFonts w:ascii="Times New Roman" w:hAnsi="Times New Roman"/>
          <w:b w:val="0"/>
          <w:i w:val="0"/>
          <w:sz w:val="24"/>
        </w:rPr>
        <w:t>O marido não quis saber. Quando chegou a hora de instalar internet em casa — porque as meninas precisavam para estudar —, ele se opôs. Samara instalou assim mesmo.</w:t>
      </w:r>
    </w:p>
    <w:p>
      <w:pPr>
        <w:spacing w:before="0" w:after="120" w:line="360" w:lineRule="exact"/>
        <w:jc w:val="both"/>
      </w:pPr>
      <w:r>
        <w:rPr>
          <w:rFonts w:ascii="Times New Roman" w:hAnsi="Times New Roman"/>
          <w:b w:val="0"/>
          <w:i w:val="0"/>
          <w:sz w:val="24"/>
        </w:rPr>
        <w:t>Recentemente, Samara ficou muito doente. A filha que vai se formar enfermeira passou a acompanhá-la nas faxinas. A trabalhadora que financiou a formação da filha agora depende dela para continuar trabalhando. O ciclo de reprodução social dobra sobre si mesmo — desta vez, a escola que Samara pagou com faxina retorna como cuidado.</w:t>
      </w:r>
    </w:p>
    <w:p>
      <w:pPr>
        <w:spacing w:before="0" w:after="120" w:line="360" w:lineRule="exact"/>
        <w:jc w:val="both"/>
      </w:pPr>
      <w:r>
        <w:rPr>
          <w:rFonts w:ascii="Times New Roman" w:hAnsi="Times New Roman"/>
          <w:b w:val="0"/>
          <w:i w:val="0"/>
          <w:sz w:val="24"/>
        </w:rPr>
        <w:t>Uma vizinha disse de Samara, de forma simples: "Samara é maravilhosa."</w:t>
      </w:r>
    </w:p>
    <w:p>
      <w:pPr>
        <w:spacing w:before="0" w:after="120" w:line="360" w:lineRule="exact"/>
        <w:jc w:val="both"/>
      </w:pPr>
      <w:r>
        <w:rPr>
          <w:rFonts w:ascii="Times New Roman" w:hAnsi="Times New Roman"/>
          <w:b w:val="0"/>
          <w:i w:val="0"/>
          <w:sz w:val="24"/>
        </w:rPr>
        <w:t>O que a vizinha nomeia como qualidade pessoal é, na linguagem de Kergoat (2009), o resultado invisibilizado de décadas de trabalho reprodutivo não remunerado e não reconhecido. Samara é o esteio material da família — educação, saúde, burocracia, renda. Seu marido tem um trabalho. Ela tem todos os outros.</w:t>
      </w:r>
    </w:p>
    <w:p>
      <w:pPr>
        <w:spacing w:before="0" w:after="120" w:line="360" w:lineRule="exact"/>
        <w:jc w:val="both"/>
      </w:pPr>
      <w:r>
        <w:rPr>
          <w:rFonts w:ascii="Times New Roman" w:hAnsi="Times New Roman"/>
          <w:b w:val="0"/>
          <w:i w:val="0"/>
          <w:sz w:val="24"/>
        </w:rPr>
        <w:t>Gonzaguinha cantou sobre Pedro Conceição, sobre Samara, sobre o Professor Rolando — sobre todos eles — quando disse que guerreiros são pessoas, são fortes, são fracos, e que não dá para ser feliz.</w:t>
      </w:r>
    </w:p>
    <w:p>
      <w:pPr>
        <w:spacing w:before="0" w:after="120" w:line="360" w:lineRule="exact"/>
        <w:jc w:val="both"/>
      </w:pPr>
      <w:r>
        <w:rPr>
          <w:rFonts w:ascii="Times New Roman" w:hAnsi="Times New Roman"/>
          <w:b w:val="0"/>
          <w:i w:val="0"/>
          <w:sz w:val="24"/>
        </w:rPr>
        <w:t>O programa de pesquisa que nasceu dessa virada tem um nome: Etnografias da dignidade no semiárido paraibano. A instituição que recusou reconhecer o Professor Rolando durante catorze anos produziu, sem querer, o único etnógrafo sistemático das camadas populares de Cajazeiras.</w:t>
      </w:r>
    </w:p>
    <w:p>
      <w:pPr>
        <w:spacing w:before="240" w:after="120" w:line="360" w:lineRule="exact"/>
        <w:jc w:val="left"/>
      </w:pPr>
      <w:r>
        <w:rPr>
          <w:rFonts w:ascii="Times New Roman" w:hAnsi="Times New Roman"/>
          <w:b/>
          <w:i w:val="0"/>
          <w:sz w:val="24"/>
        </w:rPr>
        <w:t>6. O HABITUS DA ESCASSEZ — CONTRIBUIÇÃO TEÓRICA</w:t>
      </w:r>
    </w:p>
    <w:p>
      <w:pPr>
        <w:spacing w:before="0" w:after="120" w:line="360" w:lineRule="exact"/>
        <w:jc w:val="both"/>
      </w:pPr>
      <w:r>
        <w:rPr>
          <w:rFonts w:ascii="Times New Roman" w:hAnsi="Times New Roman"/>
          <w:b w:val="0"/>
          <w:i w:val="0"/>
          <w:sz w:val="24"/>
        </w:rPr>
        <w:t>O conceito de habitus da escassez não chegou pronto. Emergiu da tensão entre três episódios que, à primeira leitura, poderiam parecer desconexos: a EHESS bloqueada, o Haiti cortado ao meio, o aniversário que nunca veio.</w:t>
      </w:r>
    </w:p>
    <w:p>
      <w:pPr>
        <w:spacing w:before="0" w:after="120" w:line="360" w:lineRule="exact"/>
        <w:jc w:val="both"/>
      </w:pPr>
      <w:r>
        <w:rPr>
          <w:rFonts w:ascii="Times New Roman" w:hAnsi="Times New Roman"/>
          <w:b w:val="0"/>
          <w:i w:val="0"/>
          <w:sz w:val="24"/>
        </w:rPr>
        <w:t>O que o episódio da EHESS revela não é simplesmente hostilidade — é um mecanismo de autopreservação que o campo ativa automaticamente diante do capital que não reconhece. Não há deliberação. Há disposição. A coordenadora que adiou a votação mês após mês não calculou estrategicamente a contenção — ela a executou com a naturalidade de quem age dentro das regras do jogo que internalizou. Foi necessária uma assinatura externa — um professor de filosofia até então silencioso — para que o sistema não fechasse completamente.</w:t>
      </w:r>
    </w:p>
    <w:p>
      <w:pPr>
        <w:spacing w:before="0" w:after="120" w:line="360" w:lineRule="exact"/>
        <w:jc w:val="both"/>
      </w:pPr>
      <w:r>
        <w:rPr>
          <w:rFonts w:ascii="Times New Roman" w:hAnsi="Times New Roman"/>
          <w:b w:val="0"/>
          <w:i w:val="0"/>
          <w:sz w:val="24"/>
        </w:rPr>
        <w:t>O Haiti acrescenta uma dimensão que a contenção não previu: redistribuir forçadamente os recursos não elimina o capital excedente — desloca seus efeitos para fora do controle do campo. A escolha forçada entre passagem e estadia deveria ter reduzido o capital de mobilidade do Professor Rolando. Produziu, em vez disso, o encontro que definiria uma vida. O habitus da escassez não consegue calcular os coeficientes que escapam do campo.</w:t>
      </w:r>
    </w:p>
    <w:p>
      <w:pPr>
        <w:spacing w:before="0" w:after="120" w:line="360" w:lineRule="exact"/>
        <w:jc w:val="both"/>
      </w:pPr>
      <w:r>
        <w:rPr>
          <w:rFonts w:ascii="Times New Roman" w:hAnsi="Times New Roman"/>
          <w:b w:val="0"/>
          <w:i w:val="0"/>
          <w:sz w:val="24"/>
        </w:rPr>
        <w:t>E o aniversário em silêncio completa o quadro: quando a contenção e o deslocamento não bastam, resta a invisibilização — tecnologia de ordem que não produz mártires porque não produz evidências. Catorze anos de silêncio anual são mais eficazes que catorze anos de conflito declarado.</w:t>
      </w:r>
    </w:p>
    <w:p>
      <w:pPr>
        <w:spacing w:before="0" w:after="120" w:line="360" w:lineRule="exact"/>
        <w:jc w:val="both"/>
      </w:pPr>
      <w:r>
        <w:rPr>
          <w:rFonts w:ascii="Times New Roman" w:hAnsi="Times New Roman"/>
          <w:b w:val="0"/>
          <w:i w:val="0"/>
          <w:sz w:val="24"/>
        </w:rPr>
        <w:t>O habitus da escassez não é exclusivo do campo acadêmico. Pedro Conceição o opera quando sustenta a Vascaja com R$20,00 que não tem — não por irracionalidade econômica, mas porque a lógica da escassez ensina que o único capital que ninguém pode tomar é o de pertencer. Samara o opera quando instala a internet que o marido recusou, quando compra a moto com dinheiro de faxina, quando acompanha a filha no estágio já doente — a cada gesto, antecipando a necessidade antes que ela se transforme em crise. Quem cresceu na escassez não espera a falta. Age antes.</w:t>
      </w:r>
    </w:p>
    <w:p>
      <w:pPr>
        <w:spacing w:before="0" w:after="120" w:line="360" w:lineRule="exact"/>
        <w:jc w:val="both"/>
      </w:pPr>
      <w:r>
        <w:rPr>
          <w:rFonts w:ascii="Times New Roman" w:hAnsi="Times New Roman"/>
          <w:b w:val="0"/>
          <w:i w:val="0"/>
          <w:sz w:val="24"/>
        </w:rPr>
        <w:t>O que o campo acadêmico acrescenta é a legitimação institucional da contenção. Na roça de Samara e na moto de Pedro, a escassez é visível — todos sabem o que falta e por quê. No campo acadêmico periférico, a escassez se traveste de norma: a planilha de carga horária, a ata de reunião, o processo redirecionado à administração central. A invisibilização se naturaliza como esquecimento burocrático.</w:t>
      </w:r>
    </w:p>
    <w:p>
      <w:pPr>
        <w:spacing w:before="0" w:after="120" w:line="360" w:lineRule="exact"/>
        <w:jc w:val="both"/>
      </w:pPr>
      <w:r>
        <w:rPr>
          <w:rFonts w:ascii="Times New Roman" w:hAnsi="Times New Roman"/>
          <w:b w:val="0"/>
          <w:i w:val="0"/>
          <w:sz w:val="24"/>
        </w:rPr>
        <w:t>Esse deslocamento — da escassez visível para a escassez institucionalizada — é a contribuição analítica que o habitus da escassez oferece à sociologia dos campos periféricos. As universidades federais do interior brasileiro, criadas em grande número pelo REUNI a partir de 2007, constituem um campo de pesquisa que ainda não possui instrumentos analíticos adequados — porque esses instrumentos foram construídos a partir de campos onde a escassez se esconde melhor.</w:t>
      </w:r>
    </w:p>
    <w:p>
      <w:pPr>
        <w:spacing w:before="0" w:after="120" w:line="360" w:lineRule="exact"/>
        <w:jc w:val="both"/>
      </w:pPr>
      <w:r>
        <w:rPr>
          <w:rFonts w:ascii="Times New Roman" w:hAnsi="Times New Roman"/>
          <w:b w:val="0"/>
          <w:i w:val="0"/>
          <w:sz w:val="24"/>
        </w:rPr>
        <w:t>O invisível oferece ao campo que o ignorou exatamente isso: a legibilidade que a abundância obscurece.</w:t>
      </w:r>
    </w:p>
    <w:p>
      <w:pPr>
        <w:spacing w:before="240" w:after="120" w:line="360" w:lineRule="exact"/>
        <w:jc w:val="left"/>
      </w:pPr>
      <w:r>
        <w:rPr>
          <w:rFonts w:ascii="Times New Roman" w:hAnsi="Times New Roman"/>
          <w:b/>
          <w:i w:val="0"/>
          <w:sz w:val="24"/>
        </w:rPr>
        <w:t>7. CONCLUSÃO</w:t>
      </w:r>
    </w:p>
    <w:p>
      <w:pPr>
        <w:spacing w:before="0" w:after="120" w:line="360" w:lineRule="exact"/>
        <w:jc w:val="both"/>
      </w:pPr>
      <w:r>
        <w:rPr>
          <w:rFonts w:ascii="Times New Roman" w:hAnsi="Times New Roman"/>
          <w:b w:val="0"/>
          <w:i w:val="0"/>
          <w:sz w:val="24"/>
        </w:rPr>
        <w:t>Aquele homem no ônibus não sabia que estava descrevendo um campo acadêmico. Ele descrevia uma lógica — a mesma que adiou a EHESS, que cortou o Haiti ao meio, que silenciou catorze aniversários, que Pedro Conceição e Samara conhecem de outros ângulos e outros nomes.</w:t>
      </w:r>
    </w:p>
    <w:p>
      <w:pPr>
        <w:spacing w:before="0" w:after="120" w:line="360" w:lineRule="exact"/>
        <w:jc w:val="both"/>
      </w:pPr>
      <w:r>
        <w:rPr>
          <w:rFonts w:ascii="Times New Roman" w:hAnsi="Times New Roman"/>
          <w:b w:val="0"/>
          <w:i w:val="0"/>
          <w:sz w:val="24"/>
        </w:rPr>
        <w:t>A regra da farinha pouca não é regionalismo folclórico. É um sistema de distribuição que opera com a mesma frieza nos potes de farinha e nas atas de reunião universitária. O habitus da escassez não é uma patologia do sertão — é uma estrutura que o sertão tornou legível porque nunca teve recursos para escondê-la sob a aparência da abundância.</w:t>
      </w:r>
    </w:p>
    <w:p>
      <w:pPr>
        <w:spacing w:before="0" w:after="120" w:line="360" w:lineRule="exact"/>
        <w:jc w:val="both"/>
      </w:pPr>
      <w:r>
        <w:rPr>
          <w:rFonts w:ascii="Times New Roman" w:hAnsi="Times New Roman"/>
          <w:b w:val="0"/>
          <w:i w:val="0"/>
          <w:sz w:val="24"/>
        </w:rPr>
        <w:t>Resta uma questão que este artigo não resolve: em que medida esse habitus é específico ao Alto Sertão Paraibano, e em que medida é um padrão mais amplo dos campos acadêmicos periféricos brasileiros? A resposta exige replicação — outros casos, outras universidades do interior, outros pesquisadores que chegaram de fora com capital que o campo local não reconheceu.</w:t>
      </w:r>
    </w:p>
    <w:p>
      <w:pPr>
        <w:spacing w:before="0" w:after="120" w:line="360" w:lineRule="exact"/>
        <w:jc w:val="both"/>
      </w:pPr>
      <w:r>
        <w:rPr>
          <w:rFonts w:ascii="Times New Roman" w:hAnsi="Times New Roman"/>
          <w:b w:val="0"/>
          <w:i w:val="0"/>
          <w:sz w:val="24"/>
        </w:rPr>
        <w:t>Essa agenda está aberta. E é, ela mesma, um coeficiente que o campo da farinha pouca não havia calculado.</w:t>
      </w:r>
    </w:p>
    <w:p>
      <w:pPr>
        <w:spacing w:before="0" w:after="120" w:line="360" w:lineRule="exact"/>
        <w:jc w:val="both"/>
      </w:pPr>
      <w:r>
        <w:rPr>
          <w:rFonts w:ascii="Times New Roman" w:hAnsi="Times New Roman"/>
          <w:b w:val="0"/>
          <w:i/>
          <w:sz w:val="24"/>
        </w:rPr>
        <w:t>"Sou um estrangeiro vivendo ali"</w:t>
      </w:r>
      <w:r>
        <w:rPr>
          <w:rFonts w:ascii="Times New Roman" w:hAnsi="Times New Roman"/>
          <w:b w:val="0"/>
          <w:i w:val="0"/>
          <w:sz w:val="24"/>
        </w:rPr>
        <w:t xml:space="preserve"> — disse o Professor Rolando sobre sua relação com a instituição. É uma frase de aceitação, não de derrota. O estrangeiro que a instituição não reconheceu construiu, na margem, um programa de pesquisa sobre a dignidade dos que a cidade também não reconhece. Pedro Conceição e Samara não aparecem neste texto como ilustração de uma tese. Aparecem como o que sempre foram: sujeitos cujas estratégias de sobrevivência contêm mais teoria social do que qualquer tipologia limpa consegue capturar.</w:t>
      </w:r>
    </w:p>
    <w:p>
      <w:pPr>
        <w:spacing w:before="360" w:after="120" w:line="360" w:lineRule="exact"/>
        <w:jc w:val="left"/>
      </w:pPr>
      <w:r>
        <w:rPr>
          <w:rFonts w:ascii="Times New Roman" w:hAnsi="Times New Roman"/>
          <w:b/>
          <w:i w:val="0"/>
          <w:sz w:val="24"/>
        </w:rPr>
        <w:t>REFERÊNCIAS</w:t>
      </w:r>
    </w:p>
    <w:p>
      <w:pPr>
        <w:spacing w:before="0" w:after="80" w:line="360" w:lineRule="exact"/>
        <w:ind w:left="709" w:hanging="709"/>
        <w:jc w:val="both"/>
      </w:pPr>
      <w:r>
        <w:rPr>
          <w:rFonts w:ascii="Times New Roman" w:hAnsi="Times New Roman"/>
          <w:i w:val="0"/>
          <w:sz w:val="24"/>
        </w:rPr>
        <w:t xml:space="preserve">BOURDIEU, Pierre. </w:t>
      </w:r>
      <w:r>
        <w:rPr>
          <w:rFonts w:ascii="Times New Roman" w:hAnsi="Times New Roman"/>
          <w:i/>
          <w:sz w:val="24"/>
        </w:rPr>
        <w:t>Le sens pratique</w:t>
      </w:r>
      <w:r>
        <w:rPr>
          <w:rFonts w:ascii="Times New Roman" w:hAnsi="Times New Roman"/>
          <w:i w:val="0"/>
          <w:sz w:val="24"/>
        </w:rPr>
        <w:t>. Paris: Minuit, 1980.</w:t>
      </w:r>
    </w:p>
    <w:p>
      <w:pPr>
        <w:spacing w:before="0" w:after="80" w:line="360" w:lineRule="exact"/>
        <w:ind w:left="709" w:hanging="709"/>
        <w:jc w:val="both"/>
      </w:pPr>
      <w:r>
        <w:rPr>
          <w:rFonts w:ascii="Times New Roman" w:hAnsi="Times New Roman"/>
          <w:i w:val="0"/>
          <w:sz w:val="24"/>
        </w:rPr>
        <w:t xml:space="preserve">BOURDIEU, Pierre. </w:t>
      </w:r>
      <w:r>
        <w:rPr>
          <w:rFonts w:ascii="Times New Roman" w:hAnsi="Times New Roman"/>
          <w:i/>
          <w:sz w:val="24"/>
        </w:rPr>
        <w:t>Homo academicus</w:t>
      </w:r>
      <w:r>
        <w:rPr>
          <w:rFonts w:ascii="Times New Roman" w:hAnsi="Times New Roman"/>
          <w:i w:val="0"/>
          <w:sz w:val="24"/>
        </w:rPr>
        <w:t>. Paris: Minuit, 1984.</w:t>
      </w:r>
    </w:p>
    <w:p>
      <w:pPr>
        <w:spacing w:before="0" w:after="80" w:line="360" w:lineRule="exact"/>
        <w:ind w:left="709" w:hanging="709"/>
        <w:jc w:val="both"/>
      </w:pPr>
      <w:r>
        <w:rPr>
          <w:rFonts w:ascii="Times New Roman" w:hAnsi="Times New Roman"/>
          <w:i w:val="0"/>
          <w:sz w:val="24"/>
        </w:rPr>
        <w:t xml:space="preserve">BURAWOY, Michael. </w:t>
      </w:r>
      <w:r>
        <w:rPr>
          <w:rFonts w:ascii="Times New Roman" w:hAnsi="Times New Roman"/>
          <w:i/>
          <w:sz w:val="24"/>
        </w:rPr>
        <w:t>The extended case method: four countries, four decades, four great transformations, and one theoretical tradition</w:t>
      </w:r>
      <w:r>
        <w:rPr>
          <w:rFonts w:ascii="Times New Roman" w:hAnsi="Times New Roman"/>
          <w:i w:val="0"/>
          <w:sz w:val="24"/>
        </w:rPr>
        <w:t>. Berkeley: University of California Press, 2009.</w:t>
      </w:r>
    </w:p>
    <w:p>
      <w:pPr>
        <w:spacing w:before="0" w:after="80" w:line="360" w:lineRule="exact"/>
        <w:ind w:left="709" w:hanging="709"/>
        <w:jc w:val="both"/>
      </w:pPr>
      <w:r>
        <w:rPr>
          <w:rFonts w:ascii="Times New Roman" w:hAnsi="Times New Roman"/>
          <w:i w:val="0"/>
          <w:sz w:val="24"/>
        </w:rPr>
        <w:t xml:space="preserve">GONZAGUINHA. Guerreiro Menino. In: </w:t>
      </w:r>
      <w:r>
        <w:rPr>
          <w:rFonts w:ascii="Times New Roman" w:hAnsi="Times New Roman"/>
          <w:i/>
          <w:sz w:val="24"/>
        </w:rPr>
        <w:t>Caminhos do Coração</w:t>
      </w:r>
      <w:r>
        <w:rPr>
          <w:rFonts w:ascii="Times New Roman" w:hAnsi="Times New Roman"/>
          <w:i w:val="0"/>
          <w:sz w:val="24"/>
        </w:rPr>
        <w:t>. EMI, 1982.</w:t>
      </w:r>
    </w:p>
    <w:p>
      <w:pPr>
        <w:spacing w:before="0" w:after="80" w:line="360" w:lineRule="exact"/>
        <w:ind w:left="709" w:hanging="709"/>
        <w:jc w:val="both"/>
      </w:pPr>
      <w:r>
        <w:rPr>
          <w:rFonts w:ascii="Times New Roman" w:hAnsi="Times New Roman"/>
          <w:i w:val="0"/>
          <w:sz w:val="24"/>
        </w:rPr>
        <w:t xml:space="preserve">HONNETH, Axel. </w:t>
      </w:r>
      <w:r>
        <w:rPr>
          <w:rFonts w:ascii="Times New Roman" w:hAnsi="Times New Roman"/>
          <w:i/>
          <w:sz w:val="24"/>
        </w:rPr>
        <w:t>Kampf um Anerkennung</w:t>
      </w:r>
      <w:r>
        <w:rPr>
          <w:rFonts w:ascii="Times New Roman" w:hAnsi="Times New Roman"/>
          <w:i w:val="0"/>
          <w:sz w:val="24"/>
        </w:rPr>
        <w:t xml:space="preserve">. Frankfurt: Suhrkamp, 1992. [Edição brasileira: </w:t>
      </w:r>
      <w:r>
        <w:rPr>
          <w:rFonts w:ascii="Times New Roman" w:hAnsi="Times New Roman"/>
          <w:i/>
          <w:sz w:val="24"/>
        </w:rPr>
        <w:t>Luta por reconhecimento</w:t>
      </w:r>
      <w:r>
        <w:rPr>
          <w:rFonts w:ascii="Times New Roman" w:hAnsi="Times New Roman"/>
          <w:i w:val="0"/>
          <w:sz w:val="24"/>
        </w:rPr>
        <w:t>. São Paulo: Ed. 34, 2003.]</w:t>
      </w:r>
    </w:p>
    <w:p>
      <w:pPr>
        <w:spacing w:before="0" w:after="80" w:line="360" w:lineRule="exact"/>
        <w:ind w:left="709" w:hanging="709"/>
        <w:jc w:val="both"/>
      </w:pPr>
      <w:r>
        <w:rPr>
          <w:rFonts w:ascii="Times New Roman" w:hAnsi="Times New Roman"/>
          <w:i w:val="0"/>
          <w:sz w:val="24"/>
        </w:rPr>
        <w:t xml:space="preserve">KERGOAT, Danièle. Divisão sexual do trabalho e relações sociais de sexo. In: HIRATA, Helena et al. (orgs.). </w:t>
      </w:r>
      <w:r>
        <w:rPr>
          <w:rFonts w:ascii="Times New Roman" w:hAnsi="Times New Roman"/>
          <w:i/>
          <w:sz w:val="24"/>
        </w:rPr>
        <w:t>Dicionário crítico do feminismo</w:t>
      </w:r>
      <w:r>
        <w:rPr>
          <w:rFonts w:ascii="Times New Roman" w:hAnsi="Times New Roman"/>
          <w:i w:val="0"/>
          <w:sz w:val="24"/>
        </w:rPr>
        <w:t>. São Paulo: Editora UNESP, 2009.</w:t>
      </w:r>
    </w:p>
    <w:p>
      <w:pPr>
        <w:spacing w:before="0" w:after="80" w:line="360" w:lineRule="exact"/>
        <w:ind w:left="709" w:hanging="709"/>
        <w:jc w:val="both"/>
      </w:pPr>
      <w:r>
        <w:rPr>
          <w:rFonts w:ascii="Times New Roman" w:hAnsi="Times New Roman"/>
          <w:i w:val="0"/>
          <w:sz w:val="24"/>
        </w:rPr>
        <w:t xml:space="preserve">WACQUANT, Loïc. </w:t>
      </w:r>
      <w:r>
        <w:rPr>
          <w:rFonts w:ascii="Times New Roman" w:hAnsi="Times New Roman"/>
          <w:i/>
          <w:sz w:val="24"/>
        </w:rPr>
        <w:t>Corps et âme</w:t>
      </w:r>
      <w:r>
        <w:rPr>
          <w:rFonts w:ascii="Times New Roman" w:hAnsi="Times New Roman"/>
          <w:i w:val="0"/>
          <w:sz w:val="24"/>
        </w:rPr>
        <w:t>: carnets ethnographiques d'un apprenti boxeur. Marseille: Agone, 2002.</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