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Herramientas y Tecnologías Utilizadas — MedFlow HIS</w:t>
      </w:r>
    </w:p>
    <w:p/>
    <w:p>
      <w:pPr>
        <w:pStyle w:val="Heading2"/>
      </w:pPr>
      <w:r>
        <w:t>1. Backend</w:t>
      </w:r>
    </w:p>
    <w:p>
      <w:pPr>
        <w:pStyle w:val="Heading3"/>
      </w:pPr>
      <w:r>
        <w:t>Lenguaje y plataforma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17 (LTS)</w:t>
            </w:r>
          </w:p>
        </w:tc>
        <w:tc>
          <w:tcPr>
            <w:tcW w:type="dxa" w:w="2880"/>
          </w:tcPr>
          <w:p>
            <w:r>
              <w:t>Lenguaje principal de todos los microservicios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Gestor de dependencias y construcción</w:t>
            </w:r>
          </w:p>
        </w:tc>
      </w:tr>
    </w:tbl>
    <w:p/>
    <w:p>
      <w:pPr>
        <w:pStyle w:val="Heading3"/>
      </w:pPr>
      <w:r>
        <w:t>Framework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3.2.4</w:t>
            </w:r>
          </w:p>
        </w:tc>
        <w:tc>
          <w:tcPr>
            <w:tcW w:type="dxa" w:w="2880"/>
          </w:tcPr>
          <w:p>
            <w:r>
              <w:t>Framework base de cada microservicio</w:t>
            </w:r>
          </w:p>
        </w:tc>
      </w:tr>
      <w:tr>
        <w:tc>
          <w:tcPr>
            <w:tcW w:type="dxa" w:w="2880"/>
          </w:tcPr>
          <w:p>
            <w:r>
              <w:t>Spring Web (MVC)</w:t>
            </w:r>
          </w:p>
        </w:tc>
        <w:tc>
          <w:tcPr>
            <w:tcW w:type="dxa" w:w="2880"/>
          </w:tcPr>
          <w:p>
            <w:r>
              <w:t>3.2.4</w:t>
            </w:r>
          </w:p>
        </w:tc>
        <w:tc>
          <w:tcPr>
            <w:tcW w:type="dxa" w:w="2880"/>
          </w:tcPr>
          <w:p>
            <w:r>
              <w:t>Controladores REST</w:t>
            </w:r>
          </w:p>
        </w:tc>
      </w:tr>
      <w:tr>
        <w:tc>
          <w:tcPr>
            <w:tcW w:type="dxa" w:w="2880"/>
          </w:tcPr>
          <w:p>
            <w:r>
              <w:t>Spring Data JPA</w:t>
            </w:r>
          </w:p>
        </w:tc>
        <w:tc>
          <w:tcPr>
            <w:tcW w:type="dxa" w:w="2880"/>
          </w:tcPr>
          <w:p>
            <w:r>
              <w:t>3.2.4</w:t>
            </w:r>
          </w:p>
        </w:tc>
        <w:tc>
          <w:tcPr>
            <w:tcW w:type="dxa" w:w="2880"/>
          </w:tcPr>
          <w:p>
            <w:r>
              <w:t>Acceso a datos con repositorios</w:t>
            </w:r>
          </w:p>
        </w:tc>
      </w:tr>
      <w:tr>
        <w:tc>
          <w:tcPr>
            <w:tcW w:type="dxa" w:w="2880"/>
          </w:tcPr>
          <w:p>
            <w:r>
              <w:t>Spring Security</w:t>
            </w:r>
          </w:p>
        </w:tc>
        <w:tc>
          <w:tcPr>
            <w:tcW w:type="dxa" w:w="2880"/>
          </w:tcPr>
          <w:p>
            <w:r>
              <w:t>3.2.4</w:t>
            </w:r>
          </w:p>
        </w:tc>
        <w:tc>
          <w:tcPr>
            <w:tcW w:type="dxa" w:w="2880"/>
          </w:tcPr>
          <w:p>
            <w:r>
              <w:t>Autenticación y autorización RBAC</w:t>
            </w:r>
          </w:p>
        </w:tc>
      </w:tr>
      <w:tr>
        <w:tc>
          <w:tcPr>
            <w:tcW w:type="dxa" w:w="2880"/>
          </w:tcPr>
          <w:p>
            <w:r>
              <w:t>Spring Validation</w:t>
            </w:r>
          </w:p>
        </w:tc>
        <w:tc>
          <w:tcPr>
            <w:tcW w:type="dxa" w:w="2880"/>
          </w:tcPr>
          <w:p>
            <w:r>
              <w:t>3.2.4</w:t>
            </w:r>
          </w:p>
        </w:tc>
        <w:tc>
          <w:tcPr>
            <w:tcW w:type="dxa" w:w="2880"/>
          </w:tcPr>
          <w:p>
            <w:r>
              <w:t>Validación de DTOs con anotaciones Jakarta</w:t>
            </w:r>
          </w:p>
        </w:tc>
      </w:tr>
      <w:tr>
        <w:tc>
          <w:tcPr>
            <w:tcW w:type="dxa" w:w="2880"/>
          </w:tcPr>
          <w:p>
            <w:r>
              <w:t>Spring Actuator</w:t>
            </w:r>
          </w:p>
        </w:tc>
        <w:tc>
          <w:tcPr>
            <w:tcW w:type="dxa" w:w="2880"/>
          </w:tcPr>
          <w:p>
            <w:r>
              <w:t>3.2.4</w:t>
            </w:r>
          </w:p>
        </w:tc>
        <w:tc>
          <w:tcPr>
            <w:tcW w:type="dxa" w:w="2880"/>
          </w:tcPr>
          <w:p>
            <w:r>
              <w:t>Health checks y métricas de cada servicio</w:t>
            </w:r>
          </w:p>
        </w:tc>
      </w:tr>
      <w:tr>
        <w:tc>
          <w:tcPr>
            <w:tcW w:type="dxa" w:w="2880"/>
          </w:tcPr>
          <w:p>
            <w:r>
              <w:t>Spring Mail</w:t>
            </w:r>
          </w:p>
        </w:tc>
        <w:tc>
          <w:tcPr>
            <w:tcW w:type="dxa" w:w="2880"/>
          </w:tcPr>
          <w:p>
            <w:r>
              <w:t>3.2.4</w:t>
            </w:r>
          </w:p>
        </w:tc>
        <w:tc>
          <w:tcPr>
            <w:tcW w:type="dxa" w:w="2880"/>
          </w:tcPr>
          <w:p>
            <w:r>
              <w:t>Envío de correos de activación y contraseñas temporales</w:t>
            </w:r>
          </w:p>
        </w:tc>
      </w:tr>
    </w:tbl>
    <w:p/>
    <w:p>
      <w:pPr>
        <w:pStyle w:val="Heading3"/>
      </w:pPr>
      <w:r>
        <w:t>Spring Cloud (Infraestructura de microservicios)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Spring Cloud</w:t>
            </w:r>
          </w:p>
        </w:tc>
        <w:tc>
          <w:tcPr>
            <w:tcW w:type="dxa" w:w="2880"/>
          </w:tcPr>
          <w:p>
            <w:r>
              <w:t>2023.0.1</w:t>
            </w:r>
          </w:p>
        </w:tc>
        <w:tc>
          <w:tcPr>
            <w:tcW w:type="dxa" w:w="2880"/>
          </w:tcPr>
          <w:p>
            <w:r>
              <w:t>Suite de herramientas para microservicios</w:t>
            </w:r>
          </w:p>
        </w:tc>
      </w:tr>
      <w:tr>
        <w:tc>
          <w:tcPr>
            <w:tcW w:type="dxa" w:w="2880"/>
          </w:tcPr>
          <w:p>
            <w:r>
              <w:t>Netflix Eureka Server</w:t>
            </w:r>
          </w:p>
        </w:tc>
        <w:tc>
          <w:tcPr>
            <w:tcW w:type="dxa" w:w="2880"/>
          </w:tcPr>
          <w:p>
            <w:r>
              <w:t>2023.0.1</w:t>
            </w:r>
          </w:p>
        </w:tc>
        <w:tc>
          <w:tcPr>
            <w:tcW w:type="dxa" w:w="2880"/>
          </w:tcPr>
          <w:p>
            <w:r>
              <w:t>Registro y descubrimiento de servicios</w:t>
            </w:r>
          </w:p>
        </w:tc>
      </w:tr>
      <w:tr>
        <w:tc>
          <w:tcPr>
            <w:tcW w:type="dxa" w:w="2880"/>
          </w:tcPr>
          <w:p>
            <w:r>
              <w:t>Netflix Eureka Client</w:t>
            </w:r>
          </w:p>
        </w:tc>
        <w:tc>
          <w:tcPr>
            <w:tcW w:type="dxa" w:w="2880"/>
          </w:tcPr>
          <w:p>
            <w:r>
              <w:t>2023.0.1</w:t>
            </w:r>
          </w:p>
        </w:tc>
        <w:tc>
          <w:tcPr>
            <w:tcW w:type="dxa" w:w="2880"/>
          </w:tcPr>
          <w:p>
            <w:r>
              <w:t>Registro automático de cada microservicio</w:t>
            </w:r>
          </w:p>
        </w:tc>
      </w:tr>
      <w:tr>
        <w:tc>
          <w:tcPr>
            <w:tcW w:type="dxa" w:w="2880"/>
          </w:tcPr>
          <w:p>
            <w:r>
              <w:t>Spring Cloud Gateway</w:t>
            </w:r>
          </w:p>
        </w:tc>
        <w:tc>
          <w:tcPr>
            <w:tcW w:type="dxa" w:w="2880"/>
          </w:tcPr>
          <w:p>
            <w:r>
              <w:t>2023.0.1</w:t>
            </w:r>
          </w:p>
        </w:tc>
        <w:tc>
          <w:tcPr>
            <w:tcW w:type="dxa" w:w="2880"/>
          </w:tcPr>
          <w:p>
            <w:r>
              <w:t>API Gateway — punto de entrada único (puerto 8080)</w:t>
            </w:r>
          </w:p>
        </w:tc>
      </w:tr>
    </w:tbl>
    <w:p/>
    <w:p>
      <w:pPr>
        <w:pStyle w:val="Heading3"/>
      </w:pPr>
      <w:r>
        <w:t>Persistencia y caché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15 (Alpine)</w:t>
            </w:r>
          </w:p>
        </w:tc>
        <w:tc>
          <w:tcPr>
            <w:tcW w:type="dxa" w:w="2880"/>
          </w:tcPr>
          <w:p>
            <w:r>
              <w:t>Base de datos relacional — schema por servicio</w:t>
            </w:r>
          </w:p>
        </w:tc>
      </w:tr>
      <w:tr>
        <w:tc>
          <w:tcPr>
            <w:tcW w:type="dxa" w:w="2880"/>
          </w:tcPr>
          <w:p>
            <w:r>
              <w:t>Flyway</w:t>
            </w:r>
          </w:p>
        </w:tc>
        <w:tc>
          <w:tcPr>
            <w:tcW w:type="dxa" w:w="2880"/>
          </w:tcPr>
          <w:p>
            <w:r>
              <w:t>10.x</w:t>
            </w:r>
          </w:p>
        </w:tc>
        <w:tc>
          <w:tcPr>
            <w:tcW w:type="dxa" w:w="2880"/>
          </w:tcPr>
          <w:p>
            <w:r>
              <w:t>Migraciones de base de datos versionadas</w:t>
            </w:r>
          </w:p>
        </w:tc>
      </w:tr>
      <w:tr>
        <w:tc>
          <w:tcPr>
            <w:tcW w:type="dxa" w:w="2880"/>
          </w:tcPr>
          <w:p>
            <w:r>
              <w:t>Hibernate</w:t>
            </w:r>
          </w:p>
        </w:tc>
        <w:tc>
          <w:tcPr>
            <w:tcW w:type="dxa" w:w="2880"/>
          </w:tcPr>
          <w:p>
            <w:r>
              <w:t>(incluido en JPA)</w:t>
            </w:r>
          </w:p>
        </w:tc>
        <w:tc>
          <w:tcPr>
            <w:tcW w:type="dxa" w:w="2880"/>
          </w:tcPr>
          <w:p>
            <w:r>
              <w:t>ORM — mapeo objeto-relacional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7 (Alpine)</w:t>
            </w:r>
          </w:p>
        </w:tc>
        <w:tc>
          <w:tcPr>
            <w:tcW w:type="dxa" w:w="2880"/>
          </w:tcPr>
          <w:p>
            <w:r>
              <w:t>Caché de slots de citas en clinical-service</w:t>
            </w:r>
          </w:p>
        </w:tc>
      </w:tr>
      <w:tr>
        <w:tc>
          <w:tcPr>
            <w:tcW w:type="dxa" w:w="2880"/>
          </w:tcPr>
          <w:p>
            <w:r>
              <w:t>Spring Data Redis</w:t>
            </w:r>
          </w:p>
        </w:tc>
        <w:tc>
          <w:tcPr>
            <w:tcW w:type="dxa" w:w="2880"/>
          </w:tcPr>
          <w:p>
            <w:r>
              <w:t>3.2.4</w:t>
            </w:r>
          </w:p>
        </w:tc>
        <w:tc>
          <w:tcPr>
            <w:tcW w:type="dxa" w:w="2880"/>
          </w:tcPr>
          <w:p>
            <w:r>
              <w:t>Integración de Redis con Spring</w:t>
            </w:r>
          </w:p>
        </w:tc>
      </w:tr>
    </w:tbl>
    <w:p/>
    <w:p>
      <w:pPr>
        <w:pStyle w:val="Heading3"/>
      </w:pPr>
      <w:r>
        <w:t>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JJWT (io.jsonwebtoken)</w:t>
            </w:r>
          </w:p>
        </w:tc>
        <w:tc>
          <w:tcPr>
            <w:tcW w:type="dxa" w:w="2880"/>
          </w:tcPr>
          <w:p>
            <w:r>
              <w:t>0.11.5</w:t>
            </w:r>
          </w:p>
        </w:tc>
        <w:tc>
          <w:tcPr>
            <w:tcW w:type="dxa" w:w="2880"/>
          </w:tcPr>
          <w:p>
            <w:r>
              <w:t>Generación y validación de tokens JWT stateless</w:t>
            </w:r>
          </w:p>
        </w:tc>
      </w:tr>
    </w:tbl>
    <w:p/>
    <w:p>
      <w:pPr>
        <w:pStyle w:val="Heading3"/>
      </w:pPr>
      <w:r>
        <w:t>Utilidades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Lombok</w:t>
            </w:r>
          </w:p>
        </w:tc>
        <w:tc>
          <w:tcPr>
            <w:tcW w:type="dxa" w:w="2880"/>
          </w:tcPr>
          <w:p>
            <w:r>
              <w:t>1.18.x</w:t>
            </w:r>
          </w:p>
        </w:tc>
        <w:tc>
          <w:tcPr>
            <w:tcW w:type="dxa" w:w="2880"/>
          </w:tcPr>
          <w:p>
            <w:r>
              <w:t>Reducción de boilerplate (getters, constructores, builders)</w:t>
            </w:r>
          </w:p>
        </w:tc>
      </w:tr>
      <w:tr>
        <w:tc>
          <w:tcPr>
            <w:tcW w:type="dxa" w:w="2880"/>
          </w:tcPr>
          <w:p>
            <w:r>
              <w:t>Jackson</w:t>
            </w:r>
          </w:p>
        </w:tc>
        <w:tc>
          <w:tcPr>
            <w:tcW w:type="dxa" w:w="2880"/>
          </w:tcPr>
          <w:p>
            <w:r>
              <w:t>(incluido en Spring)</w:t>
            </w:r>
          </w:p>
        </w:tc>
        <w:tc>
          <w:tcPr>
            <w:tcW w:type="dxa" w:w="2880"/>
          </w:tcPr>
          <w:p>
            <w:r>
              <w:t>Serialización/deserialización JSON</w:t>
            </w:r>
          </w:p>
        </w:tc>
      </w:tr>
    </w:tbl>
    <w:p/>
    <w:p>
      <w:pPr>
        <w:pStyle w:val="Heading3"/>
      </w:pPr>
      <w:r>
        <w:t>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JUnit 5</w:t>
            </w:r>
          </w:p>
        </w:tc>
        <w:tc>
          <w:tcPr>
            <w:tcW w:type="dxa" w:w="2880"/>
          </w:tcPr>
          <w:p>
            <w:r>
              <w:t>(incluido en Spring Boot Test)</w:t>
            </w:r>
          </w:p>
        </w:tc>
        <w:tc>
          <w:tcPr>
            <w:tcW w:type="dxa" w:w="2880"/>
          </w:tcPr>
          <w:p>
            <w:r>
              <w:t>Framework de pruebas unitarias</w:t>
            </w:r>
          </w:p>
        </w:tc>
      </w:tr>
      <w:tr>
        <w:tc>
          <w:tcPr>
            <w:tcW w:type="dxa" w:w="2880"/>
          </w:tcPr>
          <w:p>
            <w:r>
              <w:t>Mockito</w:t>
            </w:r>
          </w:p>
        </w:tc>
        <w:tc>
          <w:tcPr>
            <w:tcW w:type="dxa" w:w="2880"/>
          </w:tcPr>
          <w:p>
            <w:r>
              <w:t>(incluido en Spring Boot Test)</w:t>
            </w:r>
          </w:p>
        </w:tc>
        <w:tc>
          <w:tcPr>
            <w:tcW w:type="dxa" w:w="2880"/>
          </w:tcPr>
          <w:p>
            <w:r>
              <w:t>Mocking para pruebas unitarias</w:t>
            </w:r>
          </w:p>
        </w:tc>
      </w:tr>
      <w:tr>
        <w:tc>
          <w:tcPr>
            <w:tcW w:type="dxa" w:w="2880"/>
          </w:tcPr>
          <w:p>
            <w:r>
              <w:t>Testcontainers</w:t>
            </w:r>
          </w:p>
        </w:tc>
        <w:tc>
          <w:tcPr>
            <w:tcW w:type="dxa" w:w="2880"/>
          </w:tcPr>
          <w:p>
            <w:r>
              <w:t>1.19.7</w:t>
            </w:r>
          </w:p>
        </w:tc>
        <w:tc>
          <w:tcPr>
            <w:tcW w:type="dxa" w:w="2880"/>
          </w:tcPr>
          <w:p>
            <w:r>
              <w:t>Pruebas de integración con contenedores reales</w:t>
            </w:r>
          </w:p>
        </w:tc>
      </w:tr>
      <w:tr>
        <w:tc>
          <w:tcPr>
            <w:tcW w:type="dxa" w:w="2880"/>
          </w:tcPr>
          <w:p>
            <w:r>
              <w:t>Testcontainers Redis</w:t>
            </w:r>
          </w:p>
        </w:tc>
        <w:tc>
          <w:tcPr>
            <w:tcW w:type="dxa" w:w="2880"/>
          </w:tcPr>
          <w:p>
            <w:r>
              <w:t>1.19.7</w:t>
            </w:r>
          </w:p>
        </w:tc>
        <w:tc>
          <w:tcPr>
            <w:tcW w:type="dxa" w:w="2880"/>
          </w:tcPr>
          <w:p>
            <w:r>
              <w:t>Contenedor Redis para pruebas de integración</w:t>
            </w:r>
          </w:p>
        </w:tc>
      </w:tr>
    </w:tbl>
    <w:p/>
    <w:p>
      <w:pPr>
        <w:pStyle w:val="Heading2"/>
      </w:pPr>
      <w:r>
        <w:t>2. Frontend</w:t>
      </w:r>
    </w:p>
    <w:p>
      <w:pPr>
        <w:pStyle w:val="Heading3"/>
      </w:pPr>
      <w:r>
        <w:t>Lenguaje y entorno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JavaScript (ES2022+)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Lenguaje principal del frontend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LTS</w:t>
            </w:r>
          </w:p>
        </w:tc>
        <w:tc>
          <w:tcPr>
            <w:tcW w:type="dxa" w:w="2880"/>
          </w:tcPr>
          <w:p>
            <w:r>
              <w:t>Entorno de ejecución para desarrollo</w:t>
            </w:r>
          </w:p>
        </w:tc>
      </w:tr>
    </w:tbl>
    <w:p/>
    <w:p>
      <w:pPr>
        <w:pStyle w:val="Heading3"/>
      </w:pPr>
      <w:r>
        <w:t>Framework y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19.2.0</w:t>
            </w:r>
          </w:p>
        </w:tc>
        <w:tc>
          <w:tcPr>
            <w:tcW w:type="dxa" w:w="2880"/>
          </w:tcPr>
          <w:p>
            <w:r>
              <w:t>Framework UI basado en componentes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7.3.1</w:t>
            </w:r>
          </w:p>
        </w:tc>
        <w:tc>
          <w:tcPr>
            <w:tcW w:type="dxa" w:w="2880"/>
          </w:tcPr>
          <w:p>
            <w:r>
              <w:t>Herramienta de build y servidor de desarrollo</w:t>
            </w:r>
          </w:p>
        </w:tc>
      </w:tr>
      <w:tr>
        <w:tc>
          <w:tcPr>
            <w:tcW w:type="dxa" w:w="2880"/>
          </w:tcPr>
          <w:p>
            <w:r>
              <w:t>React Router DOM</w:t>
            </w:r>
          </w:p>
        </w:tc>
        <w:tc>
          <w:tcPr>
            <w:tcW w:type="dxa" w:w="2880"/>
          </w:tcPr>
          <w:p>
            <w:r>
              <w:t>7.13.1</w:t>
            </w:r>
          </w:p>
        </w:tc>
        <w:tc>
          <w:tcPr>
            <w:tcW w:type="dxa" w:w="2880"/>
          </w:tcPr>
          <w:p>
            <w:r>
              <w:t>Enrutamiento del lado del cliente (SPA)</w:t>
            </w:r>
          </w:p>
        </w:tc>
      </w:tr>
    </w:tbl>
    <w:p/>
    <w:p>
      <w:pPr>
        <w:pStyle w:val="Heading3"/>
      </w:pPr>
      <w:r>
        <w:t>Estilos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3.4.1</w:t>
            </w:r>
          </w:p>
        </w:tc>
        <w:tc>
          <w:tcPr>
            <w:tcW w:type="dxa" w:w="2880"/>
          </w:tcPr>
          <w:p>
            <w:r>
              <w:t>Framework de estilos utilitario (utility-first)</w:t>
            </w:r>
          </w:p>
        </w:tc>
      </w:tr>
    </w:tbl>
    <w:p/>
    <w:p>
      <w:pPr>
        <w:pStyle w:val="Heading3"/>
      </w:pPr>
      <w:r>
        <w:t>HTTP y comunicación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1.13.6</w:t>
            </w:r>
          </w:p>
        </w:tc>
        <w:tc>
          <w:tcPr>
            <w:tcW w:type="dxa" w:w="2880"/>
          </w:tcPr>
          <w:p>
            <w:r>
              <w:t>Cliente HTTP para llamadas al API Gateway</w:t>
            </w:r>
          </w:p>
        </w:tc>
      </w:tr>
    </w:tbl>
    <w:p/>
    <w:p>
      <w:pPr>
        <w:pStyle w:val="Heading3"/>
      </w:pPr>
      <w:r>
        <w:t>UI /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SweetAlert2</w:t>
            </w:r>
          </w:p>
        </w:tc>
        <w:tc>
          <w:tcPr>
            <w:tcW w:type="dxa" w:w="2880"/>
          </w:tcPr>
          <w:p>
            <w:r>
              <w:t>11.26.24</w:t>
            </w:r>
          </w:p>
        </w:tc>
        <w:tc>
          <w:tcPr>
            <w:tcW w:type="dxa" w:w="2880"/>
          </w:tcPr>
          <w:p>
            <w:r>
              <w:t>Alertas y modales de confirmación</w:t>
            </w:r>
          </w:p>
        </w:tc>
      </w:tr>
      <w:tr>
        <w:tc>
          <w:tcPr>
            <w:tcW w:type="dxa" w:w="2880"/>
          </w:tcPr>
          <w:p>
            <w:r>
              <w:t>Web Speech API</w:t>
            </w:r>
          </w:p>
        </w:tc>
        <w:tc>
          <w:tcPr>
            <w:tcW w:type="dxa" w:w="2880"/>
          </w:tcPr>
          <w:p>
            <w:r>
              <w:t>(nativa del navegador)</w:t>
            </w:r>
          </w:p>
        </w:tc>
        <w:tc>
          <w:tcPr>
            <w:tcW w:type="dxa" w:w="2880"/>
          </w:tcPr>
          <w:p>
            <w:r>
              <w:t>Llamado por voz al paciente en farmacia</w:t>
            </w:r>
          </w:p>
        </w:tc>
      </w:tr>
    </w:tbl>
    <w:p/>
    <w:p>
      <w:pPr>
        <w:pStyle w:val="Heading2"/>
      </w:pPr>
      <w:r>
        <w:t>3. Infraestructura y DevOps</w:t>
      </w:r>
    </w:p>
    <w:p>
      <w:pPr>
        <w:pStyle w:val="Heading3"/>
      </w:pPr>
      <w:r>
        <w:t>Contenerización y orquestación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24.x+</w:t>
            </w:r>
          </w:p>
        </w:tc>
        <w:tc>
          <w:tcPr>
            <w:tcW w:type="dxa" w:w="2880"/>
          </w:tcPr>
          <w:p>
            <w:r>
              <w:t>Empaquetado de cada servicio en contenedores</w:t>
            </w:r>
          </w:p>
        </w:tc>
      </w:tr>
      <w:tr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Orquestación de todos los servicios en desarrollo</w:t>
            </w:r>
          </w:p>
        </w:tc>
      </w:tr>
    </w:tbl>
    <w:p/>
    <w:p>
      <w:pPr>
        <w:pStyle w:val="Heading3"/>
      </w:pPr>
      <w: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Control de versiones del código fuente</w:t>
            </w:r>
          </w:p>
        </w:tc>
      </w:tr>
      <w:tr>
        <w:tc>
          <w:tcPr>
            <w:tcW w:type="dxa" w:w="2880"/>
          </w:tcPr>
          <w:p>
            <w:r>
              <w:t>Git Flow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Estrategia de ramas (main, develop, feature/*, hotfix/*)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Repositorio remoto y colaboración</w:t>
            </w:r>
          </w:p>
        </w:tc>
      </w:tr>
    </w:tbl>
    <w:p/>
    <w:p>
      <w:pPr>
        <w:pStyle w:val="Heading2"/>
      </w:pPr>
      <w:r>
        <w:t>4. Arquitectura de microservicios</w:t>
      </w:r>
    </w:p>
    <w:p>
      <w:pPr>
        <w:pStyle w:val="Heading3"/>
      </w:pPr>
      <w:r>
        <w:t>Servicios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Puerto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Patrón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160"/>
          </w:tcPr>
          <w:p>
            <w:r>
              <w:t>eureka-server</w:t>
            </w:r>
          </w:p>
        </w:tc>
        <w:tc>
          <w:tcPr>
            <w:tcW w:type="dxa" w:w="2160"/>
          </w:tcPr>
          <w:p>
            <w:r>
              <w:t>8761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Registro y descubrimiento de servicios</w:t>
            </w:r>
          </w:p>
        </w:tc>
      </w:tr>
      <w:tr>
        <w:tc>
          <w:tcPr>
            <w:tcW w:type="dxa" w:w="2160"/>
          </w:tcPr>
          <w:p>
            <w:r>
              <w:t>api-gateway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Enrutamiento, autenticación JWT centralizada</w:t>
            </w:r>
          </w:p>
        </w:tc>
      </w:tr>
      <w:tr>
        <w:tc>
          <w:tcPr>
            <w:tcW w:type="dxa" w:w="2160"/>
          </w:tcPr>
          <w:p>
            <w:r>
              <w:t>auth-service</w:t>
            </w:r>
          </w:p>
        </w:tc>
        <w:tc>
          <w:tcPr>
            <w:tcW w:type="dxa" w:w="2160"/>
          </w:tcPr>
          <w:p>
            <w:r>
              <w:t>8081</w:t>
            </w:r>
          </w:p>
        </w:tc>
        <w:tc>
          <w:tcPr>
            <w:tcW w:type="dxa" w:w="2160"/>
          </w:tcPr>
          <w:p>
            <w:r>
              <w:t>MVC</w:t>
            </w:r>
          </w:p>
        </w:tc>
        <w:tc>
          <w:tcPr>
            <w:tcW w:type="dxa" w:w="2160"/>
          </w:tcPr>
          <w:p>
            <w:r>
              <w:t>Usuarios, roles, JWT, activación por email</w:t>
            </w:r>
          </w:p>
        </w:tc>
      </w:tr>
      <w:tr>
        <w:tc>
          <w:tcPr>
            <w:tcW w:type="dxa" w:w="2160"/>
          </w:tcPr>
          <w:p>
            <w:r>
              <w:t>patient-service</w:t>
            </w:r>
          </w:p>
        </w:tc>
        <w:tc>
          <w:tcPr>
            <w:tcW w:type="dxa" w:w="2160"/>
          </w:tcPr>
          <w:p>
            <w:r>
              <w:t>8082</w:t>
            </w:r>
          </w:p>
        </w:tc>
        <w:tc>
          <w:tcPr>
            <w:tcW w:type="dxa" w:w="2160"/>
          </w:tcPr>
          <w:p>
            <w:r>
              <w:t>MVC</w:t>
            </w:r>
          </w:p>
        </w:tc>
        <w:tc>
          <w:tcPr>
            <w:tcW w:type="dxa" w:w="2160"/>
          </w:tcPr>
          <w:p>
            <w:r>
              <w:t>Registro y gestión de pacientes</w:t>
            </w:r>
          </w:p>
        </w:tc>
      </w:tr>
      <w:tr>
        <w:tc>
          <w:tcPr>
            <w:tcW w:type="dxa" w:w="2160"/>
          </w:tcPr>
          <w:p>
            <w:r>
              <w:t>clinical-service</w:t>
            </w:r>
          </w:p>
        </w:tc>
        <w:tc>
          <w:tcPr>
            <w:tcW w:type="dxa" w:w="2160"/>
          </w:tcPr>
          <w:p>
            <w:r>
              <w:t>8083</w:t>
            </w:r>
          </w:p>
        </w:tc>
        <w:tc>
          <w:tcPr>
            <w:tcW w:type="dxa" w:w="2160"/>
          </w:tcPr>
          <w:p>
            <w:r>
              <w:t>Hexagonal</w:t>
            </w:r>
          </w:p>
        </w:tc>
        <w:tc>
          <w:tcPr>
            <w:tcW w:type="dxa" w:w="2160"/>
          </w:tcPr>
          <w:p>
            <w:r>
              <w:t>Citas, triaje Manchester, consulta médica, prescripciones</w:t>
            </w:r>
          </w:p>
        </w:tc>
      </w:tr>
      <w:tr>
        <w:tc>
          <w:tcPr>
            <w:tcW w:type="dxa" w:w="2160"/>
          </w:tcPr>
          <w:p>
            <w:r>
              <w:t>lab-service</w:t>
            </w:r>
          </w:p>
        </w:tc>
        <w:tc>
          <w:tcPr>
            <w:tcW w:type="dxa" w:w="2160"/>
          </w:tcPr>
          <w:p>
            <w:r>
              <w:t>8084</w:t>
            </w:r>
          </w:p>
        </w:tc>
        <w:tc>
          <w:tcPr>
            <w:tcW w:type="dxa" w:w="2160"/>
          </w:tcPr>
          <w:p>
            <w:r>
              <w:t>MVC</w:t>
            </w:r>
          </w:p>
        </w:tc>
        <w:tc>
          <w:tcPr>
            <w:tcW w:type="dxa" w:w="2160"/>
          </w:tcPr>
          <w:p>
            <w:r>
              <w:t>Órdenes de laboratorio, resultados, exámenes</w:t>
            </w:r>
          </w:p>
        </w:tc>
      </w:tr>
      <w:tr>
        <w:tc>
          <w:tcPr>
            <w:tcW w:type="dxa" w:w="2160"/>
          </w:tcPr>
          <w:p>
            <w:r>
              <w:t>pharmacy-service</w:t>
            </w:r>
          </w:p>
        </w:tc>
        <w:tc>
          <w:tcPr>
            <w:tcW w:type="dxa" w:w="2160"/>
          </w:tcPr>
          <w:p>
            <w:r>
              <w:t>8085</w:t>
            </w:r>
          </w:p>
        </w:tc>
        <w:tc>
          <w:tcPr>
            <w:tcW w:type="dxa" w:w="2160"/>
          </w:tcPr>
          <w:p>
            <w:r>
              <w:t>MVC</w:t>
            </w:r>
          </w:p>
        </w:tc>
        <w:tc>
          <w:tcPr>
            <w:tcW w:type="dxa" w:w="2160"/>
          </w:tcPr>
          <w:p>
            <w:r>
              <w:t>Inventario de medicamentos, despacho de recetas</w:t>
            </w:r>
          </w:p>
        </w:tc>
      </w:tr>
      <w:tr>
        <w:tc>
          <w:tcPr>
            <w:tcW w:type="dxa" w:w="2160"/>
          </w:tcPr>
          <w:p>
            <w:r>
              <w:t>billing-service</w:t>
            </w:r>
          </w:p>
        </w:tc>
        <w:tc>
          <w:tcPr>
            <w:tcW w:type="dxa" w:w="2160"/>
          </w:tcPr>
          <w:p>
            <w:r>
              <w:t>8086</w:t>
            </w:r>
          </w:p>
        </w:tc>
        <w:tc>
          <w:tcPr>
            <w:tcW w:type="dxa" w:w="2160"/>
          </w:tcPr>
          <w:p>
            <w:r>
              <w:t>MVC</w:t>
            </w:r>
          </w:p>
        </w:tc>
        <w:tc>
          <w:tcPr>
            <w:tcW w:type="dxa" w:w="2160"/>
          </w:tcPr>
          <w:p>
            <w:r>
              <w:t>Facturación, cobros, pagos</w:t>
            </w:r>
          </w:p>
        </w:tc>
      </w:tr>
    </w:tbl>
    <w:p/>
    <w:p>
      <w:pPr>
        <w:pStyle w:val="Heading3"/>
      </w:pPr>
      <w:r>
        <w:t>Principios de diseño aplicados</w:t>
      </w:r>
    </w:p>
    <w:p>
      <w:pPr>
        <w:pStyle w:val="ListBullet"/>
      </w:pPr>
      <w:r>
        <w:t>Schema por servicio — cada microservicio es dueño exclusivo de su schema en PostgreSQL</w:t>
      </w:r>
    </w:p>
    <w:p>
      <w:pPr>
        <w:pStyle w:val="ListBullet"/>
      </w:pPr>
      <w:r>
        <w:t>Sin JOINs entre schemas — toda comunicación entre servicios es vía HTTP REST</w:t>
      </w:r>
    </w:p>
    <w:p>
      <w:pPr>
        <w:pStyle w:val="ListBullet"/>
      </w:pPr>
      <w:r>
        <w:t>JWT stateless — el token viaja en cada request, sin sesiones en backend</w:t>
      </w:r>
    </w:p>
    <w:p>
      <w:pPr>
        <w:pStyle w:val="ListBullet"/>
      </w:pPr>
      <w:r>
        <w:t>RBAC — control de acceso basado en roles: ADMIN, ADMISSION, VITAL_SIGNS, DOCTOR, LABORATORY, PHARMACY, CASHIER, PATIENT</w:t>
      </w:r>
    </w:p>
    <w:p>
      <w:pPr>
        <w:pStyle w:val="ListBullet"/>
      </w:pPr>
      <w:r>
        <w:t>Arquitectura Hexagonal — aplicada en clinical-service por su lógica de dominio compleja (triaje Manchester, máquina de estados de citas)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