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sz w:val="52"/>
          <w:szCs w:val="52"/>
        </w:rPr>
        <w:t xml:space="preserve">Caso de Uso</w:t>
      </w:r>
    </w:p>
    <w:p>
      <w:pPr>
        <w:spacing w:after="160"/>
        <w:jc w:val="center"/>
      </w:pPr>
      <w:r>
        <w:rPr>
          <w:rFonts w:ascii="Arial" w:cs="Arial" w:eastAsia="Arial" w:hAnsi="Arial"/>
          <w:sz w:val="28"/>
          <w:szCs w:val="28"/>
        </w:rPr>
        <w:t xml:space="preserve">Sistema de Información Hospitalaria (HIS)</w:t>
      </w:r>
    </w:p>
    <w:p>
      <w:pPr>
        <w:spacing w:after="160"/>
        <w:jc w:val="center"/>
      </w:pPr>
      <w:r>
        <w:rPr>
          <w:rFonts w:ascii="Arial" w:cs="Arial" w:eastAsia="Arial" w:hAnsi="Arial"/>
          <w:b/>
          <w:bCs/>
          <w:sz w:val="36"/>
          <w:szCs w:val="36"/>
        </w:rPr>
        <w:t xml:space="preserve">CU-13 — Administración del Catálogo de Motivos y Discriminadores de Triaje</w:t>
      </w:r>
    </w:p>
    <w:p>
      <w:pPr>
        <w:spacing w:after="120"/>
        <w:jc w:val="center"/>
      </w:pPr>
      <w:r>
        <w:rPr>
          <w:rFonts w:ascii="Arial" w:cs="Arial" w:eastAsia="Arial" w:hAnsi="Arial"/>
          <w:sz w:val="24"/>
          <w:szCs w:val="24"/>
        </w:rPr>
        <w:t xml:space="preserve">Versión 1.0</w:t>
      </w:r>
    </w:p>
    <w:p>
      <w:pPr>
        <w:spacing w:after="120"/>
        <w:jc w:val="center"/>
      </w:pPr>
      <w:r>
        <w:rPr>
          <w:rFonts w:ascii="Arial" w:cs="Arial" w:eastAsia="Arial" w:hAnsi="Arial"/>
          <w:sz w:val="24"/>
          <w:szCs w:val="24"/>
        </w:rPr>
        <w:t xml:space="preserve">Elaborado por Equipo HIS</w:t>
      </w:r>
    </w:p>
    <w:p>
      <w:pPr>
        <w:spacing w:after="720"/>
        <w:jc w:val="center"/>
      </w:pPr>
      <w:r>
        <w:rPr>
          <w:rFonts w:ascii="Arial" w:cs="Arial" w:eastAsia="Arial" w:hAnsi="Arial"/>
          <w:sz w:val="24"/>
          <w:szCs w:val="24"/>
        </w:rPr>
        <w:t xml:space="preserve">11/04/2026</w:t>
      </w:r>
    </w:p>
    <w:p>
      <w:pPr>
        <w:pStyle w:val="Heading1"/>
      </w:pPr>
      <w:r>
        <w:rPr>
          <w:rFonts w:ascii="Arial" w:cs="Arial" w:eastAsia="Arial" w:hAnsi="Arial"/>
          <w:b/>
          <w:bCs/>
          <w:color w:val="000000"/>
          <w:sz w:val="28"/>
          <w:szCs w:val="28"/>
        </w:rPr>
        <w:t xml:space="preserve">Historial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Nombre</w:t>
            </w:r>
          </w:p>
        </w:tc>
        <w:tc>
          <w:tcPr>
            <w:tcW w:type="dxa" w:w="234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Fecha</w:t>
            </w:r>
          </w:p>
        </w:tc>
        <w:tc>
          <w:tcPr>
            <w:tcW w:type="dxa" w:w="234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Descripción del Cambio</w:t>
            </w:r>
          </w:p>
        </w:tc>
        <w:tc>
          <w:tcPr>
            <w:tcW w:type="dxa" w:w="234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Versión</w:t>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Equipo HIS</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11/04/2026</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Definición inicial. Incorporación del modelo de triaje Nivel 2 basado en MTS.</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r>
    </w:tbl>
    <w:p>
      <w:pPr>
        <w:spacing w:after="80"/>
      </w:pPr>
      <w:r>
        <w:t xml:space="preserve"/>
      </w:r>
    </w:p>
    <w:p>
      <w:pPr>
        <w:pStyle w:val="Heading1"/>
      </w:pPr>
      <w:r>
        <w:rPr>
          <w:rFonts w:ascii="Arial" w:cs="Arial" w:eastAsia="Arial" w:hAnsi="Arial"/>
          <w:b/>
          <w:bCs/>
          <w:color w:val="000000"/>
          <w:sz w:val="28"/>
          <w:szCs w:val="28"/>
        </w:rPr>
        <w:t xml:space="preserve">1. Introducción</w:t>
      </w:r>
    </w:p>
    <w:p>
      <w:pPr>
        <w:spacing w:after="80"/>
      </w:pPr>
      <w:r>
        <w:rPr>
          <w:rFonts w:ascii="Arial" w:cs="Arial" w:eastAsia="Arial" w:hAnsi="Arial"/>
          <w:b/>
          <w:bCs/>
          <w:sz w:val="22"/>
          <w:szCs w:val="22"/>
        </w:rPr>
        <w:t xml:space="preserve">1.1 Objetivo.</w:t>
      </w:r>
    </w:p>
    <w:p>
      <w:pPr>
        <w:spacing w:after="80"/>
        <w:ind w:left="360"/>
      </w:pPr>
      <w:r>
        <w:rPr>
          <w:rFonts w:ascii="Arial" w:cs="Arial" w:eastAsia="Arial" w:hAnsi="Arial"/>
          <w:b w:val="false"/>
          <w:bCs w:val="false"/>
          <w:sz w:val="22"/>
          <w:szCs w:val="22"/>
        </w:rPr>
        <w:t xml:space="preserve">Permitir al administrador del sistema gestionar el catálogo de motivos de consulta y sus discriminadores clínicos, que son la base del algoritmo de clasificación de prioridad Manchester utilizado en el módulo de Triaje (CU-03A). Cada discriminador determina el color de prioridad que el sistema asignará automáticamente al paciente.</w:t>
      </w:r>
    </w:p>
    <w:p>
      <w:pPr>
        <w:spacing w:after="80"/>
      </w:pPr>
      <w:r>
        <w:t xml:space="preserve"/>
      </w:r>
    </w:p>
    <w:p>
      <w:pPr>
        <w:pStyle w:val="Heading1"/>
      </w:pPr>
      <w:r>
        <w:rPr>
          <w:rFonts w:ascii="Arial" w:cs="Arial" w:eastAsia="Arial" w:hAnsi="Arial"/>
          <w:b/>
          <w:bCs/>
          <w:color w:val="000000"/>
          <w:sz w:val="28"/>
          <w:szCs w:val="28"/>
        </w:rPr>
        <w:t xml:space="preserve">2. Definición Caso de Uso</w:t>
      </w:r>
    </w:p>
    <w:p>
      <w:pPr>
        <w:spacing w:after="80"/>
      </w:pPr>
      <w:r>
        <w:rPr>
          <w:rFonts w:ascii="Arial" w:cs="Arial" w:eastAsia="Arial" w:hAnsi="Arial"/>
          <w:b/>
          <w:bCs/>
          <w:sz w:val="22"/>
          <w:szCs w:val="22"/>
        </w:rPr>
        <w:t xml:space="preserve">2.1 Actores.</w:t>
      </w:r>
    </w:p>
    <w:p>
      <w:pPr>
        <w:spacing w:after="60"/>
        <w:ind w:left="360"/>
      </w:pPr>
      <w:r>
        <w:rPr>
          <w:rFonts w:ascii="Arial" w:cs="Arial" w:eastAsia="Arial" w:hAnsi="Arial"/>
          <w:sz w:val="22"/>
          <w:szCs w:val="22"/>
        </w:rPr>
        <w:t xml:space="preserve">• Administrador del sistema.</w:t>
      </w:r>
    </w:p>
    <w:p>
      <w:pPr>
        <w:spacing w:after="60"/>
        <w:ind w:left="360"/>
      </w:pPr>
      <w:r>
        <w:rPr>
          <w:rFonts w:ascii="Arial" w:cs="Arial" w:eastAsia="Arial" w:hAnsi="Arial"/>
          <w:sz w:val="22"/>
          <w:szCs w:val="22"/>
        </w:rPr>
        <w:t xml:space="preserve">• Sistema.</w:t>
      </w:r>
    </w:p>
    <w:p>
      <w:pPr>
        <w:spacing w:after="80"/>
      </w:pPr>
      <w:r>
        <w:t xml:space="preserve"/>
      </w:r>
    </w:p>
    <w:p>
      <w:pPr>
        <w:spacing w:after="80"/>
      </w:pPr>
      <w:r>
        <w:rPr>
          <w:rFonts w:ascii="Arial" w:cs="Arial" w:eastAsia="Arial" w:hAnsi="Arial"/>
          <w:b/>
          <w:bCs/>
          <w:sz w:val="22"/>
          <w:szCs w:val="22"/>
        </w:rPr>
        <w:t xml:space="preserve">2.2 Precondiciones.</w:t>
      </w:r>
    </w:p>
    <w:p>
      <w:pPr>
        <w:pStyle w:val="ListParagraph"/>
        <w:numPr>
          <w:ilvl w:val="0"/>
          <w:numId w:val="2"/>
        </w:numPr>
        <w:spacing w:after="60"/>
      </w:pPr>
      <w:r>
        <w:rPr>
          <w:rFonts w:ascii="Arial" w:cs="Arial" w:eastAsia="Arial" w:hAnsi="Arial"/>
          <w:i/>
          <w:iCs/>
          <w:sz w:val="22"/>
          <w:szCs w:val="22"/>
        </w:rPr>
        <w:t xml:space="preserve">El administrador debe haber ingresado al sistema (ver Caso de Uso 00.1).</w:t>
      </w:r>
    </w:p>
    <w:p>
      <w:pPr>
        <w:spacing w:after="80"/>
      </w:pPr>
      <w:r>
        <w:t xml:space="preserve"/>
      </w:r>
    </w:p>
    <w:p>
      <w:pPr>
        <w:spacing w:after="80"/>
      </w:pPr>
      <w:r>
        <w:rPr>
          <w:rFonts w:ascii="Arial" w:cs="Arial" w:eastAsia="Arial" w:hAnsi="Arial"/>
          <w:b/>
          <w:bCs/>
          <w:sz w:val="22"/>
          <w:szCs w:val="22"/>
        </w:rPr>
        <w:t xml:space="preserve">2.3 Flujo Normal Básico — Gestionar discriminadores de un motivo</w:t>
      </w:r>
    </w:p>
    <w:p>
      <w:pPr>
        <w:spacing w:after="60"/>
        <w:ind w:left="360"/>
      </w:pPr>
      <w:r>
        <w:rPr>
          <w:rFonts w:ascii="Arial" w:cs="Arial" w:eastAsia="Arial" w:hAnsi="Arial"/>
          <w:sz w:val="22"/>
          <w:szCs w:val="22"/>
        </w:rPr>
        <w:t xml:space="preserve">FB1. El administrador ingresa al módulo "Catálogo de Triaje — Motivos y Discriminadores".</w:t>
      </w:r>
    </w:p>
    <w:p>
      <w:pPr>
        <w:spacing w:after="60"/>
        <w:ind w:left="360"/>
      </w:pPr>
      <w:r>
        <w:rPr>
          <w:rFonts w:ascii="Arial" w:cs="Arial" w:eastAsia="Arial" w:hAnsi="Arial"/>
          <w:sz w:val="22"/>
          <w:szCs w:val="22"/>
        </w:rPr>
        <w:t xml:space="preserve">FB2. El sistema muestra la lista de los 12 motivos de consulta disponibles con su estado (activo/inactivo).</w:t>
      </w:r>
    </w:p>
    <w:p>
      <w:pPr>
        <w:spacing w:after="60"/>
        <w:ind w:left="360"/>
      </w:pPr>
      <w:r>
        <w:rPr>
          <w:rFonts w:ascii="Arial" w:cs="Arial" w:eastAsia="Arial" w:hAnsi="Arial"/>
          <w:sz w:val="22"/>
          <w:szCs w:val="22"/>
        </w:rPr>
        <w:t xml:space="preserve">FB3. El administrador selecciona un motivo de consulta y elige "Ver discriminadores".</w:t>
      </w:r>
    </w:p>
    <w:p>
      <w:pPr>
        <w:spacing w:after="60"/>
        <w:ind w:left="360"/>
      </w:pPr>
      <w:r>
        <w:rPr>
          <w:rFonts w:ascii="Arial" w:cs="Arial" w:eastAsia="Arial" w:hAnsi="Arial"/>
          <w:sz w:val="22"/>
          <w:szCs w:val="22"/>
        </w:rPr>
        <w:t xml:space="preserve">FB4. El sistema muestra la lista de discriminadores del motivo seleccionado, ordenados de mayor a menor gravedad (Rojo primero, Azul al final).</w:t>
      </w:r>
      <w:r>
        <w:rPr>
          <w:rFonts w:ascii="Arial" w:cs="Arial" w:eastAsia="Arial" w:hAnsi="Arial"/>
          <w:b/>
          <w:bCs/>
          <w:color w:val="185FA5"/>
          <w:sz w:val="22"/>
          <w:szCs w:val="22"/>
        </w:rPr>
        <w:t xml:space="preserve">  [RN25]</w:t>
      </w:r>
    </w:p>
    <w:p>
      <w:pPr>
        <w:spacing w:after="60"/>
        <w:ind w:left="360"/>
      </w:pPr>
      <w:r>
        <w:rPr>
          <w:rFonts w:ascii="Arial" w:cs="Arial" w:eastAsia="Arial" w:hAnsi="Arial"/>
          <w:sz w:val="22"/>
          <w:szCs w:val="22"/>
        </w:rPr>
        <w:t xml:space="preserve">FB5. El administrador selecciona "Agregar discriminador" para crear uno nuevo.</w:t>
      </w:r>
      <w:r>
        <w:rPr>
          <w:rFonts w:ascii="Arial" w:cs="Arial" w:eastAsia="Arial" w:hAnsi="Arial"/>
          <w:b/>
          <w:bCs/>
          <w:color w:val="185FA5"/>
          <w:sz w:val="22"/>
          <w:szCs w:val="22"/>
        </w:rPr>
        <w:t xml:space="preserve">  [FA01]</w:t>
      </w:r>
    </w:p>
    <w:p>
      <w:pPr>
        <w:spacing w:after="60"/>
        <w:ind w:left="360"/>
      </w:pPr>
      <w:r>
        <w:rPr>
          <w:rFonts w:ascii="Arial" w:cs="Arial" w:eastAsia="Arial" w:hAnsi="Arial"/>
          <w:sz w:val="22"/>
          <w:szCs w:val="22"/>
        </w:rPr>
        <w:t xml:space="preserve">FB6. El administrador completa los datos del nuevo discriminador: texto descriptivo del criterio clínico, color de prioridad asociado (Rojo/Naranja/Amarillo/Verde/Azul) y posición en el orden de evaluación.</w:t>
      </w:r>
      <w:r>
        <w:rPr>
          <w:rFonts w:ascii="Arial" w:cs="Arial" w:eastAsia="Arial" w:hAnsi="Arial"/>
          <w:b/>
          <w:bCs/>
          <w:color w:val="185FA5"/>
          <w:sz w:val="22"/>
          <w:szCs w:val="22"/>
        </w:rPr>
        <w:t xml:space="preserve">  [RN25] [RN26]</w:t>
      </w:r>
    </w:p>
    <w:p>
      <w:pPr>
        <w:spacing w:after="60"/>
        <w:ind w:left="360"/>
      </w:pPr>
      <w:r>
        <w:rPr>
          <w:rFonts w:ascii="Arial" w:cs="Arial" w:eastAsia="Arial" w:hAnsi="Arial"/>
          <w:sz w:val="22"/>
          <w:szCs w:val="22"/>
        </w:rPr>
        <w:t xml:space="preserve">FB7. El administrador confirma y guarda. El discriminador queda disponible de inmediato para el módulo de Triaje.</w:t>
      </w:r>
      <w:r>
        <w:rPr>
          <w:rFonts w:ascii="Arial" w:cs="Arial" w:eastAsia="Arial" w:hAnsi="Arial"/>
          <w:b/>
          <w:bCs/>
          <w:color w:val="185FA5"/>
          <w:sz w:val="22"/>
          <w:szCs w:val="22"/>
        </w:rPr>
        <w:t xml:space="preserve">  [FA02]</w:t>
      </w:r>
    </w:p>
    <w:p>
      <w:pPr>
        <w:spacing w:after="60"/>
        <w:ind w:left="360"/>
      </w:pPr>
      <w:r>
        <w:rPr>
          <w:rFonts w:ascii="Arial" w:cs="Arial" w:eastAsia="Arial" w:hAnsi="Arial"/>
          <w:sz w:val="22"/>
          <w:szCs w:val="22"/>
        </w:rPr>
        <w:t xml:space="preserve">FB8. Fin del caso de uso.</w:t>
      </w:r>
    </w:p>
    <w:p>
      <w:pPr>
        <w:spacing w:after="80"/>
      </w:pPr>
      <w:r>
        <w:t xml:space="preserve"/>
      </w:r>
    </w:p>
    <w:p>
      <w:pPr>
        <w:spacing w:after="80"/>
      </w:pPr>
      <w:r>
        <w:rPr>
          <w:rFonts w:ascii="Arial" w:cs="Arial" w:eastAsia="Arial" w:hAnsi="Arial"/>
          <w:b/>
          <w:bCs/>
          <w:sz w:val="22"/>
          <w:szCs w:val="22"/>
        </w:rPr>
        <w:t xml:space="preserve">2.4 Flujos Alternos.</w:t>
      </w:r>
    </w:p>
    <w:p>
      <w:pPr>
        <w:spacing w:after="80" w:before="160"/>
      </w:pPr>
      <w:r>
        <w:rPr>
          <w:rFonts w:ascii="Arial" w:cs="Arial" w:eastAsia="Arial" w:hAnsi="Arial"/>
          <w:b/>
          <w:bCs/>
          <w:sz w:val="22"/>
          <w:szCs w:val="22"/>
        </w:rPr>
        <w:t xml:space="preserve">FA01 — Editar discriminador existente</w:t>
      </w:r>
    </w:p>
    <w:p>
      <w:pPr>
        <w:spacing w:after="60"/>
        <w:ind w:left="360"/>
      </w:pPr>
      <w:r>
        <w:rPr>
          <w:rFonts w:ascii="Arial" w:cs="Arial" w:eastAsia="Arial" w:hAnsi="Arial"/>
          <w:sz w:val="22"/>
          <w:szCs w:val="22"/>
        </w:rPr>
        <w:t xml:space="preserve">1. En el paso FB4, el administrador selecciona un discriminador existente y elige "Editar".</w:t>
      </w:r>
    </w:p>
    <w:p>
      <w:pPr>
        <w:spacing w:after="60"/>
        <w:ind w:left="360"/>
      </w:pPr>
      <w:r>
        <w:rPr>
          <w:rFonts w:ascii="Arial" w:cs="Arial" w:eastAsia="Arial" w:hAnsi="Arial"/>
          <w:sz w:val="22"/>
          <w:szCs w:val="22"/>
        </w:rPr>
        <w:t xml:space="preserve">2. El administrador modifica el texto descriptivo, el color o el orden del discriminador.</w:t>
      </w:r>
    </w:p>
    <w:p>
      <w:pPr>
        <w:spacing w:after="60"/>
        <w:ind w:left="360"/>
      </w:pPr>
      <w:r>
        <w:rPr>
          <w:rFonts w:ascii="Arial" w:cs="Arial" w:eastAsia="Arial" w:hAnsi="Arial"/>
          <w:sz w:val="22"/>
          <w:szCs w:val="22"/>
        </w:rPr>
        <w:t xml:space="preserve">3. El sistema guarda los cambios. Los cambios aplican a nuevas sesiones de triaje; los registros históricos no se ven afectados.</w:t>
      </w:r>
      <w:r>
        <w:rPr>
          <w:rFonts w:ascii="Arial" w:cs="Arial" w:eastAsia="Arial" w:hAnsi="Arial"/>
          <w:b/>
          <w:bCs/>
          <w:color w:val="185FA5"/>
          <w:sz w:val="22"/>
          <w:szCs w:val="22"/>
        </w:rPr>
        <w:t xml:space="preserve">  [RN27]</w:t>
      </w:r>
    </w:p>
    <w:p>
      <w:pPr>
        <w:spacing w:after="60"/>
        <w:ind w:left="360"/>
      </w:pPr>
      <w:r>
        <w:rPr>
          <w:rFonts w:ascii="Arial" w:cs="Arial" w:eastAsia="Arial" w:hAnsi="Arial"/>
          <w:sz w:val="22"/>
          <w:szCs w:val="22"/>
        </w:rPr>
        <w:t xml:space="preserve">4. El flujo retoma en el paso FB4.</w:t>
      </w:r>
    </w:p>
    <w:p>
      <w:pPr>
        <w:spacing w:after="80"/>
      </w:pPr>
      <w:r>
        <w:t xml:space="preserve"/>
      </w:r>
    </w:p>
    <w:p>
      <w:pPr>
        <w:spacing w:after="80" w:before="160"/>
      </w:pPr>
      <w:r>
        <w:rPr>
          <w:rFonts w:ascii="Arial" w:cs="Arial" w:eastAsia="Arial" w:hAnsi="Arial"/>
          <w:b/>
          <w:bCs/>
          <w:sz w:val="22"/>
          <w:szCs w:val="22"/>
        </w:rPr>
        <w:t xml:space="preserve">FA02 — Desactivar discriminador</w:t>
      </w:r>
    </w:p>
    <w:p>
      <w:pPr>
        <w:spacing w:after="60"/>
        <w:ind w:left="360"/>
      </w:pPr>
      <w:r>
        <w:rPr>
          <w:rFonts w:ascii="Arial" w:cs="Arial" w:eastAsia="Arial" w:hAnsi="Arial"/>
          <w:sz w:val="22"/>
          <w:szCs w:val="22"/>
        </w:rPr>
        <w:t xml:space="preserve">1. En el paso FB4, el administrador selecciona un discriminador y elige "Desactivar".</w:t>
      </w:r>
    </w:p>
    <w:p>
      <w:pPr>
        <w:spacing w:after="60"/>
        <w:ind w:left="360"/>
      </w:pPr>
      <w:r>
        <w:rPr>
          <w:rFonts w:ascii="Arial" w:cs="Arial" w:eastAsia="Arial" w:hAnsi="Arial"/>
          <w:sz w:val="22"/>
          <w:szCs w:val="22"/>
        </w:rPr>
        <w:t xml:space="preserve">2. El sistema verifica que el motivo conserve al menos un discriminador activo por cada color de prioridad requerido.</w:t>
      </w:r>
      <w:r>
        <w:rPr>
          <w:rFonts w:ascii="Arial" w:cs="Arial" w:eastAsia="Arial" w:hAnsi="Arial"/>
          <w:b/>
          <w:bCs/>
          <w:color w:val="185FA5"/>
          <w:sz w:val="22"/>
          <w:szCs w:val="22"/>
        </w:rPr>
        <w:t xml:space="preserve">  [RN26]</w:t>
      </w:r>
    </w:p>
    <w:p>
      <w:pPr>
        <w:spacing w:after="60"/>
        <w:ind w:left="360"/>
      </w:pPr>
      <w:r>
        <w:rPr>
          <w:rFonts w:ascii="Arial" w:cs="Arial" w:eastAsia="Arial" w:hAnsi="Arial"/>
          <w:sz w:val="22"/>
          <w:szCs w:val="22"/>
        </w:rPr>
        <w:t xml:space="preserve">3. El discriminador deja de mostrarse en el formulario de triaje pero se conserva en el historial para auditoría.</w:t>
      </w:r>
    </w:p>
    <w:p>
      <w:pPr>
        <w:spacing w:after="80"/>
      </w:pPr>
      <w:r>
        <w:t xml:space="preserve"/>
      </w:r>
    </w:p>
    <w:p>
      <w:pPr>
        <w:spacing w:after="80" w:before="160"/>
      </w:pPr>
      <w:r>
        <w:rPr>
          <w:rFonts w:ascii="Arial" w:cs="Arial" w:eastAsia="Arial" w:hAnsi="Arial"/>
          <w:b/>
          <w:bCs/>
          <w:sz w:val="22"/>
          <w:szCs w:val="22"/>
        </w:rPr>
        <w:t xml:space="preserve">FA03 — Desactivar un motivo de consulta completo</w:t>
      </w:r>
    </w:p>
    <w:p>
      <w:pPr>
        <w:spacing w:after="60"/>
        <w:ind w:left="360"/>
      </w:pPr>
      <w:r>
        <w:rPr>
          <w:rFonts w:ascii="Arial" w:cs="Arial" w:eastAsia="Arial" w:hAnsi="Arial"/>
          <w:sz w:val="22"/>
          <w:szCs w:val="22"/>
        </w:rPr>
        <w:t xml:space="preserve">1. El administrador selecciona un motivo de consulta y elige "Desactivar".</w:t>
      </w:r>
    </w:p>
    <w:p>
      <w:pPr>
        <w:spacing w:after="60"/>
        <w:ind w:left="360"/>
      </w:pPr>
      <w:r>
        <w:rPr>
          <w:rFonts w:ascii="Arial" w:cs="Arial" w:eastAsia="Arial" w:hAnsi="Arial"/>
          <w:sz w:val="22"/>
          <w:szCs w:val="22"/>
        </w:rPr>
        <w:t xml:space="preserve">2. El sistema verifica que existan al menos 5 motivos activos para garantizar cobertura básica.</w:t>
      </w:r>
      <w:r>
        <w:rPr>
          <w:rFonts w:ascii="Arial" w:cs="Arial" w:eastAsia="Arial" w:hAnsi="Arial"/>
          <w:b/>
          <w:bCs/>
          <w:color w:val="185FA5"/>
          <w:sz w:val="22"/>
          <w:szCs w:val="22"/>
        </w:rPr>
        <w:t xml:space="preserve">  [RN26]</w:t>
      </w:r>
    </w:p>
    <w:p>
      <w:pPr>
        <w:spacing w:after="60"/>
        <w:ind w:left="360"/>
      </w:pPr>
      <w:r>
        <w:rPr>
          <w:rFonts w:ascii="Arial" w:cs="Arial" w:eastAsia="Arial" w:hAnsi="Arial"/>
          <w:sz w:val="22"/>
          <w:szCs w:val="22"/>
        </w:rPr>
        <w:t xml:space="preserve">3. El motivo deja de aparecer en el formulario de triaje. Sus discriminadores se conservan inactivos en el historial.</w:t>
      </w:r>
    </w:p>
    <w:p>
      <w:pPr>
        <w:spacing w:after="80"/>
      </w:pPr>
      <w:r>
        <w:t xml:space="preserve"/>
      </w:r>
    </w:p>
    <w:p>
      <w:pPr>
        <w:spacing w:after="80"/>
      </w:pPr>
      <w:r>
        <w:rPr>
          <w:rFonts w:ascii="Arial" w:cs="Arial" w:eastAsia="Arial" w:hAnsi="Arial"/>
          <w:b/>
          <w:bCs/>
          <w:sz w:val="22"/>
          <w:szCs w:val="22"/>
        </w:rPr>
        <w:t xml:space="preserve">2.5 Poscondiciones.</w:t>
      </w:r>
    </w:p>
    <w:p>
      <w:pPr>
        <w:pStyle w:val="ListParagraph"/>
        <w:numPr>
          <w:ilvl w:val="0"/>
          <w:numId w:val="2"/>
        </w:numPr>
        <w:spacing w:after="60"/>
      </w:pPr>
      <w:r>
        <w:rPr>
          <w:rFonts w:ascii="Arial" w:cs="Arial" w:eastAsia="Arial" w:hAnsi="Arial"/>
          <w:i/>
          <w:iCs/>
          <w:sz w:val="22"/>
          <w:szCs w:val="22"/>
        </w:rPr>
        <w:t xml:space="preserve">El catálogo de motivos y discriminadores queda actualizado y disponible en tiempo real para el módulo de Triaje (CU-03A).</w:t>
      </w:r>
    </w:p>
    <w:p>
      <w:pPr>
        <w:pStyle w:val="ListParagraph"/>
        <w:numPr>
          <w:ilvl w:val="0"/>
          <w:numId w:val="2"/>
        </w:numPr>
        <w:spacing w:after="60"/>
      </w:pPr>
      <w:r>
        <w:rPr>
          <w:rFonts w:ascii="Arial" w:cs="Arial" w:eastAsia="Arial" w:hAnsi="Arial"/>
          <w:i/>
          <w:iCs/>
          <w:sz w:val="22"/>
          <w:szCs w:val="22"/>
        </w:rPr>
        <w:t xml:space="preserve">Cualquier cambio en los discriminadores queda registrado con fecha, hora y nombre del administrador que lo realizó.</w:t>
      </w:r>
    </w:p>
    <w:p>
      <w:pPr>
        <w:pStyle w:val="ListParagraph"/>
        <w:numPr>
          <w:ilvl w:val="0"/>
          <w:numId w:val="2"/>
        </w:numPr>
        <w:spacing w:after="60"/>
      </w:pPr>
      <w:r>
        <w:rPr>
          <w:rFonts w:ascii="Arial" w:cs="Arial" w:eastAsia="Arial" w:hAnsi="Arial"/>
          <w:i/>
          <w:iCs/>
          <w:sz w:val="22"/>
          <w:szCs w:val="22"/>
        </w:rPr>
        <w:t xml:space="preserve">Los registros históricos de triaje generados con versiones anteriores del catálogo no se modifican.</w:t>
      </w:r>
    </w:p>
    <w:p>
      <w:pPr>
        <w:spacing w:after="80"/>
      </w:pPr>
      <w:r>
        <w:t xml:space="preserve"/>
      </w:r>
    </w:p>
    <w:p>
      <w:pPr>
        <w:pStyle w:val="Heading1"/>
      </w:pPr>
      <w:r>
        <w:rPr>
          <w:rFonts w:ascii="Arial" w:cs="Arial" w:eastAsia="Arial" w:hAnsi="Arial"/>
          <w:b/>
          <w:bCs/>
          <w:color w:val="000000"/>
          <w:sz w:val="28"/>
          <w:szCs w:val="28"/>
        </w:rPr>
        <w:t xml:space="preserve">3. Requerimientos Suplementarios o no Funcionales</w:t>
      </w:r>
    </w:p>
    <w:p>
      <w:pPr>
        <w:spacing w:after="80"/>
        <w:ind w:left="360"/>
      </w:pPr>
      <w:r>
        <w:rPr>
          <w:rFonts w:ascii="Arial" w:cs="Arial" w:eastAsia="Arial" w:hAnsi="Arial"/>
          <w:b w:val="false"/>
          <w:bCs w:val="false"/>
          <w:sz w:val="22"/>
          <w:szCs w:val="22"/>
        </w:rPr>
        <w:t xml:space="preserve">El sistema debe registrar un log de auditoría de cada modificación al catálogo: qué se cambió, quién lo cambió y cuándo.</w:t>
      </w:r>
    </w:p>
    <w:p>
      <w:pPr>
        <w:spacing w:after="80"/>
        <w:ind w:left="360"/>
      </w:pPr>
      <w:r>
        <w:rPr>
          <w:rFonts w:ascii="Arial" w:cs="Arial" w:eastAsia="Arial" w:hAnsi="Arial"/>
          <w:b w:val="false"/>
          <w:bCs w:val="false"/>
          <w:sz w:val="22"/>
          <w:szCs w:val="22"/>
        </w:rPr>
        <w:t xml:space="preserve">Los cambios al catálogo no deben afectar sesiones de triaje en curso.</w:t>
      </w:r>
    </w:p>
    <w:p>
      <w:pPr>
        <w:spacing w:after="80"/>
        <w:ind w:left="360"/>
      </w:pPr>
      <w:r>
        <w:rPr>
          <w:rFonts w:ascii="Arial" w:cs="Arial" w:eastAsia="Arial" w:hAnsi="Arial"/>
          <w:b w:val="false"/>
          <w:bCs w:val="false"/>
          <w:sz w:val="22"/>
          <w:szCs w:val="22"/>
        </w:rPr>
        <w:t xml:space="preserve">El orden de evaluación de los discriminadores debe ser editable mediante arrastrar y soltar o mediante campos de posición numérica.</w:t>
      </w:r>
    </w:p>
    <w:p>
      <w:pPr>
        <w:spacing w:after="80"/>
      </w:pPr>
      <w:r>
        <w:t xml:space="preserve"/>
      </w:r>
    </w:p>
    <w:p>
      <w:pPr>
        <w:pStyle w:val="Heading1"/>
      </w:pPr>
      <w:r>
        <w:rPr>
          <w:rFonts w:ascii="Arial" w:cs="Arial" w:eastAsia="Arial" w:hAnsi="Arial"/>
          <w:b/>
          <w:bCs/>
          <w:color w:val="000000"/>
          <w:sz w:val="28"/>
          <w:szCs w:val="28"/>
        </w:rPr>
        <w:t xml:space="preserve">4. Firmas Necesarias</w:t>
      </w:r>
    </w:p>
    <w:p>
      <w:pPr>
        <w:spacing w:after="80"/>
        <w:ind w:left="360"/>
      </w:pPr>
      <w:r>
        <w:rPr>
          <w:rFonts w:ascii="Arial" w:cs="Arial" w:eastAsia="Arial" w:hAnsi="Arial"/>
          <w:b w:val="false"/>
          <w:bCs w:val="false"/>
          <w:sz w:val="22"/>
          <w:szCs w:val="22"/>
        </w:rPr>
        <w:t xml:space="preserve">En este punto se debe incluir la firma de aquellas personas que deban aprobar la presente especificación.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20"/>
                <w:szCs w:val="20"/>
              </w:rPr>
              <w:t xml:space="preserve">Persona</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20"/>
                <w:szCs w:val="20"/>
              </w:rPr>
              <w:t xml:space="preserve">Sector</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000000"/>
                <w:sz w:val="20"/>
                <w:szCs w:val="20"/>
              </w:rPr>
              <w:t xml:space="preserve">Firma</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
            </w:r>
          </w:p>
        </w:tc>
      </w:tr>
    </w:tbl>
    <w:p>
      <w:pPr>
        <w:spacing w:after="80"/>
      </w:pPr>
      <w:r>
        <w:t xml:space="preserve"/>
      </w:r>
    </w:p>
    <w:p>
      <w:pPr>
        <w:pStyle w:val="Heading1"/>
      </w:pPr>
      <w:r>
        <w:rPr>
          <w:rFonts w:ascii="Arial" w:cs="Arial" w:eastAsia="Arial" w:hAnsi="Arial"/>
          <w:b/>
          <w:bCs/>
          <w:color w:val="000000"/>
          <w:sz w:val="28"/>
          <w:szCs w:val="28"/>
        </w:rPr>
        <w:t xml:space="preserve">Reglas de Negocio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Referencia</w:t>
            </w:r>
          </w:p>
        </w:tc>
        <w:tc>
          <w:tcPr>
            <w:tcW w:type="dxa" w:w="79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Regla de Negocio aplicada en este caso de uso</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185FA5"/>
                <w:sz w:val="18"/>
                <w:szCs w:val="18"/>
              </w:rPr>
              <w:t xml:space="preserve">[RN25]</w:t>
            </w:r>
          </w:p>
        </w:tc>
        <w:tc>
          <w:tcPr>
            <w:tcW w:type="dxa" w:w="7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Todo discriminador debe tener: texto descriptivo del criterio clínico, color de prioridad asociado y posición de evaluación dentro de su motivo. Ninguno de estos campos puede estar vacío.</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185FA5"/>
                <w:sz w:val="18"/>
                <w:szCs w:val="18"/>
              </w:rPr>
              <w:t xml:space="preserve">[RN26]</w:t>
            </w:r>
          </w:p>
        </w:tc>
        <w:tc>
          <w:tcPr>
            <w:tcW w:type="dxa" w:w="7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Cada motivo de consulta activo debe tener al menos un discriminador activo para cada uno de los 5 colores de prioridad. El sistema bloquea desactivaciones que dejen un color sin cobertura.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color w:val="185FA5"/>
                <w:sz w:val="18"/>
                <w:szCs w:val="18"/>
              </w:rPr>
              <w:t xml:space="preserve">[RN27]</w:t>
            </w:r>
          </w:p>
        </w:tc>
        <w:tc>
          <w:tcPr>
            <w:tcW w:type="dxa" w:w="7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Los cambios al catálogo de discriminadores aplican únicamente a nuevas sesiones de triaje. Los registros históricos de clasificación son inmutables.</w:t>
            </w:r>
          </w:p>
        </w:tc>
      </w:tr>
    </w:tbl>
    <w:p>
      <w:pPr>
        <w:spacing w:after="80"/>
      </w:pPr>
      <w:r>
        <w:t xml:space="preserve"/>
      </w:r>
    </w:p>
    <w:p>
      <w:pPr>
        <w:pStyle w:val="Heading1"/>
      </w:pPr>
      <w:r>
        <w:rPr>
          <w:rFonts w:ascii="Arial" w:cs="Arial" w:eastAsia="Arial" w:hAnsi="Arial"/>
          <w:b/>
          <w:bCs/>
          <w:color w:val="000000"/>
          <w:sz w:val="28"/>
          <w:szCs w:val="28"/>
        </w:rPr>
        <w:t xml:space="preserve">Anexo — Catálogo Inicial de Motivos y Discriminadores</w:t>
      </w:r>
    </w:p>
    <w:p>
      <w:pPr>
        <w:spacing w:after="80"/>
        <w:ind w:left="360"/>
      </w:pPr>
      <w:r>
        <w:rPr>
          <w:rFonts w:ascii="Arial" w:cs="Arial" w:eastAsia="Arial" w:hAnsi="Arial"/>
          <w:b w:val="false"/>
          <w:bCs w:val="false"/>
          <w:sz w:val="22"/>
          <w:szCs w:val="22"/>
        </w:rPr>
        <w:t xml:space="preserve">El siguiente catálogo constituye la carga inicial del sistema. Está basado en los principios del Manchester Triage System (MTS) adaptados al contexto de una clínica de Medicina General. Los discriminadores de cada motivo están ordenados de mayor a menor gravedad; el sistema evalúa de arriba hacia abajo y asigna el color del primer discriminador que se cumpla.</w:t>
      </w:r>
    </w:p>
    <w:p>
      <w:pPr>
        <w:spacing w:after="80"/>
      </w:pPr>
      <w:r>
        <w:t xml:space="preserve"/>
      </w:r>
    </w:p>
    <w:p>
      <w:pPr>
        <w:spacing w:after="80" w:before="160"/>
      </w:pPr>
      <w:r>
        <w:rPr>
          <w:rFonts w:ascii="Arial" w:cs="Arial" w:eastAsia="Arial" w:hAnsi="Arial"/>
          <w:b/>
          <w:bCs/>
          <w:sz w:val="24"/>
          <w:szCs w:val="24"/>
        </w:rPr>
        <w:t xml:space="preserve">M01 — Dolor torácico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Vía aérea comprometida, ausencia de pulso o parada cardiorrespiratoria.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torácico con presión arterial sistólica &lt; 90 mmHg o pérdida de consciencia.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torácico intenso (EVA 8-10) de inicio súbito o irradiado a brazo/mandíbula.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Frecuencia cardíaca &lt; 40 lpm o &gt; 150 lpm con síntomas asociados.</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torácico moderado (EVA 4-7) con dificultad respiratoria leve.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D06</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Presión arterial sistólica &gt; 180 mmHg con síntomas.</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D07</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torácico leve (EVA 1-3) sin alteraciones hemodinámicas.</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D08</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Molestia torácica inespecífica sin síntomas asociados ni alteración de signos vitales.</w:t>
            </w:r>
          </w:p>
        </w:tc>
      </w:tr>
    </w:tbl>
    <w:p>
      <w:pPr>
        <w:spacing w:after="80"/>
      </w:pPr>
      <w:r>
        <w:t xml:space="preserve"/>
      </w:r>
    </w:p>
    <w:p>
      <w:pPr>
        <w:spacing w:after="80" w:before="160"/>
      </w:pPr>
      <w:r>
        <w:rPr>
          <w:rFonts w:ascii="Arial" w:cs="Arial" w:eastAsia="Arial" w:hAnsi="Arial"/>
          <w:b/>
          <w:bCs/>
          <w:sz w:val="24"/>
          <w:szCs w:val="24"/>
        </w:rPr>
        <w:t xml:space="preserve">M02 — Dificultad respiratoria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Vía aérea obstruida, cianosis central o apnea.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Saturación de oxígeno &lt; 85% o uso de músculos accesorios con agotamiento.</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Dificultad respiratoria severa en reposo, incapaz de hablar frases completas.</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Frecuencia respiratoria &gt; 30 rpm con saturación 85-90%.</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Dificultad respiratoria moderada, habla con frases cortas, sibilancias audibles.</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D06</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Frecuencia respiratoria 25-30 rpm sin hipoxia severa.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D07</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Dificultad respiratoria leve al esfuerzo, sin signos de hipoxia.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D08</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Sensación subjetiva de ahogo leve sin alteración de signos vitales.</w:t>
            </w:r>
          </w:p>
        </w:tc>
      </w:tr>
    </w:tbl>
    <w:p>
      <w:pPr>
        <w:spacing w:after="80"/>
      </w:pPr>
      <w:r>
        <w:t xml:space="preserve"/>
      </w:r>
    </w:p>
    <w:p>
      <w:pPr>
        <w:spacing w:after="80" w:before="160"/>
      </w:pPr>
      <w:r>
        <w:rPr>
          <w:rFonts w:ascii="Arial" w:cs="Arial" w:eastAsia="Arial" w:hAnsi="Arial"/>
          <w:b/>
          <w:bCs/>
          <w:sz w:val="24"/>
          <w:szCs w:val="24"/>
        </w:rPr>
        <w:t xml:space="preserve">M03 — Alteración de consciencia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Inconsciente, no responde a estímulos (Glasgow &lt; 9) o convulsión activa.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Convulsión que no cede espontáneamente en menos de 5 minutos.</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Confusión aguda, desorientación severa o Glasgow 9-13.</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Primer episodio de convulsión ya cedida con período post-ictal activo.</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Somnolencia anormal, responde pero con dificultad, desorientación leve.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D06</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Episodio de síncope (desmayo) ya recuperado con historia de recurrencia.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D07</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Mareo intenso con inestabilidad para caminar sin pérdida de consciencia.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D08</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Episodio aislado de mareo leve ya resuelto sin otros síntomas.</w:t>
            </w:r>
          </w:p>
        </w:tc>
      </w:tr>
    </w:tbl>
    <w:p>
      <w:pPr>
        <w:spacing w:after="80"/>
      </w:pPr>
      <w:r>
        <w:t xml:space="preserve"/>
      </w:r>
    </w:p>
    <w:p>
      <w:pPr>
        <w:spacing w:after="80" w:before="160"/>
      </w:pPr>
      <w:r>
        <w:rPr>
          <w:rFonts w:ascii="Arial" w:cs="Arial" w:eastAsia="Arial" w:hAnsi="Arial"/>
          <w:b/>
          <w:bCs/>
          <w:sz w:val="24"/>
          <w:szCs w:val="24"/>
        </w:rPr>
        <w:t xml:space="preserve">M04 — Fiebre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Temperatura ≥ 41°C o convulsión febril activa en curso.</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Temperatura 39.5°C–40.9°C con rigidez de nuca, petequias o alteración de consciencia.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Fiebre en paciente inmunodeprimido (VIH, quimioterapia, trasplante) con temperatura ≥ 38°C.</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Temperatura 38.5°C–39.4°C con signos de irritación meníngea o erupción cutánea.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Fiebre de más de 5 días de evolución sin diagnóstico establecido.</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D06</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Temperatura 37.5°C–38.4°C con malestar general, mialgias o cefalea leve.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D07</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Sensación subjetiva de fiebre o temperatura 37°C–37.4°C sin otros síntomas relevantes.</w:t>
            </w:r>
          </w:p>
        </w:tc>
      </w:tr>
    </w:tbl>
    <w:p>
      <w:pPr>
        <w:spacing w:after="80"/>
      </w:pPr>
      <w:r>
        <w:t xml:space="preserve"/>
      </w:r>
    </w:p>
    <w:p>
      <w:pPr>
        <w:spacing w:after="80" w:before="160"/>
      </w:pPr>
      <w:r>
        <w:rPr>
          <w:rFonts w:ascii="Arial" w:cs="Arial" w:eastAsia="Arial" w:hAnsi="Arial"/>
          <w:b/>
          <w:bCs/>
          <w:sz w:val="24"/>
          <w:szCs w:val="24"/>
        </w:rPr>
        <w:t xml:space="preserve">M05 — Dolor abdominal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Abdomen rígido en tabla, ausencia de ruidos intestinales con hipotensión (PAS &lt; 90 mmHg).</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abdominal con presencia de hematemesis masiva o melena activa.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abdominal severo (EVA 8-10) de inicio súbito, localizado o difuso.</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Vómitos persistentes con signos de deshidratación severa o bilis/sangre en vómito.</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abdominal moderado (EVA 4-7) con fiebre &gt; 38°C y signos de peritonismo leve.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D06</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abdominal en paciente con antecedente de cirugía abdominal reciente.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D07</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abdominal leve (EVA 1-3) con náuseas sin vómitos y sin fiebre.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D08</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Molestia abdominal difusa inespecífica sin síntomas asociados.</w:t>
            </w:r>
          </w:p>
        </w:tc>
      </w:tr>
    </w:tbl>
    <w:p>
      <w:pPr>
        <w:spacing w:after="80"/>
      </w:pPr>
      <w:r>
        <w:t xml:space="preserve"/>
      </w:r>
    </w:p>
    <w:p>
      <w:pPr>
        <w:spacing w:after="80" w:before="160"/>
      </w:pPr>
      <w:r>
        <w:rPr>
          <w:rFonts w:ascii="Arial" w:cs="Arial" w:eastAsia="Arial" w:hAnsi="Arial"/>
          <w:b/>
          <w:bCs/>
          <w:sz w:val="24"/>
          <w:szCs w:val="24"/>
        </w:rPr>
        <w:t xml:space="preserve">M06 — Trauma y lesión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Trauma craneoencefálico con pérdida de consciencia, convulsión o Glasgow &lt; 13.</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Hemorragia externa masiva no controlable o sospecha de lesión vascular.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Trauma de alta energía (accidente de tráfico, caída de altura) aunque estable hemodinámicamente.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Sospecha de fractura de pelvis, columna vertebral o huesos largos con deformidad evidente.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Herida abierta profunda o con exposición ósea o tendinosa que requiere sutura.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D06</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Sospecha de fractura en extremidades con dolor moderado-severo e impotencia funcional.</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D07</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Contusión o hematoma sin deformidad, herida superficial que requiere limpieza y cierre simple.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D08</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Traumatismo leve, abrasión superficial o golpe menor sin deformidad ni limitación funcional.</w:t>
            </w:r>
          </w:p>
        </w:tc>
      </w:tr>
    </w:tbl>
    <w:p>
      <w:pPr>
        <w:spacing w:after="80"/>
      </w:pPr>
      <w:r>
        <w:t xml:space="preserve"/>
      </w:r>
    </w:p>
    <w:p>
      <w:pPr>
        <w:spacing w:after="80" w:before="160"/>
      </w:pPr>
      <w:r>
        <w:rPr>
          <w:rFonts w:ascii="Arial" w:cs="Arial" w:eastAsia="Arial" w:hAnsi="Arial"/>
          <w:b/>
          <w:bCs/>
          <w:sz w:val="24"/>
          <w:szCs w:val="24"/>
        </w:rPr>
        <w:t xml:space="preserve">M07 — Cefalea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Cefalea súbita e intensa descrita como "el peor dolor de cabeza de mi vida" (trueno) con rigidez de nuca.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Cefalea con alteración del nivel de consciencia, convulsión o déficit neurológico focal.</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Cefalea severa (EVA 8-10) de inicio agudo no explicada por antecedentes del paciente.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Cefalea con fiebre &gt; 39°C, fotofobia y rigidez cervical (sospecha meningitis).</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Cefalea moderada (EVA 4-7) con náuseas, vómitos o sensibilidad a la luz.</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D06</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Cefalea en paciente con antecedente de hipertensión arterial y PA &gt; 180/110 mmHg.</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D07</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Cefalea tensional leve-moderada recurrente con patrón conocido por el paciente.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D08</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Cefalea leve sin síntomas asociados, tolerable con analgésicos habituales.</w:t>
            </w:r>
          </w:p>
        </w:tc>
      </w:tr>
    </w:tbl>
    <w:p>
      <w:pPr>
        <w:spacing w:after="80"/>
      </w:pPr>
      <w:r>
        <w:t xml:space="preserve"/>
      </w:r>
    </w:p>
    <w:p>
      <w:pPr>
        <w:spacing w:after="80" w:before="160"/>
      </w:pPr>
      <w:r>
        <w:rPr>
          <w:rFonts w:ascii="Arial" w:cs="Arial" w:eastAsia="Arial" w:hAnsi="Arial"/>
          <w:b/>
          <w:bCs/>
          <w:sz w:val="24"/>
          <w:szCs w:val="24"/>
        </w:rPr>
        <w:t xml:space="preserve">M08 — Dolor en extremidades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Extremidad con ausencia de pulso distal, palidez extrema, frialdad y parestesias (isquemia aguda).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intenso (EVA 8-10) con deformidad evidente, crepitación o imposibilidad absoluta de movimiento.</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Signo de Homans positivo con edema unilateral y dolor a la palpación (sospecha TVP).</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moderado (EVA 4-7) con edema, eritema local o impotencia funcional parcial.</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Articulación con signos inflamatorios agudos (calor, rubor, edema, dolor) sin trauma previo.</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D06</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leve (EVA 1-3) en extremidad con movilidad conservada y sin signos inflamatorios.</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D07</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Molestia muscular leve o contractura sin limitación funcional ni signos inflamatorios.</w:t>
            </w:r>
          </w:p>
        </w:tc>
      </w:tr>
    </w:tbl>
    <w:p>
      <w:pPr>
        <w:spacing w:after="80"/>
      </w:pPr>
      <w:r>
        <w:t xml:space="preserve"/>
      </w:r>
    </w:p>
    <w:p>
      <w:pPr>
        <w:spacing w:after="80" w:before="160"/>
      </w:pPr>
      <w:r>
        <w:rPr>
          <w:rFonts w:ascii="Arial" w:cs="Arial" w:eastAsia="Arial" w:hAnsi="Arial"/>
          <w:b/>
          <w:bCs/>
          <w:sz w:val="24"/>
          <w:szCs w:val="24"/>
        </w:rPr>
        <w:t xml:space="preserve">M09 — Problema urinario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Retención urinaria aguda completa con globo vesical palpable y dolor insoportable.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Fiebre &gt; 39°C con dolor lumbar intenso bilateral y escalofríos (sospecha pielonefritis severa).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Fiebre 38°C–39°C con dolor lumbar y disuria (sospecha infección urinaria alta).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Hematuria macroscópica activa sin trauma previo.</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Disuria, polaquiuria y ardor urinario sin fiebre (sospecha infección urinaria baja).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D06</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Dolor suprapúbico leve con urgencia miccional sin fiebre ni hematuria.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D07</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Molestia urinaria leve ocasional sin otros síntomas, sin fiebre ni hematuria.</w:t>
            </w:r>
          </w:p>
        </w:tc>
      </w:tr>
    </w:tbl>
    <w:p>
      <w:pPr>
        <w:spacing w:after="80"/>
      </w:pPr>
      <w:r>
        <w:t xml:space="preserve"/>
      </w:r>
    </w:p>
    <w:p>
      <w:pPr>
        <w:spacing w:after="80" w:before="160"/>
      </w:pPr>
      <w:r>
        <w:rPr>
          <w:rFonts w:ascii="Arial" w:cs="Arial" w:eastAsia="Arial" w:hAnsi="Arial"/>
          <w:b/>
          <w:bCs/>
          <w:sz w:val="24"/>
          <w:szCs w:val="24"/>
        </w:rPr>
        <w:t xml:space="preserve">M10 — Sangrado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Hemorragia masiva no controlada con signos de shock (PAS &lt; 90, FC &gt; 120, palidez extrema).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Hemoptisis masiva o hematemesis en volumen abundante con inestabilidad hemodinámica.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Sangrado activo que no cede con presión directa por más de 10 minutos.</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Epistaxis posterior bilateral o hemoptisis moderada sin inestabilidad hemodinámica.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Sangrado moderado controlable con presión, procedente de herida o mucosa.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D06</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Sangrado vaginal abundante fuera del período menstrual habitual.</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D07</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Sangrado leve que cedió espontáneamente, herida pequeña que ya no sangra.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D08</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Sangrado mínimo ya resuelto, consulta por antecedente de sangrado sin sangrado activo.</w:t>
            </w:r>
          </w:p>
        </w:tc>
      </w:tr>
    </w:tbl>
    <w:p>
      <w:pPr>
        <w:spacing w:after="80"/>
      </w:pPr>
      <w:r>
        <w:t xml:space="preserve"/>
      </w:r>
    </w:p>
    <w:p>
      <w:pPr>
        <w:spacing w:after="80" w:before="160"/>
      </w:pPr>
      <w:r>
        <w:rPr>
          <w:rFonts w:ascii="Arial" w:cs="Arial" w:eastAsia="Arial" w:hAnsi="Arial"/>
          <w:b/>
          <w:bCs/>
          <w:sz w:val="24"/>
          <w:szCs w:val="24"/>
        </w:rPr>
        <w:t xml:space="preserve">M11 — Malestar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Malestar general con alteración de consciencia, convulsión o signos de shock.</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Malestar general con fiebre &gt; 39.5°C, taquicardia &gt; 120 lpm o hipotensión.</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Malestar general con fiebre 38.5°C–39.4°C, astenia severa que impide actividad básica.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Malestar general en adulto mayor (&gt; 65 años) o con enfermedades crónicas descompensadas.</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Malestar general con fiebre 37.5°C–38.4°C, fatiga moderada con actividad conservada.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D06</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Malestar general leve sin fiebre ni síntomas asociados, de menos de 24 horas de evolución.</w:t>
            </w:r>
          </w:p>
        </w:tc>
      </w:tr>
    </w:tbl>
    <w:p>
      <w:pPr>
        <w:spacing w:after="80"/>
      </w:pPr>
      <w:r>
        <w:t xml:space="preserve"/>
      </w:r>
    </w:p>
    <w:p>
      <w:pPr>
        <w:spacing w:after="80" w:before="160"/>
      </w:pPr>
      <w:r>
        <w:rPr>
          <w:rFonts w:ascii="Arial" w:cs="Arial" w:eastAsia="Arial" w:hAnsi="Arial"/>
          <w:b/>
          <w:bCs/>
          <w:sz w:val="24"/>
          <w:szCs w:val="24"/>
        </w:rPr>
        <w:t xml:space="preserve">M12 — Otro / Motivo no listado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6560"/>
      </w:tblGrid>
      <w:tr>
        <w:tc>
          <w:tcPr>
            <w:tcW w:type="dxa" w:w="6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Orden</w:t>
            </w:r>
          </w:p>
        </w:tc>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Tiempo máx.</w:t>
            </w:r>
          </w:p>
        </w:tc>
        <w:tc>
          <w:tcPr>
            <w:tcW w:type="dxa" w:w="6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Discriminador</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D01</w:t>
            </w:r>
          </w:p>
        </w:tc>
        <w:tc>
          <w:tcPr>
            <w:tcW w:type="dxa" w:w="1000"/>
            <w:tcBorders>
              <w:top w:val="single" w:color="000000" w:sz="4"/>
              <w:left w:val="single" w:color="000000" w:sz="4"/>
              <w:bottom w:val="single" w:color="000000" w:sz="4"/>
              <w:right w:val="single" w:color="000000" w:sz="4"/>
            </w:tcBorders>
            <w:shd w:fill="FCEBEB" w:val="clear"/>
            <w:tcMar>
              <w:top w:type="dxa" w:w="60"/>
              <w:left w:type="dxa" w:w="100"/>
              <w:bottom w:type="dxa" w:w="60"/>
              <w:right w:type="dxa" w:w="100"/>
            </w:tcMar>
          </w:tcPr>
          <w:p>
            <w:r>
              <w:rPr>
                <w:rFonts w:ascii="Arial" w:cs="Arial" w:eastAsia="Arial" w:hAnsi="Arial"/>
                <w:b/>
                <w:bCs/>
                <w:color w:val="A32D2D"/>
                <w:sz w:val="18"/>
                <w:szCs w:val="18"/>
              </w:rPr>
              <w:t xml:space="preserve">Rojo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Inmediato</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Cualquier síntoma con signos de riesgo vital inmediato: inconsciencia, parada cardiorrespiratoria, shock.</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D02</w:t>
            </w:r>
          </w:p>
        </w:tc>
        <w:tc>
          <w:tcPr>
            <w:tcW w:type="dxa" w:w="1000"/>
            <w:tcBorders>
              <w:top w:val="single" w:color="000000" w:sz="4"/>
              <w:left w:val="single" w:color="000000" w:sz="4"/>
              <w:bottom w:val="single" w:color="000000" w:sz="4"/>
              <w:right w:val="single" w:color="000000" w:sz="4"/>
            </w:tcBorders>
            <w:shd w:fill="FFF3E0" w:val="clear"/>
            <w:tcMar>
              <w:top w:type="dxa" w:w="60"/>
              <w:left w:type="dxa" w:w="100"/>
              <w:bottom w:type="dxa" w:w="60"/>
              <w:right w:type="dxa" w:w="100"/>
            </w:tcMar>
          </w:tcPr>
          <w:p>
            <w:r>
              <w:rPr>
                <w:rFonts w:ascii="Arial" w:cs="Arial" w:eastAsia="Arial" w:hAnsi="Arial"/>
                <w:b/>
                <w:bCs/>
                <w:color w:val="854F0B"/>
                <w:sz w:val="18"/>
                <w:szCs w:val="18"/>
              </w:rPr>
              <w:t xml:space="preserve">Naranja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Síntoma no listado con dolor severo (EVA 8-10) o alteración hemodinámica significativa.</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D03</w:t>
            </w:r>
          </w:p>
        </w:tc>
        <w:tc>
          <w:tcPr>
            <w:tcW w:type="dxa" w:w="1000"/>
            <w:tcBorders>
              <w:top w:val="single" w:color="000000" w:sz="4"/>
              <w:left w:val="single" w:color="000000" w:sz="4"/>
              <w:bottom w:val="single" w:color="000000" w:sz="4"/>
              <w:right w:val="single" w:color="000000" w:sz="4"/>
            </w:tcBorders>
            <w:shd w:fill="FEFCE8" w:val="clear"/>
            <w:tcMar>
              <w:top w:type="dxa" w:w="60"/>
              <w:left w:type="dxa" w:w="100"/>
              <w:bottom w:type="dxa" w:w="60"/>
              <w:right w:type="dxa" w:w="100"/>
            </w:tcMar>
          </w:tcPr>
          <w:p>
            <w:r>
              <w:rPr>
                <w:rFonts w:ascii="Arial" w:cs="Arial" w:eastAsia="Arial" w:hAnsi="Arial"/>
                <w:b/>
                <w:bCs/>
                <w:color w:val="7A6000"/>
                <w:sz w:val="18"/>
                <w:szCs w:val="18"/>
              </w:rPr>
              <w:t xml:space="preserve">Amarillo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60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Síntoma no listado con dolor moderado (EVA 4-7) o fiebre &gt; 38.5°C.</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D04</w:t>
            </w:r>
          </w:p>
        </w:tc>
        <w:tc>
          <w:tcPr>
            <w:tcW w:type="dxa" w:w="1000"/>
            <w:tcBorders>
              <w:top w:val="single" w:color="000000" w:sz="4"/>
              <w:left w:val="single" w:color="000000" w:sz="4"/>
              <w:bottom w:val="single" w:color="000000" w:sz="4"/>
              <w:right w:val="single" w:color="000000" w:sz="4"/>
            </w:tcBorders>
            <w:shd w:fill="EAF3DE" w:val="clear"/>
            <w:tcMar>
              <w:top w:type="dxa" w:w="60"/>
              <w:left w:type="dxa" w:w="100"/>
              <w:bottom w:type="dxa" w:w="60"/>
              <w:right w:type="dxa" w:w="100"/>
            </w:tcMar>
          </w:tcPr>
          <w:p>
            <w:r>
              <w:rPr>
                <w:rFonts w:ascii="Arial" w:cs="Arial" w:eastAsia="Arial" w:hAnsi="Arial"/>
                <w:b/>
                <w:bCs/>
                <w:color w:val="3B6D11"/>
                <w:sz w:val="18"/>
                <w:szCs w:val="18"/>
              </w:rPr>
              <w:t xml:space="preserve">Verde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120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Síntoma no listado con dolor leve (EVA 1-3) sin alteración de signos vitales.</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bCs/>
                <w:sz w:val="18"/>
                <w:szCs w:val="18"/>
              </w:rPr>
              <w:t xml:space="preserve">D05</w:t>
            </w:r>
          </w:p>
        </w:tc>
        <w:tc>
          <w:tcPr>
            <w:tcW w:type="dxa" w:w="1000"/>
            <w:tcBorders>
              <w:top w:val="single" w:color="000000" w:sz="4"/>
              <w:left w:val="single" w:color="000000" w:sz="4"/>
              <w:bottom w:val="single" w:color="000000" w:sz="4"/>
              <w:right w:val="single" w:color="000000" w:sz="4"/>
            </w:tcBorders>
            <w:shd w:fill="E6F1FB" w:val="clear"/>
            <w:tcMar>
              <w:top w:type="dxa" w:w="60"/>
              <w:left w:type="dxa" w:w="100"/>
              <w:bottom w:type="dxa" w:w="60"/>
              <w:right w:type="dxa" w:w="100"/>
            </w:tcMar>
          </w:tcPr>
          <w:p>
            <w:r>
              <w:rPr>
                <w:rFonts w:ascii="Arial" w:cs="Arial" w:eastAsia="Arial" w:hAnsi="Arial"/>
                <w:b/>
                <w:bCs/>
                <w:color w:val="185FA5"/>
                <w:sz w:val="18"/>
                <w:szCs w:val="18"/>
              </w:rPr>
              <w:t xml:space="preserve">Azul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240 min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18"/>
                <w:szCs w:val="18"/>
              </w:rPr>
              <w:t xml:space="preserve">Consulta por síntoma leve inespecífico sin urgencia clínica aparente.</w:t>
            </w:r>
          </w:p>
        </w:tc>
      </w:tr>
    </w:tbl>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2026-04-11T18:12:02.183Z</dcterms:created>
  <dcterms:modified xsi:type="dcterms:W3CDTF">2026-04-11T18:12:02.184Z</dcterms:modified>
</cp:coreProperties>
</file>

<file path=docProps/custom.xml><?xml version="1.0" encoding="utf-8"?>
<Properties xmlns="http://schemas.openxmlformats.org/officeDocument/2006/custom-properties" xmlns:vt="http://schemas.openxmlformats.org/officeDocument/2006/docPropsVTypes"/>
</file>