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AF01" w14:textId="77777777" w:rsidR="00B63A24" w:rsidRDefault="00000000">
      <w:pPr>
        <w:pStyle w:val="aa"/>
        <w:jc w:val="center"/>
      </w:pPr>
      <w:r>
        <w:rPr>
          <w:rFonts w:ascii="Arial" w:hAnsi="Arial"/>
          <w:color w:val="000000"/>
        </w:rPr>
        <w:t>FriendZone Project Proposal</w:t>
      </w:r>
    </w:p>
    <w:p w14:paraId="7566C361" w14:textId="77777777" w:rsidR="00B63A24" w:rsidRDefault="00000000">
      <w:pPr>
        <w:spacing w:after="240" w:line="250" w:lineRule="auto"/>
        <w:jc w:val="center"/>
      </w:pPr>
      <w:r>
        <w:rPr>
          <w:i/>
          <w:color w:val="000000"/>
          <w:sz w:val="22"/>
        </w:rPr>
        <w:t>A care-centred social web application for newcomers in Brisbane</w:t>
      </w:r>
    </w:p>
    <w:p w14:paraId="0262508F" w14:textId="77777777" w:rsidR="00B63A24" w:rsidRDefault="00000000">
      <w:pPr>
        <w:pStyle w:val="1"/>
        <w:spacing w:before="280" w:after="100"/>
      </w:pPr>
      <w:r>
        <w:rPr>
          <w:rFonts w:ascii="Arial" w:hAnsi="Arial"/>
          <w:color w:val="000000"/>
        </w:rPr>
        <w:t>Project Definition</w:t>
      </w:r>
    </w:p>
    <w:p w14:paraId="0D8D890F" w14:textId="77777777" w:rsidR="00907E85" w:rsidRPr="00907E85" w:rsidRDefault="00907E85" w:rsidP="00907E85">
      <w:pPr>
        <w:spacing w:after="88" w:line="250" w:lineRule="auto"/>
        <w:rPr>
          <w:rFonts w:eastAsia="宋体"/>
          <w:lang w:eastAsia="zh-CN"/>
        </w:rPr>
      </w:pPr>
      <w:r w:rsidRPr="00907E85">
        <w:rPr>
          <w:rFonts w:eastAsia="宋体"/>
          <w:lang w:eastAsia="zh-CN"/>
        </w:rPr>
        <w:t>FriendZone is a proposed social web application that helps newcomers in Brisbane build meaningful local connections through shared interests, gentle conversation prompts, and small daily rewards for showing up. The project responds to the question developed in tutorial work: how can we help people make new connections in a foreign environment? The initial problem space includes exchange students, people who have recently moved for work or study, stay-at-home partners, remote workers, and introverted users who may want social contact but feel anxious about entering unfamiliar groups.</w:t>
      </w:r>
    </w:p>
    <w:p w14:paraId="09CFB695" w14:textId="77777777" w:rsidR="00907E85" w:rsidRPr="00907E85" w:rsidRDefault="00907E85" w:rsidP="00907E85">
      <w:pPr>
        <w:spacing w:after="88" w:line="250" w:lineRule="auto"/>
        <w:rPr>
          <w:rFonts w:eastAsia="宋体"/>
          <w:lang w:eastAsia="zh-CN"/>
        </w:rPr>
      </w:pPr>
      <w:r w:rsidRPr="00907E85">
        <w:rPr>
          <w:rFonts w:eastAsia="宋体"/>
          <w:lang w:eastAsia="zh-CN"/>
        </w:rPr>
        <w:t>Moving to a new city often interrupts ordinary routines of friendship. Newcomers may not know where to meet people, which groups are suitable for beginners, how much social effort will be expected, or whether they will be forced into uncomfortable introductions. Existing social platforms often emphasise broad discovery, public profiles, fast messaging, or event attendance, but they do not always support the uncertain, gradual and emotionally sensitive process of becoming socially comfortable in a new place. FriendZone therefore treats connection as a paced journey rather than a quick match.</w:t>
      </w:r>
    </w:p>
    <w:p w14:paraId="009C1E9A" w14:textId="77777777" w:rsidR="00907E85" w:rsidRPr="00907E85" w:rsidRDefault="00907E85" w:rsidP="00907E85">
      <w:pPr>
        <w:spacing w:after="88" w:line="250" w:lineRule="auto"/>
        <w:rPr>
          <w:rFonts w:eastAsia="宋体"/>
          <w:lang w:eastAsia="zh-CN"/>
        </w:rPr>
      </w:pPr>
      <w:r w:rsidRPr="00907E85">
        <w:rPr>
          <w:rFonts w:eastAsia="宋体"/>
          <w:lang w:eastAsia="zh-CN"/>
        </w:rPr>
        <w:t>The need for this project is also emotional and situational, not only logistical. A newcomer may technically have access to many events, clubs and online groups, yet still hesitate because they do not know the social norms of the space, whether others will already know each other, or how to join without feeling exposed. This is especially relevant for introverted users or users with social anxiety, who may want connection but feel uncomfortable initiating conversation in a large group. FriendZone addresses this gap by reducing the uncertainty around first contact and by making participation feel smaller, clearer and more controllable.</w:t>
      </w:r>
    </w:p>
    <w:p w14:paraId="004EB914" w14:textId="77777777" w:rsidR="00907E85" w:rsidRPr="00907E85" w:rsidRDefault="00907E85" w:rsidP="00907E85">
      <w:pPr>
        <w:spacing w:after="88" w:line="250" w:lineRule="auto"/>
        <w:rPr>
          <w:rFonts w:eastAsia="宋体"/>
          <w:lang w:eastAsia="zh-CN"/>
        </w:rPr>
      </w:pPr>
      <w:r w:rsidRPr="00907E85">
        <w:rPr>
          <w:rFonts w:eastAsia="宋体"/>
          <w:lang w:eastAsia="zh-CN"/>
        </w:rPr>
        <w:t>The proposed setting is community-based social activity in Brisbane, especially small activities in public or semi-public places such as cafes, libraries, shared kitchens, rooftop lounges and walking routes. Users begin by entering a name for the prototype and choosing interests such as cooking, movies, study, gaming, board games, photography, running, hiking, coffee, music, basketball or yoga. The system then recommends small interest-based circles with visible member numbers, locations and recurring meeting days.</w:t>
      </w:r>
    </w:p>
    <w:p w14:paraId="671ED5CC" w14:textId="77777777" w:rsidR="00907E85" w:rsidRPr="00907E85" w:rsidRDefault="00907E85" w:rsidP="00907E85">
      <w:pPr>
        <w:spacing w:after="88" w:line="250" w:lineRule="auto"/>
        <w:rPr>
          <w:rFonts w:eastAsia="宋体"/>
          <w:lang w:eastAsia="zh-CN"/>
        </w:rPr>
      </w:pPr>
      <w:r w:rsidRPr="00907E85">
        <w:rPr>
          <w:rFonts w:eastAsia="宋体"/>
          <w:lang w:eastAsia="zh-CN"/>
        </w:rPr>
        <w:t>Rather than designing a general social media platform, FriendZone focuses on the transition between online discovery and real-world belonging. The application is designed for low-risk social participation: users can browse circles, choose one that feels manageable, send a small message, respond to prompts, and decide whether to attend a meetup. This scope is important because the project does not assume that friendship can be produced by matching profiles alone. Instead, it supports repeated small interactions that can gradually become trust, familiarity and confidence in a new environment.</w:t>
      </w:r>
    </w:p>
    <w:p w14:paraId="24FCD02C" w14:textId="77777777" w:rsidR="00907E85" w:rsidRPr="00907E85" w:rsidRDefault="00907E85" w:rsidP="00907E85">
      <w:pPr>
        <w:spacing w:after="88" w:line="250" w:lineRule="auto"/>
        <w:rPr>
          <w:rFonts w:eastAsia="宋体"/>
          <w:lang w:eastAsia="zh-CN"/>
        </w:rPr>
      </w:pPr>
      <w:r w:rsidRPr="00907E85">
        <w:rPr>
          <w:rFonts w:eastAsia="宋体"/>
          <w:lang w:eastAsia="zh-CN"/>
        </w:rPr>
        <w:t xml:space="preserve">The main user scenario follows Noah, a person who has recently moved to Brisbane and wants to meet people but feels nervous about approaching strangers. Noah selects photography, coffee and board games. FriendZone recommends circles such as </w:t>
      </w:r>
      <w:r w:rsidRPr="004A53F0">
        <w:rPr>
          <w:rFonts w:eastAsia="宋体"/>
          <w:i/>
          <w:iCs/>
          <w:lang w:eastAsia="zh-CN"/>
        </w:rPr>
        <w:t>Coffee Crawl</w:t>
      </w:r>
      <w:r w:rsidRPr="00907E85">
        <w:rPr>
          <w:rFonts w:eastAsia="宋体"/>
          <w:lang w:eastAsia="zh-CN"/>
        </w:rPr>
        <w:t xml:space="preserve">, </w:t>
      </w:r>
      <w:r w:rsidRPr="004A53F0">
        <w:rPr>
          <w:rFonts w:eastAsia="宋体"/>
          <w:i/>
          <w:iCs/>
          <w:lang w:eastAsia="zh-CN"/>
        </w:rPr>
        <w:t>Library Buddies</w:t>
      </w:r>
      <w:r w:rsidRPr="00907E85">
        <w:rPr>
          <w:rFonts w:eastAsia="宋体"/>
          <w:lang w:eastAsia="zh-CN"/>
        </w:rPr>
        <w:t xml:space="preserve">, </w:t>
      </w:r>
      <w:r w:rsidRPr="004A53F0">
        <w:rPr>
          <w:rFonts w:eastAsia="宋体"/>
          <w:i/>
          <w:iCs/>
          <w:lang w:eastAsia="zh-CN"/>
        </w:rPr>
        <w:t>Mt Coot-tha Walkers</w:t>
      </w:r>
      <w:r w:rsidRPr="00907E85">
        <w:rPr>
          <w:rFonts w:eastAsia="宋体"/>
          <w:lang w:eastAsia="zh-CN"/>
        </w:rPr>
        <w:t xml:space="preserve">, </w:t>
      </w:r>
      <w:r w:rsidRPr="004A53F0">
        <w:rPr>
          <w:rFonts w:eastAsia="宋体"/>
          <w:i/>
          <w:iCs/>
          <w:lang w:eastAsia="zh-CN"/>
        </w:rPr>
        <w:t>Cooking Circle</w:t>
      </w:r>
      <w:r w:rsidRPr="00907E85">
        <w:rPr>
          <w:rFonts w:eastAsia="宋体"/>
          <w:lang w:eastAsia="zh-CN"/>
        </w:rPr>
        <w:t xml:space="preserve"> and </w:t>
      </w:r>
      <w:r w:rsidRPr="004A53F0">
        <w:rPr>
          <w:rFonts w:eastAsia="宋体"/>
          <w:i/>
          <w:iCs/>
          <w:lang w:eastAsia="zh-CN"/>
        </w:rPr>
        <w:t>Board Game Night</w:t>
      </w:r>
      <w:r w:rsidRPr="00907E85">
        <w:rPr>
          <w:rFonts w:eastAsia="宋体"/>
          <w:lang w:eastAsia="zh-CN"/>
        </w:rPr>
        <w:t>. Each card shows a short description, current group size and meeting location. Noah joins Coffee Crawl, a small group that visits a new cafe on Sundays. Instead of expecting him to start a conversation from nothing, the chat offers a light prompt such as "Flat white or long black?" and makes participation feel manageable.</w:t>
      </w:r>
    </w:p>
    <w:p w14:paraId="7215421C" w14:textId="11CADE3C" w:rsidR="00907E85" w:rsidRPr="00907E85" w:rsidRDefault="00907E85" w:rsidP="00907E85">
      <w:pPr>
        <w:spacing w:after="88" w:line="250" w:lineRule="auto"/>
        <w:rPr>
          <w:rFonts w:eastAsia="宋体" w:hint="eastAsia"/>
          <w:lang w:eastAsia="zh-CN"/>
        </w:rPr>
      </w:pPr>
      <w:r w:rsidRPr="00907E85">
        <w:rPr>
          <w:rFonts w:eastAsia="宋体"/>
          <w:lang w:eastAsia="zh-CN"/>
        </w:rPr>
        <w:t>The design solution has four main phases. First, onboarding makes interests visible without demanding a detailed public profile. Second, discovery recommends small circles rather than large anonymous events. Third, circle chat provides small prompts so that conversation can start around shared doing, not only self-presentation. Fourth, continuity is supported through daily participation, meetup RSVP, post-meetup bonus windows, streaks and badges. These rewards are intended as gentle encouragement for showing up, not as public competition or social ranking.</w:t>
      </w:r>
    </w:p>
    <w:p w14:paraId="4C3A93B1" w14:textId="77777777" w:rsidR="00B63A24" w:rsidRDefault="00000000">
      <w:pPr>
        <w:pStyle w:val="1"/>
        <w:spacing w:before="280" w:after="100"/>
      </w:pPr>
      <w:r>
        <w:rPr>
          <w:rFonts w:ascii="Arial" w:hAnsi="Arial"/>
          <w:color w:val="000000"/>
        </w:rPr>
        <w:t>Significance of Proposed Interaction</w:t>
      </w:r>
    </w:p>
    <w:p w14:paraId="7E40C869" w14:textId="77777777" w:rsidR="00B63A24" w:rsidRDefault="00000000">
      <w:pPr>
        <w:spacing w:after="88" w:line="250" w:lineRule="auto"/>
      </w:pPr>
      <w:r>
        <w:rPr>
          <w:color w:val="000000"/>
        </w:rPr>
        <w:t xml:space="preserve">The core interaction in FriendZone is a transition from digital preparation to embodied social participation. The application does not replace face-to-face connection with online chatting; instead, it supports people before, during and after local activities. This is important because the hardest part of making friends in a new </w:t>
      </w:r>
      <w:r>
        <w:rPr>
          <w:color w:val="000000"/>
        </w:rPr>
        <w:lastRenderedPageBreak/>
        <w:t>environment is often the moment of entry: deciding whether a group feels safe, finding the meeting point, starting a first conversation, and knowing whether further contact is mutually welcome.</w:t>
      </w:r>
    </w:p>
    <w:p w14:paraId="16555F8E" w14:textId="77777777" w:rsidR="00B63A24" w:rsidRDefault="00000000">
      <w:pPr>
        <w:spacing w:after="88" w:line="250" w:lineRule="auto"/>
      </w:pPr>
      <w:r>
        <w:rPr>
          <w:color w:val="000000"/>
        </w:rPr>
        <w:t>The interaction qualities are care, predictability, agency, low pressure, reciprocity and continuity. Care is expressed through small circles, familiar interests and prompts that reduce the burden of inventing a topic. Predictability appears in group descriptions, member counts, locations and meeting schedules. Agency is central because users choose which circles to join and how much to contribute. Low pressure is achieved through the principle expressed in the prototype: something to do, not something to say. Reciprocity matters because a circle should support mutual participation rather than one-sided pursuit. Continuity is supported through a minimal daily ask: one message a day keeps the thread alive.</w:t>
      </w:r>
    </w:p>
    <w:p w14:paraId="643F845B" w14:textId="77777777" w:rsidR="00B63A24" w:rsidRDefault="00000000">
      <w:pPr>
        <w:spacing w:after="88" w:line="250" w:lineRule="auto"/>
      </w:pPr>
      <w:r>
        <w:rPr>
          <w:color w:val="000000"/>
        </w:rPr>
        <w:t>The modalities combine form-based interest selection, visual circle cards, chat, reminder-like prompts, RSVP controls, points, badges and in-person social action. For example, a Coffee Crawl card shows that the group meets in West End on Sundays and has limited members. The circle chat displays messages from other members, offers a conversation prompt, and allows the user to send a short response. The prototype also includes demo controls that show how days, streaks and post-meetup bonuses could work over time.</w:t>
      </w:r>
    </w:p>
    <w:p w14:paraId="73C5729E" w14:textId="590DC1DB" w:rsidR="00B63A24" w:rsidRDefault="00000000">
      <w:pPr>
        <w:spacing w:after="88" w:line="250" w:lineRule="auto"/>
      </w:pPr>
      <w:r>
        <w:rPr>
          <w:color w:val="000000"/>
        </w:rPr>
        <w:t xml:space="preserve">This interaction approach is significant because it recognises that social confidence varies. Some people are comfortable approaching a group immediately, while others need a path that starts with observation, a short message, or a shared activity. The design avoids assuming that extroverted behaviour is the norm. It also treats social participation as situated: users may behave differently depending on language, culture, past experience, time pressure, personal circumstances and the specific environment. In this sense, FriendZone aligns with values-oriented HCI, where values and ethics are not separate from design but should be surfaced as part of design practice </w:t>
      </w:r>
      <w:r w:rsidR="0066534E">
        <w:rPr>
          <w:color w:val="000000"/>
        </w:rPr>
        <w:fldChar w:fldCharType="begin"/>
      </w:r>
      <w:r w:rsidR="0066534E">
        <w:rPr>
          <w:color w:val="000000"/>
        </w:rPr>
        <w:instrText xml:space="preserve"> ADDIN ZOTERO_ITEM CSL_CITATION {"citationID":"BmHsNgvL","properties":{"unsorted":false,"formattedCitation":"(Freil et al., 2017)","plainCitation":"(Freil et al., 2017)","noteIndex":0},"citationItems":[{"id":121,"uris":["http://zotero.org/users/local/2qTywF3F/items/2QQNVAD2"],"itemData":{"id":121,"type":"article-journal","abstract":"Canines and humans have lived together for many thousands of years, to our mutual benefit. In addition to providing companionship, dogs can perform critical roles, such as assisting humans with medical concerns, searching for lost individuals, and detecting substances by scent. Researching how technology might be designed for canines has the potential to significantly improve the lives of both dogs and humans. We draw upon the extensive foundations and literature in human-centered computing to identify and adapt models and methods that are relevant for canines. Our work surveys the landscape of canine-centered computing and canine psychophysics, and generates a framework and set of guidelines to help inform the requirements, design, and evaluation of systems for canines. Our principal aim is to invite and challenge human computer interaction (HCI) researchers to contribute to the field of canine-centered computing, and we conclude with a call to action in this promising nascent field.","container-title":"Foundations and Trends® in Human–Computer Interaction","DOI":"10.1561/1100000064","ISSN":"1551-3955, 1551-3963","issue":"2","journalAbbreviation":"Found. Trends® Hum.–Comput. Interact.","language":"en","page":"87-164","source":"DOI.org (Crossref)","title":"Canine-centered computing","volume":"10","author":[{"family":"Freil","given":"Larry"},{"family":"Byrne","given":"Ceara"},{"family":"Valentin","given":"Giancarlo"},{"family":"Zeagler","given":"Clint"},{"family":"Roberts","given":"David"},{"family":"Starner","given":"Thad"},{"family":"Jackson","given":"Melody"}],"issued":{"date-parts":[["2017",4,4]]}}}],"schema":"https://github.com/citation-style-language/schema/raw/master/csl-citation.json"} </w:instrText>
      </w:r>
      <w:r w:rsidR="0066534E">
        <w:rPr>
          <w:color w:val="000000"/>
        </w:rPr>
        <w:fldChar w:fldCharType="separate"/>
      </w:r>
      <w:r w:rsidR="0066534E" w:rsidRPr="0066534E">
        <w:rPr>
          <w:rFonts w:cs="Arial"/>
        </w:rPr>
        <w:t>(Freil et al., 2017)</w:t>
      </w:r>
      <w:r w:rsidR="0066534E">
        <w:rPr>
          <w:color w:val="000000"/>
        </w:rPr>
        <w:fldChar w:fldCharType="end"/>
      </w:r>
      <w:r>
        <w:rPr>
          <w:color w:val="000000"/>
        </w:rPr>
        <w:t>.</w:t>
      </w:r>
    </w:p>
    <w:p w14:paraId="78CB1640" w14:textId="154357BA" w:rsidR="00B63A24" w:rsidRDefault="00000000">
      <w:pPr>
        <w:spacing w:after="88" w:line="250" w:lineRule="auto"/>
      </w:pPr>
      <w:r>
        <w:rPr>
          <w:color w:val="000000"/>
        </w:rPr>
        <w:t xml:space="preserve">The application also reflects the idea that technologies mediate human action. </w:t>
      </w:r>
      <w:r w:rsidR="0066534E">
        <w:rPr>
          <w:color w:val="000000"/>
        </w:rPr>
        <w:fldChar w:fldCharType="begin"/>
      </w:r>
      <w:r w:rsidR="0066534E">
        <w:rPr>
          <w:color w:val="000000"/>
        </w:rPr>
        <w:instrText xml:space="preserve"> ADDIN ZOTERO_ITEM CSL_CITATION {"citationID":"6FwXyp7n","properties":{"unsorted":false,"formattedCitation":"(Verbeek, 2006)","plainCitation":"(Verbeek, 2006)","noteIndex":0},"citationItems":[{"id":120,"uris":["http://zotero.org/users/local/2qTywF3F/items/VWD338NW"],"itemData":{"id":120,"type":"article-journal","abstract":"During the past decade, the ‘script’ concept, indicating the actively prescribing role of technologies in human actions, has acquired a central place in STS. Up to now, the concept has mainly functioned in descriptive settings. This paper will deploy the concept in a normative setting. When technologies play a role in the coming about of human actions, they give material answers to the ethical question ‘how to act?’. This implies that engineers are doing ‘ethics with other means:’ they materialize morality. The paper will explore the implications of this insight for engineering ethics. It first augments the concept, by developing the notion of ‘technological mediation’ and showing that scripts can be seen as a form of mediation. After this, it investigates how the concept of mediation could be made fruitful for design ethics. It does so by discussing how the ambition to design technologies with the explicit aim to influence human actions raises moral questions itself, and by elaborating two methods for anticipating technological mediation in the design process: ‘anticipation by imagination’ in the form of a ‘mediation analysis’; and an augmented version of constructive technology assessment.","container-title":"Science, Technology, &amp; Human Values","DOI":"10.1177/0162243905285847","ISSN":"0162-2439, 1552-8251","issue":"3","journalAbbreviation":"Sci., Technol. Hum. Values","language":"en","license":"https://journals.sagepub.com/page/policies/text-and-data-mining-license","page":"361-380","source":"DOI.org (Crossref)","title":"Materializing morality: design ethics and technological mediation","title-short":"Materializing morality","volume":"31","author":[{"family":"Verbeek","given":"Peter-Paul"}],"issued":{"date-parts":[["2006",5]]}}}],"schema":"https://github.com/citation-style-language/schema/raw/master/csl-citation.json"} </w:instrText>
      </w:r>
      <w:r w:rsidR="0066534E">
        <w:rPr>
          <w:color w:val="000000"/>
        </w:rPr>
        <w:fldChar w:fldCharType="separate"/>
      </w:r>
      <w:r w:rsidR="0066534E" w:rsidRPr="0066534E">
        <w:rPr>
          <w:rFonts w:cs="Arial"/>
        </w:rPr>
        <w:t>(Verbeek, 2006)</w:t>
      </w:r>
      <w:r w:rsidR="0066534E">
        <w:rPr>
          <w:color w:val="000000"/>
        </w:rPr>
        <w:fldChar w:fldCharType="end"/>
      </w:r>
      <w:r>
        <w:rPr>
          <w:color w:val="000000"/>
        </w:rPr>
        <w:t xml:space="preserve"> argues that designed artefacts can shape what users do by inviting, discouraging or organising particular behaviours. FriendZone therefore must be designed carefully because its interface will influence how newcomers interpret social risk, how groups welcome participants, and how connections are continued. The aim is to inscribe gentle social support into the interaction while avoiding manipulative pressure.</w:t>
      </w:r>
    </w:p>
    <w:p w14:paraId="22218306" w14:textId="77777777" w:rsidR="00B63A24" w:rsidRDefault="00000000">
      <w:pPr>
        <w:pStyle w:val="1"/>
        <w:spacing w:before="280" w:after="100"/>
      </w:pPr>
      <w:r>
        <w:rPr>
          <w:rFonts w:ascii="Arial" w:hAnsi="Arial"/>
          <w:color w:val="000000"/>
        </w:rPr>
        <w:t>Ethical Issues and Action Plan</w:t>
      </w:r>
    </w:p>
    <w:p w14:paraId="7AAC34B3" w14:textId="77777777" w:rsidR="00B63A24" w:rsidRDefault="00000000">
      <w:pPr>
        <w:spacing w:after="88" w:line="250" w:lineRule="auto"/>
        <w:rPr>
          <w:rFonts w:eastAsia="宋体"/>
          <w:color w:val="000000"/>
          <w:lang w:eastAsia="zh-CN"/>
        </w:rPr>
      </w:pPr>
      <w:r>
        <w:rPr>
          <w:color w:val="000000"/>
        </w:rPr>
        <w:t>The ethical issues in FriendZone are not secondary risks; they are central to whether the project succeeds. Because the application deals with social vulnerability, location, personal preferences and private relationships, the design must protect users while still helping them enter real community spaces. The following table identifies key ethical concerns and practical actions.</w:t>
      </w:r>
    </w:p>
    <w:tbl>
      <w:tblPr>
        <w:tblStyle w:val="af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
        <w:gridCol w:w="1479"/>
        <w:gridCol w:w="3286"/>
        <w:gridCol w:w="3685"/>
        <w:gridCol w:w="1513"/>
      </w:tblGrid>
      <w:tr w:rsidR="00EE7209" w14:paraId="7057EB95" w14:textId="77777777" w:rsidTr="00EE7209">
        <w:tc>
          <w:tcPr>
            <w:tcW w:w="305" w:type="dxa"/>
            <w:tcBorders>
              <w:top w:val="single" w:sz="12" w:space="0" w:color="auto"/>
              <w:bottom w:val="single" w:sz="4" w:space="0" w:color="auto"/>
            </w:tcBorders>
          </w:tcPr>
          <w:p w14:paraId="218DE46A" w14:textId="77777777" w:rsidR="00EE7209" w:rsidRPr="00E830D6" w:rsidRDefault="00EE7209" w:rsidP="00E830D6">
            <w:pPr>
              <w:spacing w:after="88" w:line="250" w:lineRule="auto"/>
              <w:jc w:val="center"/>
              <w:rPr>
                <w:rFonts w:eastAsia="宋体" w:hint="eastAsia"/>
                <w:b/>
                <w:bCs/>
                <w:lang w:eastAsia="zh-CN"/>
              </w:rPr>
            </w:pPr>
          </w:p>
        </w:tc>
        <w:tc>
          <w:tcPr>
            <w:tcW w:w="1479" w:type="dxa"/>
            <w:tcBorders>
              <w:top w:val="single" w:sz="12" w:space="0" w:color="auto"/>
              <w:bottom w:val="single" w:sz="4" w:space="0" w:color="auto"/>
            </w:tcBorders>
            <w:vAlign w:val="center"/>
          </w:tcPr>
          <w:p w14:paraId="408972F0" w14:textId="4545CB1D" w:rsidR="00EE7209" w:rsidRPr="00E830D6" w:rsidRDefault="00EE7209" w:rsidP="00E830D6">
            <w:pPr>
              <w:spacing w:after="88" w:line="250" w:lineRule="auto"/>
              <w:jc w:val="center"/>
              <w:rPr>
                <w:rFonts w:eastAsia="宋体" w:hint="eastAsia"/>
                <w:b/>
                <w:bCs/>
                <w:lang w:eastAsia="zh-CN"/>
              </w:rPr>
            </w:pPr>
            <w:r w:rsidRPr="00E830D6">
              <w:rPr>
                <w:rFonts w:eastAsia="宋体" w:hint="eastAsia"/>
                <w:b/>
                <w:bCs/>
                <w:lang w:eastAsia="zh-CN"/>
              </w:rPr>
              <w:t>Ethical issue</w:t>
            </w:r>
          </w:p>
        </w:tc>
        <w:tc>
          <w:tcPr>
            <w:tcW w:w="3286" w:type="dxa"/>
            <w:tcBorders>
              <w:top w:val="single" w:sz="12" w:space="0" w:color="auto"/>
              <w:bottom w:val="single" w:sz="4" w:space="0" w:color="auto"/>
            </w:tcBorders>
            <w:vAlign w:val="center"/>
          </w:tcPr>
          <w:p w14:paraId="740B4151" w14:textId="295FB94F" w:rsidR="00EE7209" w:rsidRPr="00E830D6" w:rsidRDefault="00EE7209" w:rsidP="00E830D6">
            <w:pPr>
              <w:spacing w:after="88" w:line="250" w:lineRule="auto"/>
              <w:jc w:val="center"/>
              <w:rPr>
                <w:rFonts w:eastAsia="宋体" w:hint="eastAsia"/>
                <w:b/>
                <w:bCs/>
                <w:lang w:eastAsia="zh-CN"/>
              </w:rPr>
            </w:pPr>
            <w:r w:rsidRPr="00E830D6">
              <w:rPr>
                <w:rFonts w:eastAsia="宋体" w:hint="eastAsia"/>
                <w:b/>
                <w:bCs/>
                <w:lang w:eastAsia="zh-CN"/>
              </w:rPr>
              <w:t>Why it matters</w:t>
            </w:r>
          </w:p>
        </w:tc>
        <w:tc>
          <w:tcPr>
            <w:tcW w:w="3685" w:type="dxa"/>
            <w:tcBorders>
              <w:top w:val="single" w:sz="12" w:space="0" w:color="auto"/>
              <w:bottom w:val="single" w:sz="4" w:space="0" w:color="auto"/>
            </w:tcBorders>
            <w:vAlign w:val="center"/>
          </w:tcPr>
          <w:p w14:paraId="6ED5C259" w14:textId="4EF2E95B" w:rsidR="00EE7209" w:rsidRPr="00E830D6" w:rsidRDefault="00EE7209" w:rsidP="00E830D6">
            <w:pPr>
              <w:spacing w:after="88" w:line="250" w:lineRule="auto"/>
              <w:jc w:val="center"/>
              <w:rPr>
                <w:rFonts w:eastAsia="宋体" w:hint="eastAsia"/>
                <w:b/>
                <w:bCs/>
                <w:lang w:eastAsia="zh-CN"/>
              </w:rPr>
            </w:pPr>
            <w:r w:rsidRPr="00E830D6">
              <w:rPr>
                <w:rFonts w:eastAsia="宋体" w:hint="eastAsia"/>
                <w:b/>
                <w:bCs/>
                <w:lang w:eastAsia="zh-CN"/>
              </w:rPr>
              <w:t>Action plan</w:t>
            </w:r>
          </w:p>
        </w:tc>
        <w:tc>
          <w:tcPr>
            <w:tcW w:w="1513" w:type="dxa"/>
            <w:tcBorders>
              <w:top w:val="single" w:sz="12" w:space="0" w:color="auto"/>
              <w:bottom w:val="single" w:sz="4" w:space="0" w:color="auto"/>
            </w:tcBorders>
            <w:vAlign w:val="center"/>
          </w:tcPr>
          <w:p w14:paraId="198DCF57" w14:textId="6C760266" w:rsidR="00EE7209" w:rsidRPr="00E830D6" w:rsidRDefault="00EE7209" w:rsidP="00E830D6">
            <w:pPr>
              <w:spacing w:after="88" w:line="250" w:lineRule="auto"/>
              <w:jc w:val="center"/>
              <w:rPr>
                <w:rFonts w:eastAsia="宋体" w:hint="eastAsia"/>
                <w:b/>
                <w:bCs/>
                <w:lang w:eastAsia="zh-CN"/>
              </w:rPr>
            </w:pPr>
            <w:r w:rsidRPr="00E830D6">
              <w:rPr>
                <w:rFonts w:eastAsia="宋体" w:hint="eastAsia"/>
                <w:b/>
                <w:bCs/>
                <w:lang w:eastAsia="zh-CN"/>
              </w:rPr>
              <w:t>Design value</w:t>
            </w:r>
          </w:p>
        </w:tc>
      </w:tr>
      <w:tr w:rsidR="00EE7209" w14:paraId="7342005A" w14:textId="77777777" w:rsidTr="00F37E5A">
        <w:tc>
          <w:tcPr>
            <w:tcW w:w="305" w:type="dxa"/>
            <w:tcBorders>
              <w:top w:val="single" w:sz="4" w:space="0" w:color="auto"/>
            </w:tcBorders>
            <w:vAlign w:val="center"/>
          </w:tcPr>
          <w:p w14:paraId="6A856229" w14:textId="27347BC5" w:rsidR="00EE7209" w:rsidRPr="00EE7209" w:rsidRDefault="00EE7209" w:rsidP="00E830D6">
            <w:pPr>
              <w:spacing w:after="88" w:line="250" w:lineRule="auto"/>
              <w:rPr>
                <w:rFonts w:eastAsia="宋体" w:hint="eastAsia"/>
                <w:color w:val="000000"/>
                <w:sz w:val="16"/>
                <w:lang w:eastAsia="zh-CN"/>
              </w:rPr>
            </w:pPr>
            <w:r>
              <w:rPr>
                <w:rFonts w:eastAsia="宋体" w:hint="eastAsia"/>
                <w:color w:val="000000"/>
                <w:sz w:val="16"/>
                <w:lang w:eastAsia="zh-CN"/>
              </w:rPr>
              <w:t>1</w:t>
            </w:r>
          </w:p>
        </w:tc>
        <w:tc>
          <w:tcPr>
            <w:tcW w:w="1479" w:type="dxa"/>
            <w:tcBorders>
              <w:top w:val="single" w:sz="4" w:space="0" w:color="auto"/>
            </w:tcBorders>
            <w:vAlign w:val="center"/>
          </w:tcPr>
          <w:p w14:paraId="77F5AF0F" w14:textId="5B8077EB" w:rsidR="00EE7209" w:rsidRDefault="00EE7209" w:rsidP="00E830D6">
            <w:pPr>
              <w:spacing w:after="88" w:line="250" w:lineRule="auto"/>
              <w:rPr>
                <w:rFonts w:eastAsia="宋体" w:hint="eastAsia"/>
                <w:lang w:eastAsia="zh-CN"/>
              </w:rPr>
            </w:pPr>
            <w:r>
              <w:rPr>
                <w:color w:val="000000"/>
                <w:sz w:val="16"/>
              </w:rPr>
              <w:t>Privacy of personal preferences</w:t>
            </w:r>
          </w:p>
        </w:tc>
        <w:tc>
          <w:tcPr>
            <w:tcW w:w="3286" w:type="dxa"/>
            <w:tcBorders>
              <w:top w:val="single" w:sz="4" w:space="0" w:color="auto"/>
            </w:tcBorders>
            <w:vAlign w:val="center"/>
          </w:tcPr>
          <w:p w14:paraId="2749BD13" w14:textId="35F3D648" w:rsidR="00EE7209" w:rsidRDefault="00EE7209" w:rsidP="00E830D6">
            <w:pPr>
              <w:spacing w:after="88" w:line="250" w:lineRule="auto"/>
              <w:rPr>
                <w:rFonts w:eastAsia="宋体" w:hint="eastAsia"/>
                <w:lang w:eastAsia="zh-CN"/>
              </w:rPr>
            </w:pPr>
            <w:r>
              <w:rPr>
                <w:color w:val="000000"/>
                <w:sz w:val="16"/>
              </w:rPr>
              <w:t>Interest choices, attendance and social activity can reveal sensitive information about identity and routines.</w:t>
            </w:r>
          </w:p>
        </w:tc>
        <w:tc>
          <w:tcPr>
            <w:tcW w:w="3685" w:type="dxa"/>
            <w:tcBorders>
              <w:top w:val="single" w:sz="4" w:space="0" w:color="auto"/>
            </w:tcBorders>
            <w:vAlign w:val="center"/>
          </w:tcPr>
          <w:p w14:paraId="52E747A9" w14:textId="3D64B4ED" w:rsidR="00EE7209" w:rsidRDefault="00EE7209" w:rsidP="00E830D6">
            <w:pPr>
              <w:spacing w:after="88" w:line="250" w:lineRule="auto"/>
              <w:rPr>
                <w:rFonts w:eastAsia="宋体" w:hint="eastAsia"/>
                <w:lang w:eastAsia="zh-CN"/>
              </w:rPr>
            </w:pPr>
            <w:r>
              <w:rPr>
                <w:color w:val="000000"/>
                <w:sz w:val="16"/>
              </w:rPr>
              <w:t>Collect only necessary profile data; make privacy settings clear; allow users to edit or delete interests, joined circles and activity history.</w:t>
            </w:r>
          </w:p>
        </w:tc>
        <w:tc>
          <w:tcPr>
            <w:tcW w:w="1513" w:type="dxa"/>
            <w:tcBorders>
              <w:top w:val="single" w:sz="4" w:space="0" w:color="auto"/>
            </w:tcBorders>
            <w:vAlign w:val="center"/>
          </w:tcPr>
          <w:p w14:paraId="0DB4FC5C" w14:textId="54C446B0" w:rsidR="00EE7209" w:rsidRDefault="00EE7209" w:rsidP="00E830D6">
            <w:pPr>
              <w:spacing w:after="88" w:line="250" w:lineRule="auto"/>
              <w:rPr>
                <w:rFonts w:eastAsia="宋体" w:hint="eastAsia"/>
                <w:lang w:eastAsia="zh-CN"/>
              </w:rPr>
            </w:pPr>
            <w:r>
              <w:rPr>
                <w:color w:val="000000"/>
                <w:sz w:val="16"/>
              </w:rPr>
              <w:t>Privacy</w:t>
            </w:r>
          </w:p>
        </w:tc>
      </w:tr>
      <w:tr w:rsidR="00EE7209" w14:paraId="44D14E9A" w14:textId="77777777" w:rsidTr="00F37E5A">
        <w:tc>
          <w:tcPr>
            <w:tcW w:w="305" w:type="dxa"/>
            <w:vAlign w:val="center"/>
          </w:tcPr>
          <w:p w14:paraId="02A2733E" w14:textId="6A0E4D9A" w:rsidR="00EE7209" w:rsidRPr="00EE7209" w:rsidRDefault="00E31E48" w:rsidP="00E830D6">
            <w:pPr>
              <w:spacing w:after="88" w:line="250" w:lineRule="auto"/>
              <w:rPr>
                <w:rFonts w:eastAsia="宋体" w:hint="eastAsia"/>
                <w:color w:val="000000"/>
                <w:sz w:val="16"/>
                <w:lang w:eastAsia="zh-CN"/>
              </w:rPr>
            </w:pPr>
            <w:r>
              <w:rPr>
                <w:rFonts w:eastAsia="宋体" w:hint="eastAsia"/>
                <w:color w:val="000000"/>
                <w:sz w:val="16"/>
                <w:lang w:eastAsia="zh-CN"/>
              </w:rPr>
              <w:t>2</w:t>
            </w:r>
          </w:p>
        </w:tc>
        <w:tc>
          <w:tcPr>
            <w:tcW w:w="1479" w:type="dxa"/>
            <w:vAlign w:val="center"/>
          </w:tcPr>
          <w:p w14:paraId="46147FF8" w14:textId="1A13BF66" w:rsidR="00EE7209" w:rsidRDefault="00EE7209" w:rsidP="00E830D6">
            <w:pPr>
              <w:spacing w:after="88" w:line="250" w:lineRule="auto"/>
              <w:rPr>
                <w:rFonts w:eastAsia="宋体" w:hint="eastAsia"/>
                <w:lang w:eastAsia="zh-CN"/>
              </w:rPr>
            </w:pPr>
            <w:r>
              <w:rPr>
                <w:color w:val="000000"/>
                <w:sz w:val="16"/>
              </w:rPr>
              <w:t>Consent in messaging</w:t>
            </w:r>
          </w:p>
        </w:tc>
        <w:tc>
          <w:tcPr>
            <w:tcW w:w="3286" w:type="dxa"/>
            <w:vAlign w:val="center"/>
          </w:tcPr>
          <w:p w14:paraId="1B7E2FED" w14:textId="7C811271" w:rsidR="00EE7209" w:rsidRDefault="00EE7209" w:rsidP="00E830D6">
            <w:pPr>
              <w:spacing w:after="88" w:line="250" w:lineRule="auto"/>
              <w:rPr>
                <w:rFonts w:eastAsia="宋体" w:hint="eastAsia"/>
                <w:lang w:eastAsia="zh-CN"/>
              </w:rPr>
            </w:pPr>
            <w:r>
              <w:rPr>
                <w:color w:val="000000"/>
                <w:sz w:val="16"/>
              </w:rPr>
              <w:t>A user may feel uncomfortable if joining a circle exposes them to unwanted direct pressure or contact.</w:t>
            </w:r>
          </w:p>
        </w:tc>
        <w:tc>
          <w:tcPr>
            <w:tcW w:w="3685" w:type="dxa"/>
            <w:vAlign w:val="center"/>
          </w:tcPr>
          <w:p w14:paraId="530160FA" w14:textId="23DB8615" w:rsidR="00EE7209" w:rsidRDefault="00EE7209" w:rsidP="00E830D6">
            <w:pPr>
              <w:spacing w:after="88" w:line="250" w:lineRule="auto"/>
              <w:rPr>
                <w:rFonts w:eastAsia="宋体" w:hint="eastAsia"/>
                <w:lang w:eastAsia="zh-CN"/>
              </w:rPr>
            </w:pPr>
            <w:r>
              <w:rPr>
                <w:color w:val="000000"/>
                <w:sz w:val="16"/>
              </w:rPr>
              <w:t>Keep early interaction group-based; provide mute, leave, block and report controls; make private messaging opt-in.</w:t>
            </w:r>
          </w:p>
        </w:tc>
        <w:tc>
          <w:tcPr>
            <w:tcW w:w="1513" w:type="dxa"/>
            <w:vAlign w:val="center"/>
          </w:tcPr>
          <w:p w14:paraId="76F23467" w14:textId="7947BEDE" w:rsidR="00EE7209" w:rsidRDefault="00EE7209" w:rsidP="00E830D6">
            <w:pPr>
              <w:spacing w:after="88" w:line="250" w:lineRule="auto"/>
              <w:rPr>
                <w:rFonts w:eastAsia="宋体" w:hint="eastAsia"/>
                <w:lang w:eastAsia="zh-CN"/>
              </w:rPr>
            </w:pPr>
            <w:r>
              <w:rPr>
                <w:color w:val="000000"/>
                <w:sz w:val="16"/>
              </w:rPr>
              <w:t>Reciprocity</w:t>
            </w:r>
          </w:p>
        </w:tc>
      </w:tr>
      <w:tr w:rsidR="00EE7209" w14:paraId="0EDDA07A" w14:textId="77777777" w:rsidTr="00F37E5A">
        <w:tc>
          <w:tcPr>
            <w:tcW w:w="305" w:type="dxa"/>
            <w:vAlign w:val="center"/>
          </w:tcPr>
          <w:p w14:paraId="00A7BFE8" w14:textId="0A18BB97" w:rsidR="00EE7209" w:rsidRPr="00EE7209" w:rsidRDefault="00EE7209" w:rsidP="00E830D6">
            <w:pPr>
              <w:spacing w:after="88" w:line="250" w:lineRule="auto"/>
              <w:rPr>
                <w:rFonts w:eastAsia="宋体" w:hint="eastAsia"/>
                <w:color w:val="000000"/>
                <w:sz w:val="16"/>
                <w:lang w:eastAsia="zh-CN"/>
              </w:rPr>
            </w:pPr>
            <w:r>
              <w:rPr>
                <w:rFonts w:eastAsia="宋体" w:hint="eastAsia"/>
                <w:color w:val="000000"/>
                <w:sz w:val="16"/>
                <w:lang w:eastAsia="zh-CN"/>
              </w:rPr>
              <w:t>3</w:t>
            </w:r>
          </w:p>
        </w:tc>
        <w:tc>
          <w:tcPr>
            <w:tcW w:w="1479" w:type="dxa"/>
            <w:vAlign w:val="center"/>
          </w:tcPr>
          <w:p w14:paraId="2CC1351A" w14:textId="2D2BB411" w:rsidR="00EE7209" w:rsidRDefault="00EE7209" w:rsidP="00E830D6">
            <w:pPr>
              <w:spacing w:after="88" w:line="250" w:lineRule="auto"/>
              <w:rPr>
                <w:rFonts w:eastAsia="宋体" w:hint="eastAsia"/>
                <w:lang w:eastAsia="zh-CN"/>
              </w:rPr>
            </w:pPr>
            <w:r>
              <w:rPr>
                <w:color w:val="000000"/>
                <w:sz w:val="16"/>
              </w:rPr>
              <w:t>Physical safety at activities</w:t>
            </w:r>
          </w:p>
        </w:tc>
        <w:tc>
          <w:tcPr>
            <w:tcW w:w="3286" w:type="dxa"/>
            <w:vAlign w:val="center"/>
          </w:tcPr>
          <w:p w14:paraId="0B1EE10B" w14:textId="6C84A62A" w:rsidR="00EE7209" w:rsidRDefault="00EE7209" w:rsidP="00E830D6">
            <w:pPr>
              <w:spacing w:after="88" w:line="250" w:lineRule="auto"/>
              <w:rPr>
                <w:rFonts w:eastAsia="宋体" w:hint="eastAsia"/>
                <w:lang w:eastAsia="zh-CN"/>
              </w:rPr>
            </w:pPr>
            <w:r>
              <w:rPr>
                <w:color w:val="000000"/>
                <w:sz w:val="16"/>
              </w:rPr>
              <w:t>The app moves users from online discovery into real-world meetings.</w:t>
            </w:r>
          </w:p>
        </w:tc>
        <w:tc>
          <w:tcPr>
            <w:tcW w:w="3685" w:type="dxa"/>
            <w:vAlign w:val="center"/>
          </w:tcPr>
          <w:p w14:paraId="3AAC181F" w14:textId="0101BE11" w:rsidR="00EE7209" w:rsidRDefault="00EE7209" w:rsidP="00E830D6">
            <w:pPr>
              <w:spacing w:after="88" w:line="250" w:lineRule="auto"/>
              <w:rPr>
                <w:rFonts w:eastAsia="宋体" w:hint="eastAsia"/>
                <w:lang w:eastAsia="zh-CN"/>
              </w:rPr>
            </w:pPr>
            <w:r>
              <w:rPr>
                <w:color w:val="000000"/>
                <w:sz w:val="16"/>
              </w:rPr>
              <w:t>Prefer public venues; verify hosts; show meeting points; provide check-in, emergency guidance and event reporting.</w:t>
            </w:r>
          </w:p>
        </w:tc>
        <w:tc>
          <w:tcPr>
            <w:tcW w:w="1513" w:type="dxa"/>
            <w:vAlign w:val="center"/>
          </w:tcPr>
          <w:p w14:paraId="77262EC8" w14:textId="59D49E84" w:rsidR="00EE7209" w:rsidRDefault="00EE7209" w:rsidP="00E830D6">
            <w:pPr>
              <w:spacing w:after="88" w:line="250" w:lineRule="auto"/>
              <w:rPr>
                <w:rFonts w:eastAsia="宋体" w:hint="eastAsia"/>
                <w:lang w:eastAsia="zh-CN"/>
              </w:rPr>
            </w:pPr>
            <w:r>
              <w:rPr>
                <w:color w:val="000000"/>
                <w:sz w:val="16"/>
              </w:rPr>
              <w:t>Safety</w:t>
            </w:r>
          </w:p>
        </w:tc>
      </w:tr>
      <w:tr w:rsidR="00EE7209" w14:paraId="5C771002" w14:textId="77777777" w:rsidTr="00F37E5A">
        <w:tc>
          <w:tcPr>
            <w:tcW w:w="305" w:type="dxa"/>
            <w:vAlign w:val="center"/>
          </w:tcPr>
          <w:p w14:paraId="6303BF12" w14:textId="71E13ADD" w:rsidR="00EE7209" w:rsidRPr="00EE7209" w:rsidRDefault="00EE7209" w:rsidP="00E830D6">
            <w:pPr>
              <w:spacing w:after="88" w:line="250" w:lineRule="auto"/>
              <w:rPr>
                <w:rFonts w:eastAsia="宋体" w:hint="eastAsia"/>
                <w:color w:val="000000"/>
                <w:sz w:val="16"/>
                <w:lang w:eastAsia="zh-CN"/>
              </w:rPr>
            </w:pPr>
            <w:r>
              <w:rPr>
                <w:rFonts w:eastAsia="宋体" w:hint="eastAsia"/>
                <w:color w:val="000000"/>
                <w:sz w:val="16"/>
                <w:lang w:eastAsia="zh-CN"/>
              </w:rPr>
              <w:t>4</w:t>
            </w:r>
          </w:p>
        </w:tc>
        <w:tc>
          <w:tcPr>
            <w:tcW w:w="1479" w:type="dxa"/>
            <w:vAlign w:val="center"/>
          </w:tcPr>
          <w:p w14:paraId="6762187F" w14:textId="3E79D596" w:rsidR="00EE7209" w:rsidRDefault="00EE7209" w:rsidP="00E830D6">
            <w:pPr>
              <w:spacing w:after="88" w:line="250" w:lineRule="auto"/>
              <w:rPr>
                <w:rFonts w:eastAsia="宋体" w:hint="eastAsia"/>
                <w:lang w:eastAsia="zh-CN"/>
              </w:rPr>
            </w:pPr>
            <w:r>
              <w:rPr>
                <w:color w:val="000000"/>
                <w:sz w:val="16"/>
              </w:rPr>
              <w:t>Pressure through rewards</w:t>
            </w:r>
          </w:p>
        </w:tc>
        <w:tc>
          <w:tcPr>
            <w:tcW w:w="3286" w:type="dxa"/>
            <w:vAlign w:val="center"/>
          </w:tcPr>
          <w:p w14:paraId="3952B879" w14:textId="4ACED76D" w:rsidR="00EE7209" w:rsidRDefault="00EE7209" w:rsidP="00E830D6">
            <w:pPr>
              <w:spacing w:after="88" w:line="250" w:lineRule="auto"/>
              <w:rPr>
                <w:rFonts w:eastAsia="宋体" w:hint="eastAsia"/>
                <w:lang w:eastAsia="zh-CN"/>
              </w:rPr>
            </w:pPr>
            <w:r>
              <w:rPr>
                <w:color w:val="000000"/>
                <w:sz w:val="16"/>
              </w:rPr>
              <w:t>Points, streaks and badges could make friendship feel like a performance or obligation.</w:t>
            </w:r>
          </w:p>
        </w:tc>
        <w:tc>
          <w:tcPr>
            <w:tcW w:w="3685" w:type="dxa"/>
            <w:vAlign w:val="center"/>
          </w:tcPr>
          <w:p w14:paraId="357BC8DC" w14:textId="2EB5F2ED" w:rsidR="00EE7209" w:rsidRDefault="00EE7209" w:rsidP="00E830D6">
            <w:pPr>
              <w:spacing w:after="88" w:line="250" w:lineRule="auto"/>
              <w:rPr>
                <w:rFonts w:eastAsia="宋体" w:hint="eastAsia"/>
                <w:lang w:eastAsia="zh-CN"/>
              </w:rPr>
            </w:pPr>
            <w:r>
              <w:rPr>
                <w:color w:val="000000"/>
                <w:sz w:val="16"/>
              </w:rPr>
              <w:t>Use private, low-stakes rewards; avoid leaderboards, streak loss and public comparison; frame points as encouragement for showing up.</w:t>
            </w:r>
          </w:p>
        </w:tc>
        <w:tc>
          <w:tcPr>
            <w:tcW w:w="1513" w:type="dxa"/>
            <w:vAlign w:val="center"/>
          </w:tcPr>
          <w:p w14:paraId="68D55DA9" w14:textId="30E3EE31" w:rsidR="00EE7209" w:rsidRDefault="00EE7209" w:rsidP="00E830D6">
            <w:pPr>
              <w:spacing w:after="88" w:line="250" w:lineRule="auto"/>
              <w:rPr>
                <w:rFonts w:eastAsia="宋体" w:hint="eastAsia"/>
                <w:lang w:eastAsia="zh-CN"/>
              </w:rPr>
            </w:pPr>
            <w:r>
              <w:rPr>
                <w:color w:val="000000"/>
                <w:sz w:val="16"/>
              </w:rPr>
              <w:t>Care</w:t>
            </w:r>
          </w:p>
        </w:tc>
      </w:tr>
      <w:tr w:rsidR="00EE7209" w14:paraId="3683E25E" w14:textId="77777777" w:rsidTr="00F37E5A">
        <w:tc>
          <w:tcPr>
            <w:tcW w:w="305" w:type="dxa"/>
            <w:vAlign w:val="center"/>
          </w:tcPr>
          <w:p w14:paraId="45823F9D" w14:textId="689C142A" w:rsidR="00EE7209" w:rsidRPr="00EE7209" w:rsidRDefault="00EE7209" w:rsidP="00E830D6">
            <w:pPr>
              <w:spacing w:after="88" w:line="250" w:lineRule="auto"/>
              <w:rPr>
                <w:rFonts w:eastAsia="宋体" w:hint="eastAsia"/>
                <w:color w:val="000000"/>
                <w:sz w:val="16"/>
                <w:lang w:eastAsia="zh-CN"/>
              </w:rPr>
            </w:pPr>
            <w:r>
              <w:rPr>
                <w:rFonts w:eastAsia="宋体" w:hint="eastAsia"/>
                <w:color w:val="000000"/>
                <w:sz w:val="16"/>
                <w:lang w:eastAsia="zh-CN"/>
              </w:rPr>
              <w:t>5</w:t>
            </w:r>
          </w:p>
        </w:tc>
        <w:tc>
          <w:tcPr>
            <w:tcW w:w="1479" w:type="dxa"/>
            <w:vAlign w:val="center"/>
          </w:tcPr>
          <w:p w14:paraId="5EAE00FB" w14:textId="21C60A34" w:rsidR="00EE7209" w:rsidRDefault="00EE7209" w:rsidP="00E830D6">
            <w:pPr>
              <w:spacing w:after="88" w:line="250" w:lineRule="auto"/>
              <w:rPr>
                <w:rFonts w:eastAsia="宋体" w:hint="eastAsia"/>
                <w:lang w:eastAsia="zh-CN"/>
              </w:rPr>
            </w:pPr>
            <w:r>
              <w:rPr>
                <w:color w:val="000000"/>
                <w:sz w:val="16"/>
              </w:rPr>
              <w:t>Exclusion and bias</w:t>
            </w:r>
          </w:p>
        </w:tc>
        <w:tc>
          <w:tcPr>
            <w:tcW w:w="3286" w:type="dxa"/>
            <w:vAlign w:val="center"/>
          </w:tcPr>
          <w:p w14:paraId="5468785F" w14:textId="7B37C3A3" w:rsidR="00EE7209" w:rsidRDefault="00EE7209" w:rsidP="00E830D6">
            <w:pPr>
              <w:spacing w:after="88" w:line="250" w:lineRule="auto"/>
              <w:rPr>
                <w:rFonts w:eastAsia="宋体" w:hint="eastAsia"/>
                <w:lang w:eastAsia="zh-CN"/>
              </w:rPr>
            </w:pPr>
            <w:r>
              <w:rPr>
                <w:color w:val="000000"/>
                <w:sz w:val="16"/>
              </w:rPr>
              <w:t>Matching by language or interests could isolate users or reproduce social bubbles.</w:t>
            </w:r>
          </w:p>
        </w:tc>
        <w:tc>
          <w:tcPr>
            <w:tcW w:w="3685" w:type="dxa"/>
            <w:vAlign w:val="center"/>
          </w:tcPr>
          <w:p w14:paraId="46DEB086" w14:textId="4F559992" w:rsidR="00EE7209" w:rsidRDefault="00EE7209" w:rsidP="00E830D6">
            <w:pPr>
              <w:spacing w:after="88" w:line="250" w:lineRule="auto"/>
              <w:rPr>
                <w:rFonts w:eastAsia="宋体" w:hint="eastAsia"/>
                <w:lang w:eastAsia="zh-CN"/>
              </w:rPr>
            </w:pPr>
            <w:r>
              <w:rPr>
                <w:color w:val="000000"/>
                <w:sz w:val="16"/>
              </w:rPr>
              <w:t>Offer diverse circle recommendations; include newcomer-friendly mixed groups; monitor whether some users are repeatedly excluded.</w:t>
            </w:r>
          </w:p>
        </w:tc>
        <w:tc>
          <w:tcPr>
            <w:tcW w:w="1513" w:type="dxa"/>
            <w:vAlign w:val="center"/>
          </w:tcPr>
          <w:p w14:paraId="6826E09D" w14:textId="26052064" w:rsidR="00EE7209" w:rsidRDefault="00EE7209" w:rsidP="00E830D6">
            <w:pPr>
              <w:spacing w:after="88" w:line="250" w:lineRule="auto"/>
              <w:rPr>
                <w:rFonts w:eastAsia="宋体" w:hint="eastAsia"/>
                <w:lang w:eastAsia="zh-CN"/>
              </w:rPr>
            </w:pPr>
            <w:r>
              <w:rPr>
                <w:color w:val="000000"/>
                <w:sz w:val="16"/>
              </w:rPr>
              <w:t>Inclusion</w:t>
            </w:r>
          </w:p>
        </w:tc>
      </w:tr>
      <w:tr w:rsidR="00EE7209" w14:paraId="79C8D78E" w14:textId="77777777" w:rsidTr="00F37E5A">
        <w:tc>
          <w:tcPr>
            <w:tcW w:w="305" w:type="dxa"/>
            <w:vAlign w:val="center"/>
          </w:tcPr>
          <w:p w14:paraId="17B9D916" w14:textId="46BE6E0B" w:rsidR="00EE7209" w:rsidRPr="00EE7209" w:rsidRDefault="00EE7209" w:rsidP="00E830D6">
            <w:pPr>
              <w:spacing w:after="88" w:line="250" w:lineRule="auto"/>
              <w:rPr>
                <w:rFonts w:eastAsia="宋体" w:hint="eastAsia"/>
                <w:color w:val="000000"/>
                <w:sz w:val="16"/>
                <w:lang w:eastAsia="zh-CN"/>
              </w:rPr>
            </w:pPr>
            <w:r>
              <w:rPr>
                <w:rFonts w:eastAsia="宋体" w:hint="eastAsia"/>
                <w:color w:val="000000"/>
                <w:sz w:val="16"/>
                <w:lang w:eastAsia="zh-CN"/>
              </w:rPr>
              <w:t>6</w:t>
            </w:r>
          </w:p>
        </w:tc>
        <w:tc>
          <w:tcPr>
            <w:tcW w:w="1479" w:type="dxa"/>
            <w:vAlign w:val="center"/>
          </w:tcPr>
          <w:p w14:paraId="7C90093C" w14:textId="30CF31E5" w:rsidR="00EE7209" w:rsidRPr="00E830D6" w:rsidRDefault="00EE7209" w:rsidP="00E830D6">
            <w:pPr>
              <w:spacing w:after="88" w:line="250" w:lineRule="auto"/>
              <w:rPr>
                <w:rFonts w:eastAsia="宋体" w:hint="eastAsia"/>
                <w:lang w:eastAsia="zh-CN"/>
              </w:rPr>
            </w:pPr>
            <w:r>
              <w:rPr>
                <w:color w:val="000000"/>
                <w:sz w:val="16"/>
              </w:rPr>
              <w:t>Host power and</w:t>
            </w:r>
            <w:r>
              <w:rPr>
                <w:rFonts w:eastAsia="宋体" w:hint="eastAsia"/>
                <w:color w:val="000000"/>
                <w:sz w:val="16"/>
                <w:lang w:eastAsia="zh-CN"/>
              </w:rPr>
              <w:t xml:space="preserve"> </w:t>
            </w:r>
            <w:r>
              <w:rPr>
                <w:color w:val="000000"/>
                <w:sz w:val="16"/>
              </w:rPr>
              <w:t>responsibility</w:t>
            </w:r>
          </w:p>
        </w:tc>
        <w:tc>
          <w:tcPr>
            <w:tcW w:w="3286" w:type="dxa"/>
            <w:vAlign w:val="center"/>
          </w:tcPr>
          <w:p w14:paraId="3CBF41E0" w14:textId="5B4FEF90" w:rsidR="00EE7209" w:rsidRDefault="00EE7209" w:rsidP="00E830D6">
            <w:pPr>
              <w:spacing w:after="88" w:line="250" w:lineRule="auto"/>
              <w:rPr>
                <w:rFonts w:eastAsia="宋体" w:hint="eastAsia"/>
                <w:lang w:eastAsia="zh-CN"/>
              </w:rPr>
            </w:pPr>
            <w:r>
              <w:rPr>
                <w:color w:val="000000"/>
                <w:sz w:val="16"/>
              </w:rPr>
              <w:t>Hosts can see support needs and shape the tone of the group.</w:t>
            </w:r>
          </w:p>
        </w:tc>
        <w:tc>
          <w:tcPr>
            <w:tcW w:w="3685" w:type="dxa"/>
            <w:vAlign w:val="center"/>
          </w:tcPr>
          <w:p w14:paraId="104F0A9D" w14:textId="159CFD6B" w:rsidR="00EE7209" w:rsidRDefault="00EE7209" w:rsidP="00E830D6">
            <w:pPr>
              <w:spacing w:after="88" w:line="250" w:lineRule="auto"/>
              <w:rPr>
                <w:rFonts w:eastAsia="宋体" w:hint="eastAsia"/>
                <w:lang w:eastAsia="zh-CN"/>
              </w:rPr>
            </w:pPr>
            <w:r>
              <w:rPr>
                <w:color w:val="000000"/>
                <w:sz w:val="16"/>
              </w:rPr>
              <w:t>Collect the minimum data needed; set retention periods; allow users to export and delete their data.</w:t>
            </w:r>
          </w:p>
        </w:tc>
        <w:tc>
          <w:tcPr>
            <w:tcW w:w="1513" w:type="dxa"/>
            <w:vAlign w:val="center"/>
          </w:tcPr>
          <w:p w14:paraId="4356F384" w14:textId="3C5FFFF1" w:rsidR="00EE7209" w:rsidRDefault="00EE7209" w:rsidP="00E830D6">
            <w:pPr>
              <w:spacing w:after="88" w:line="250" w:lineRule="auto"/>
              <w:rPr>
                <w:rFonts w:eastAsia="宋体" w:hint="eastAsia"/>
                <w:lang w:eastAsia="zh-CN"/>
              </w:rPr>
            </w:pPr>
            <w:r>
              <w:rPr>
                <w:color w:val="000000"/>
                <w:sz w:val="16"/>
              </w:rPr>
              <w:t>Accountability</w:t>
            </w:r>
          </w:p>
        </w:tc>
      </w:tr>
      <w:tr w:rsidR="00EE7209" w14:paraId="606A7075" w14:textId="77777777" w:rsidTr="00F37E5A">
        <w:tc>
          <w:tcPr>
            <w:tcW w:w="305" w:type="dxa"/>
            <w:vAlign w:val="center"/>
          </w:tcPr>
          <w:p w14:paraId="11555E50" w14:textId="12906D39" w:rsidR="00EE7209" w:rsidRPr="00EE7209" w:rsidRDefault="00EE7209" w:rsidP="00E830D6">
            <w:pPr>
              <w:spacing w:after="88" w:line="250" w:lineRule="auto"/>
              <w:rPr>
                <w:rFonts w:eastAsia="宋体" w:hint="eastAsia"/>
                <w:color w:val="000000"/>
                <w:sz w:val="16"/>
                <w:lang w:eastAsia="zh-CN"/>
              </w:rPr>
            </w:pPr>
            <w:r>
              <w:rPr>
                <w:rFonts w:eastAsia="宋体" w:hint="eastAsia"/>
                <w:color w:val="000000"/>
                <w:sz w:val="16"/>
                <w:lang w:eastAsia="zh-CN"/>
              </w:rPr>
              <w:t>7</w:t>
            </w:r>
          </w:p>
        </w:tc>
        <w:tc>
          <w:tcPr>
            <w:tcW w:w="1479" w:type="dxa"/>
            <w:vAlign w:val="center"/>
          </w:tcPr>
          <w:p w14:paraId="2902632A" w14:textId="4FC9F1FD" w:rsidR="00EE7209" w:rsidRDefault="00EE7209" w:rsidP="00E830D6">
            <w:pPr>
              <w:spacing w:after="88" w:line="250" w:lineRule="auto"/>
              <w:rPr>
                <w:rFonts w:eastAsia="宋体" w:hint="eastAsia"/>
                <w:lang w:eastAsia="zh-CN"/>
              </w:rPr>
            </w:pPr>
            <w:r>
              <w:rPr>
                <w:color w:val="000000"/>
                <w:sz w:val="16"/>
              </w:rPr>
              <w:t>Data retention</w:t>
            </w:r>
          </w:p>
        </w:tc>
        <w:tc>
          <w:tcPr>
            <w:tcW w:w="3286" w:type="dxa"/>
            <w:vAlign w:val="center"/>
          </w:tcPr>
          <w:p w14:paraId="5BA31068" w14:textId="79DDB33C" w:rsidR="00EE7209" w:rsidRDefault="00EE7209" w:rsidP="00E830D6">
            <w:pPr>
              <w:spacing w:after="88" w:line="250" w:lineRule="auto"/>
              <w:rPr>
                <w:rFonts w:eastAsia="宋体" w:hint="eastAsia"/>
                <w:lang w:eastAsia="zh-CN"/>
              </w:rPr>
            </w:pPr>
            <w:r>
              <w:rPr>
                <w:color w:val="000000"/>
                <w:sz w:val="16"/>
              </w:rPr>
              <w:t>Hosts can see support needs and shape the tone of the group.</w:t>
            </w:r>
          </w:p>
        </w:tc>
        <w:tc>
          <w:tcPr>
            <w:tcW w:w="3685" w:type="dxa"/>
            <w:vAlign w:val="center"/>
          </w:tcPr>
          <w:p w14:paraId="19B950EE" w14:textId="12E42FED" w:rsidR="00EE7209" w:rsidRDefault="00EE7209" w:rsidP="00E830D6">
            <w:pPr>
              <w:spacing w:after="88" w:line="250" w:lineRule="auto"/>
              <w:rPr>
                <w:rFonts w:eastAsia="宋体" w:hint="eastAsia"/>
                <w:lang w:eastAsia="zh-CN"/>
              </w:rPr>
            </w:pPr>
            <w:r>
              <w:rPr>
                <w:color w:val="000000"/>
                <w:sz w:val="16"/>
              </w:rPr>
              <w:t>Collect the minimum data needed; set retention periods; allow users to export and delete their data.</w:t>
            </w:r>
          </w:p>
        </w:tc>
        <w:tc>
          <w:tcPr>
            <w:tcW w:w="1513" w:type="dxa"/>
            <w:vAlign w:val="center"/>
          </w:tcPr>
          <w:p w14:paraId="75628A8E" w14:textId="67533D23" w:rsidR="00EE7209" w:rsidRDefault="00EE7209" w:rsidP="00E830D6">
            <w:pPr>
              <w:spacing w:after="88" w:line="250" w:lineRule="auto"/>
              <w:rPr>
                <w:rFonts w:eastAsia="宋体" w:hint="eastAsia"/>
                <w:lang w:eastAsia="zh-CN"/>
              </w:rPr>
            </w:pPr>
            <w:r>
              <w:rPr>
                <w:color w:val="000000"/>
                <w:sz w:val="16"/>
              </w:rPr>
              <w:t>Autonomy</w:t>
            </w:r>
          </w:p>
        </w:tc>
      </w:tr>
      <w:tr w:rsidR="00EE7209" w14:paraId="7EF65377" w14:textId="77777777" w:rsidTr="00F37E5A">
        <w:tc>
          <w:tcPr>
            <w:tcW w:w="305" w:type="dxa"/>
            <w:tcBorders>
              <w:bottom w:val="single" w:sz="12" w:space="0" w:color="auto"/>
            </w:tcBorders>
            <w:vAlign w:val="center"/>
          </w:tcPr>
          <w:p w14:paraId="657791D5" w14:textId="49BAD349" w:rsidR="00EE7209" w:rsidRPr="00EE7209" w:rsidRDefault="00EE7209" w:rsidP="00E830D6">
            <w:pPr>
              <w:spacing w:after="88" w:line="250" w:lineRule="auto"/>
              <w:rPr>
                <w:rFonts w:eastAsia="宋体" w:hint="eastAsia"/>
                <w:color w:val="000000"/>
                <w:sz w:val="16"/>
                <w:lang w:eastAsia="zh-CN"/>
              </w:rPr>
            </w:pPr>
            <w:r>
              <w:rPr>
                <w:rFonts w:eastAsia="宋体" w:hint="eastAsia"/>
                <w:color w:val="000000"/>
                <w:sz w:val="16"/>
                <w:lang w:eastAsia="zh-CN"/>
              </w:rPr>
              <w:t>8</w:t>
            </w:r>
          </w:p>
        </w:tc>
        <w:tc>
          <w:tcPr>
            <w:tcW w:w="1479" w:type="dxa"/>
            <w:tcBorders>
              <w:bottom w:val="single" w:sz="12" w:space="0" w:color="auto"/>
            </w:tcBorders>
            <w:vAlign w:val="center"/>
          </w:tcPr>
          <w:p w14:paraId="6E69108B" w14:textId="130FF004" w:rsidR="00EE7209" w:rsidRDefault="00EE7209" w:rsidP="00E830D6">
            <w:pPr>
              <w:spacing w:after="88" w:line="250" w:lineRule="auto"/>
              <w:rPr>
                <w:rFonts w:eastAsia="宋体" w:hint="eastAsia"/>
                <w:lang w:eastAsia="zh-CN"/>
              </w:rPr>
            </w:pPr>
            <w:r>
              <w:rPr>
                <w:color w:val="000000"/>
                <w:sz w:val="16"/>
              </w:rPr>
              <w:t xml:space="preserve">Cultural </w:t>
            </w:r>
            <w:r>
              <w:rPr>
                <w:color w:val="000000"/>
                <w:sz w:val="16"/>
              </w:rPr>
              <w:lastRenderedPageBreak/>
              <w:t>misunderstanding</w:t>
            </w:r>
          </w:p>
        </w:tc>
        <w:tc>
          <w:tcPr>
            <w:tcW w:w="3286" w:type="dxa"/>
            <w:tcBorders>
              <w:bottom w:val="single" w:sz="12" w:space="0" w:color="auto"/>
            </w:tcBorders>
            <w:vAlign w:val="center"/>
          </w:tcPr>
          <w:p w14:paraId="4FAC8EBE" w14:textId="2AD7C27D" w:rsidR="00EE7209" w:rsidRDefault="00EE7209" w:rsidP="00E830D6">
            <w:pPr>
              <w:spacing w:after="88" w:line="250" w:lineRule="auto"/>
              <w:rPr>
                <w:rFonts w:eastAsia="宋体" w:hint="eastAsia"/>
                <w:lang w:eastAsia="zh-CN"/>
              </w:rPr>
            </w:pPr>
            <w:r>
              <w:rPr>
                <w:color w:val="000000"/>
                <w:sz w:val="16"/>
              </w:rPr>
              <w:lastRenderedPageBreak/>
              <w:t xml:space="preserve">Newcomers may have different expectations around conversation, privacy </w:t>
            </w:r>
            <w:r>
              <w:rPr>
                <w:color w:val="000000"/>
                <w:sz w:val="16"/>
              </w:rPr>
              <w:lastRenderedPageBreak/>
              <w:t>and friendship.</w:t>
            </w:r>
          </w:p>
        </w:tc>
        <w:tc>
          <w:tcPr>
            <w:tcW w:w="3685" w:type="dxa"/>
            <w:tcBorders>
              <w:bottom w:val="single" w:sz="12" w:space="0" w:color="auto"/>
            </w:tcBorders>
            <w:vAlign w:val="center"/>
          </w:tcPr>
          <w:p w14:paraId="29ECFEBE" w14:textId="057E8890" w:rsidR="00EE7209" w:rsidRDefault="00EE7209" w:rsidP="00E830D6">
            <w:pPr>
              <w:spacing w:after="88" w:line="250" w:lineRule="auto"/>
              <w:rPr>
                <w:rFonts w:eastAsia="宋体" w:hint="eastAsia"/>
                <w:lang w:eastAsia="zh-CN"/>
              </w:rPr>
            </w:pPr>
            <w:r>
              <w:rPr>
                <w:color w:val="000000"/>
                <w:sz w:val="16"/>
              </w:rPr>
              <w:lastRenderedPageBreak/>
              <w:t xml:space="preserve">Use inclusive language, multilingual support, clear event norms and optional written activity </w:t>
            </w:r>
            <w:r>
              <w:rPr>
                <w:color w:val="000000"/>
                <w:sz w:val="16"/>
              </w:rPr>
              <w:lastRenderedPageBreak/>
              <w:t>instructions.</w:t>
            </w:r>
          </w:p>
        </w:tc>
        <w:tc>
          <w:tcPr>
            <w:tcW w:w="1513" w:type="dxa"/>
            <w:tcBorders>
              <w:bottom w:val="single" w:sz="12" w:space="0" w:color="auto"/>
            </w:tcBorders>
            <w:vAlign w:val="center"/>
          </w:tcPr>
          <w:p w14:paraId="03F59233" w14:textId="5A704BB3" w:rsidR="00EE7209" w:rsidRDefault="00EE7209" w:rsidP="00E830D6">
            <w:pPr>
              <w:spacing w:after="88" w:line="250" w:lineRule="auto"/>
              <w:rPr>
                <w:rFonts w:eastAsia="宋体" w:hint="eastAsia"/>
                <w:lang w:eastAsia="zh-CN"/>
              </w:rPr>
            </w:pPr>
            <w:r>
              <w:rPr>
                <w:color w:val="000000"/>
                <w:sz w:val="16"/>
              </w:rPr>
              <w:lastRenderedPageBreak/>
              <w:t>Respect</w:t>
            </w:r>
          </w:p>
        </w:tc>
      </w:tr>
    </w:tbl>
    <w:p w14:paraId="3EDAC3A3" w14:textId="77777777" w:rsidR="00F07A1D" w:rsidRPr="00F07A1D" w:rsidRDefault="00F07A1D">
      <w:pPr>
        <w:spacing w:after="88" w:line="250" w:lineRule="auto"/>
        <w:rPr>
          <w:rFonts w:eastAsia="宋体" w:hint="eastAsia"/>
          <w:lang w:eastAsia="zh-CN"/>
        </w:rPr>
      </w:pPr>
    </w:p>
    <w:p w14:paraId="7D97B0CC" w14:textId="08268F9C" w:rsidR="00B63A24" w:rsidRDefault="00000000">
      <w:pPr>
        <w:spacing w:after="88" w:line="250" w:lineRule="auto"/>
      </w:pPr>
      <w:r>
        <w:rPr>
          <w:color w:val="000000"/>
        </w:rPr>
        <w:t xml:space="preserve">These actions follow an anticipatory approach to ethics. </w:t>
      </w:r>
      <w:r w:rsidR="0066534E">
        <w:rPr>
          <w:color w:val="000000"/>
        </w:rPr>
        <w:fldChar w:fldCharType="begin"/>
      </w:r>
      <w:r w:rsidR="0066534E">
        <w:rPr>
          <w:color w:val="000000"/>
        </w:rPr>
        <w:instrText xml:space="preserve"> ADDIN ZOTERO_ITEM CSL_CITATION {"citationID":"KkUpQmIO","properties":{"unsorted":false,"formattedCitation":"(Kudina &amp; Verbeek, 2019)","plainCitation":"(Kudina &amp; Verbeek, 2019)","noteIndex":0},"citationItems":[{"id":119,"uris":["http://zotero.org/users/local/2qTywF3F/items/QX729FQF"],"itemData":{"id":119,"type":"article-journal","abstract":"Following the “control dilemma” of Collingridge, influencing technological developments is easy when their implications are not yet manifest, yet once we know these implications, they are difficult to change. This article revisits the Collingridge dilemma in the context of contemporary ethics of technology, when technologies affect both society and the value frameworks we use to evaluate them. Early in its development, we do not know how a technology will affect the value frameworks from which it will be evaluated, while later, when the implications for society and morality are clearer, it is more difficult to guide the development in a desirable direction. Present-day approaches to this dilemma focus on methods to anticipate ethical impacts of a technology (“technomoral scenarios”), being too speculative to be reliable, or on ethically regulating technological developments (“sociotechnical experiments”), discarding anticipation of the future implications. We present the approach of technological mediation as an alternative that focuses on the dynamics of the interaction between technologies and human values. By investigating online discussions about Google Glass, we examine how people articulate new meanings of the value of privacy. This study of “morality in the making” allows developing a modest and empirically informed form of anticipation.","container-title":"Science, Technology, &amp; Human Values","DOI":"10.1177/0162243918793711","ISSN":"0162-2439, 1552-8251","issue":"2","journalAbbreviation":"Sci., Technol. Hum. Values","language":"en","page":"291-314","source":"DOI.org (Crossref)","title":"Ethics from within: google glass, the collingridge dilemma, and the mediated value of privacy","title-short":"Ethics from within","volume":"44","author":[{"family":"Kudina","given":"Olya"},{"family":"Verbeek","given":"Peter-Paul"}],"issued":{"date-parts":[["2019",3]]}}}],"schema":"https://github.com/citation-style-language/schema/raw/master/csl-citation.json"} </w:instrText>
      </w:r>
      <w:r w:rsidR="0066534E">
        <w:rPr>
          <w:color w:val="000000"/>
        </w:rPr>
        <w:fldChar w:fldCharType="separate"/>
      </w:r>
      <w:r w:rsidR="0066534E" w:rsidRPr="0066534E">
        <w:rPr>
          <w:rFonts w:cs="Arial"/>
        </w:rPr>
        <w:t>(</w:t>
      </w:r>
      <w:proofErr w:type="spellStart"/>
      <w:r w:rsidR="0066534E" w:rsidRPr="0066534E">
        <w:rPr>
          <w:rFonts w:cs="Arial"/>
        </w:rPr>
        <w:t>Kudina</w:t>
      </w:r>
      <w:proofErr w:type="spellEnd"/>
      <w:r w:rsidR="0066534E" w:rsidRPr="0066534E">
        <w:rPr>
          <w:rFonts w:cs="Arial"/>
        </w:rPr>
        <w:t xml:space="preserve"> &amp; Verbeek, 2019)</w:t>
      </w:r>
      <w:r w:rsidR="0066534E">
        <w:rPr>
          <w:color w:val="000000"/>
        </w:rPr>
        <w:fldChar w:fldCharType="end"/>
      </w:r>
      <w:r>
        <w:rPr>
          <w:color w:val="000000"/>
        </w:rPr>
        <w:t xml:space="preserve"> show that technologies and values can change together as people encounter new forms of mediation. For FriendZone, this means privacy, comfort and social obligation should be evaluated through testing with newcomers and circle hosts, not assumed once at the start. Early prototype sessions should ask users what information they feel comfortable sharing, what types of prompts feel supportive, and when rewards or daily nudges become pressure. This feedback should be used to revise the interface before wider deployment.</w:t>
      </w:r>
    </w:p>
    <w:p w14:paraId="3F668B74" w14:textId="77777777" w:rsidR="00B63A24" w:rsidRDefault="00000000">
      <w:pPr>
        <w:pStyle w:val="1"/>
        <w:spacing w:before="280" w:after="100"/>
      </w:pPr>
      <w:r>
        <w:rPr>
          <w:rFonts w:ascii="Arial" w:hAnsi="Arial"/>
          <w:color w:val="000000"/>
        </w:rPr>
        <w:t>Conclusion</w:t>
      </w:r>
    </w:p>
    <w:p w14:paraId="5C00B908" w14:textId="77777777" w:rsidR="00B63A24" w:rsidRDefault="00000000">
      <w:pPr>
        <w:spacing w:after="88" w:line="250" w:lineRule="auto"/>
      </w:pPr>
      <w:r>
        <w:rPr>
          <w:color w:val="000000"/>
        </w:rPr>
        <w:t>FriendZone proposes a care-centred way to help newcomers form local relationships at their own pace. Its contribution is not simply to recommend events, but to redesign the fragile transition between wanting connection and entering a new social space. By combining interest-based circles, gentle prompts, small-group discovery, chat continuity, meetup participation and low-stakes rewards, the application supports people who may otherwise remain isolated. The ethical challenge is to ensure that the same technology that makes connection easier does not expose vulnerability, pressure users, or turn friendship into measurable performance. For this reason, privacy, consent, safety and inclusion must remain core design requirements throughout the project.</w:t>
      </w:r>
    </w:p>
    <w:p w14:paraId="22C74438" w14:textId="77777777" w:rsidR="00B63A24" w:rsidRDefault="00000000">
      <w:pPr>
        <w:pStyle w:val="1"/>
        <w:spacing w:before="280" w:after="100"/>
      </w:pPr>
      <w:r>
        <w:rPr>
          <w:rFonts w:ascii="Arial" w:hAnsi="Arial"/>
          <w:color w:val="000000"/>
        </w:rPr>
        <w:t>AI Acknowledgement</w:t>
      </w:r>
    </w:p>
    <w:p w14:paraId="5190E9CA" w14:textId="77777777" w:rsidR="00B63A24" w:rsidRDefault="00000000">
      <w:pPr>
        <w:spacing w:after="88" w:line="250" w:lineRule="auto"/>
      </w:pPr>
      <w:r>
        <w:rPr>
          <w:color w:val="000000"/>
        </w:rPr>
        <w:t>This proposal draft was prepared with assistance from ChatGPT/Codex to structure the report, refine academic wording, and organise ethical issues from the supplied tutorial materials, readings and FriendZone prototype. Before submission, the final author should review the content, revise it to reflect their own design decisions and add a shareable public link to the AI chat if required by the course.</w:t>
      </w:r>
    </w:p>
    <w:p w14:paraId="3F65D53B" w14:textId="77777777" w:rsidR="00B63A24" w:rsidRPr="0066534E" w:rsidRDefault="00000000">
      <w:pPr>
        <w:pStyle w:val="1"/>
        <w:spacing w:before="280" w:after="100"/>
        <w:rPr>
          <w:rFonts w:eastAsia="宋体" w:hint="eastAsia"/>
          <w:lang w:eastAsia="zh-CN"/>
        </w:rPr>
      </w:pPr>
      <w:r>
        <w:rPr>
          <w:rFonts w:ascii="Arial" w:hAnsi="Arial"/>
          <w:color w:val="000000"/>
        </w:rPr>
        <w:t>References</w:t>
      </w:r>
    </w:p>
    <w:p w14:paraId="2611C753" w14:textId="77777777" w:rsidR="0066534E" w:rsidRPr="0066534E" w:rsidRDefault="0066534E" w:rsidP="0066534E">
      <w:pPr>
        <w:pStyle w:val="aff9"/>
      </w:pPr>
      <w:r>
        <w:rPr>
          <w:rFonts w:eastAsia="宋体"/>
          <w:color w:val="000000"/>
          <w:lang w:eastAsia="zh-CN"/>
        </w:rPr>
        <w:fldChar w:fldCharType="begin"/>
      </w:r>
      <w:r>
        <w:rPr>
          <w:rFonts w:eastAsia="宋体"/>
          <w:color w:val="000000"/>
          <w:lang w:eastAsia="zh-CN"/>
        </w:rPr>
        <w:instrText xml:space="preserve"> ADDIN ZOTERO_BIBL {"uncited":[],"omitted":[],"custom":[]} CSL_BIBLIOGRAPHY </w:instrText>
      </w:r>
      <w:r>
        <w:rPr>
          <w:rFonts w:eastAsia="宋体"/>
          <w:color w:val="000000"/>
          <w:lang w:eastAsia="zh-CN"/>
        </w:rPr>
        <w:fldChar w:fldCharType="separate"/>
      </w:r>
      <w:r w:rsidRPr="0066534E">
        <w:t xml:space="preserve">Freil, L., Byrne, C., Valentin, G., Zeagler, C., Roberts, D., Starner, T., &amp; Jackson, M. (2017). Canine-centered computing. </w:t>
      </w:r>
      <w:r w:rsidRPr="0066534E">
        <w:rPr>
          <w:i/>
          <w:iCs/>
        </w:rPr>
        <w:t>Foundations and Trends® in Human–Computer Interaction</w:t>
      </w:r>
      <w:r w:rsidRPr="0066534E">
        <w:t xml:space="preserve">, </w:t>
      </w:r>
      <w:r w:rsidRPr="0066534E">
        <w:rPr>
          <w:i/>
          <w:iCs/>
        </w:rPr>
        <w:t>10</w:t>
      </w:r>
      <w:r w:rsidRPr="0066534E">
        <w:t>(2), 87–164. https://doi.org/10.1561/1100000064</w:t>
      </w:r>
    </w:p>
    <w:p w14:paraId="13188988" w14:textId="77777777" w:rsidR="0066534E" w:rsidRPr="0066534E" w:rsidRDefault="0066534E" w:rsidP="0066534E">
      <w:pPr>
        <w:pStyle w:val="aff9"/>
      </w:pPr>
      <w:proofErr w:type="spellStart"/>
      <w:r w:rsidRPr="0066534E">
        <w:t>Kudina</w:t>
      </w:r>
      <w:proofErr w:type="spellEnd"/>
      <w:r w:rsidRPr="0066534E">
        <w:t xml:space="preserve">, O., &amp; Verbeek, P.-P. (2019). Ethics from within: Google glass, the </w:t>
      </w:r>
      <w:proofErr w:type="spellStart"/>
      <w:r w:rsidRPr="0066534E">
        <w:t>collingridge</w:t>
      </w:r>
      <w:proofErr w:type="spellEnd"/>
      <w:r w:rsidRPr="0066534E">
        <w:t xml:space="preserve"> dilemma, and the mediated value of privacy. </w:t>
      </w:r>
      <w:r w:rsidRPr="0066534E">
        <w:rPr>
          <w:i/>
          <w:iCs/>
        </w:rPr>
        <w:t>Science, Technology, &amp; Human Values</w:t>
      </w:r>
      <w:r w:rsidRPr="0066534E">
        <w:t xml:space="preserve">, </w:t>
      </w:r>
      <w:r w:rsidRPr="0066534E">
        <w:rPr>
          <w:i/>
          <w:iCs/>
        </w:rPr>
        <w:t>44</w:t>
      </w:r>
      <w:r w:rsidRPr="0066534E">
        <w:t>(2), 291–314. https://doi.org/10.1177/0162243918793711</w:t>
      </w:r>
    </w:p>
    <w:p w14:paraId="2F60D9BC" w14:textId="77777777" w:rsidR="0066534E" w:rsidRPr="0066534E" w:rsidRDefault="0066534E" w:rsidP="0066534E">
      <w:pPr>
        <w:pStyle w:val="aff9"/>
      </w:pPr>
      <w:r w:rsidRPr="0066534E">
        <w:t xml:space="preserve">Verbeek, P.-P. (2006). Materializing morality: Design ethics and technological mediation. </w:t>
      </w:r>
      <w:r w:rsidRPr="0066534E">
        <w:rPr>
          <w:i/>
          <w:iCs/>
        </w:rPr>
        <w:t>Science, Technology, &amp; Human Values</w:t>
      </w:r>
      <w:r w:rsidRPr="0066534E">
        <w:t xml:space="preserve">, </w:t>
      </w:r>
      <w:r w:rsidRPr="0066534E">
        <w:rPr>
          <w:i/>
          <w:iCs/>
        </w:rPr>
        <w:t>31</w:t>
      </w:r>
      <w:r w:rsidRPr="0066534E">
        <w:t>(3), 361–380. https://doi.org/10.1177/0162243905285847</w:t>
      </w:r>
    </w:p>
    <w:p w14:paraId="681CB6BD" w14:textId="1700A2FA" w:rsidR="00B63A24" w:rsidRDefault="0066534E" w:rsidP="0066534E">
      <w:pPr>
        <w:spacing w:after="100" w:line="250" w:lineRule="auto"/>
        <w:ind w:left="360" w:hanging="360"/>
      </w:pPr>
      <w:r>
        <w:rPr>
          <w:rFonts w:eastAsia="宋体"/>
          <w:color w:val="000000"/>
          <w:lang w:eastAsia="zh-CN"/>
        </w:rPr>
        <w:fldChar w:fldCharType="end"/>
      </w:r>
    </w:p>
    <w:sectPr w:rsidR="00B63A24" w:rsidSect="00034616">
      <w:pgSz w:w="12240" w:h="15840"/>
      <w:pgMar w:top="907" w:right="1094" w:bottom="907"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5537055">
    <w:abstractNumId w:val="8"/>
  </w:num>
  <w:num w:numId="2" w16cid:durableId="626590499">
    <w:abstractNumId w:val="6"/>
  </w:num>
  <w:num w:numId="3" w16cid:durableId="617107115">
    <w:abstractNumId w:val="5"/>
  </w:num>
  <w:num w:numId="4" w16cid:durableId="822089395">
    <w:abstractNumId w:val="4"/>
  </w:num>
  <w:num w:numId="5" w16cid:durableId="1450857444">
    <w:abstractNumId w:val="7"/>
  </w:num>
  <w:num w:numId="6" w16cid:durableId="1515799330">
    <w:abstractNumId w:val="3"/>
  </w:num>
  <w:num w:numId="7" w16cid:durableId="2021273669">
    <w:abstractNumId w:val="2"/>
  </w:num>
  <w:num w:numId="8" w16cid:durableId="14238186">
    <w:abstractNumId w:val="1"/>
  </w:num>
  <w:num w:numId="9" w16cid:durableId="803623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7AE"/>
    <w:rsid w:val="0029639D"/>
    <w:rsid w:val="00326F90"/>
    <w:rsid w:val="00450DDD"/>
    <w:rsid w:val="004A53F0"/>
    <w:rsid w:val="00591635"/>
    <w:rsid w:val="0059448D"/>
    <w:rsid w:val="0066534E"/>
    <w:rsid w:val="0085509B"/>
    <w:rsid w:val="00890BED"/>
    <w:rsid w:val="00907E85"/>
    <w:rsid w:val="00AA1D8D"/>
    <w:rsid w:val="00B47730"/>
    <w:rsid w:val="00B63A24"/>
    <w:rsid w:val="00CB0664"/>
    <w:rsid w:val="00D346EA"/>
    <w:rsid w:val="00E31E48"/>
    <w:rsid w:val="00E830D6"/>
    <w:rsid w:val="00EE7209"/>
    <w:rsid w:val="00F07A1D"/>
    <w:rsid w:val="00F37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F544BA"/>
  <w14:defaultImageDpi w14:val="300"/>
  <w15:docId w15:val="{36A3E4F7-391A-4096-9D63-CF1D5511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Bibliography"/>
    <w:basedOn w:val="a1"/>
    <w:next w:val="a1"/>
    <w:uiPriority w:val="37"/>
    <w:unhideWhenUsed/>
    <w:rsid w:val="0066534E"/>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Pages>
  <Words>2644</Words>
  <Characters>16102</Characters>
  <Application>Microsoft Office Word</Application>
  <DocSecurity>0</DocSecurity>
  <Lines>287</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Yuyang Gong</cp:lastModifiedBy>
  <cp:revision>15</cp:revision>
  <dcterms:created xsi:type="dcterms:W3CDTF">2013-12-23T23:15:00Z</dcterms:created>
  <dcterms:modified xsi:type="dcterms:W3CDTF">2026-09-06T13:46:00Z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id="qq3ydaGI"/&gt;&lt;style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