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第4章</w:t>
      </w:r>
      <w:r>
        <w:t xml:space="preserve"> </w:t>
      </w:r>
      <w:r>
        <w:rPr>
          <w:rFonts w:hint="eastAsia"/>
        </w:rPr>
        <w:t xml:space="preserve">实验组织</w:t>
      </w:r>
    </w:p>
    <w:p>
      <w:pPr>
        <w:pStyle w:val="BodyText"/>
      </w:pPr>
      <w:r>
        <w:rPr>
          <w:rFonts w:hint="eastAsia"/>
        </w:rPr>
        <w:t xml:space="preserve">本章全面阐述实验的具体实施流程与组织方案。首先介绍实验所依托的硬件设施与软件平台配置，接着详细说明六组对比实验的方案设计，涵盖模型训练与性能对比、统一评估、消融研究、损失函数效果分析、训练策略比较以及数据增强影响评估，最后介绍实验结果的可视化展示方案。</w:t>
      </w:r>
    </w:p>
    <w:p>
      <w:pPr>
        <w:pStyle w:val="BodyText"/>
      </w:pPr>
      <w:r>
        <w:t xml:space="preserve">4.1 </w:t>
      </w:r>
      <w:r>
        <w:rPr>
          <w:rFonts w:hint="eastAsia"/>
        </w:rPr>
        <w:t xml:space="preserve">实验环境</w:t>
      </w:r>
    </w:p>
    <w:p>
      <w:pPr>
        <w:pStyle w:val="BodyText"/>
      </w:pPr>
      <w:r>
        <w:t xml:space="preserve">4.1.1 </w:t>
      </w:r>
      <w:r>
        <w:rPr>
          <w:rFonts w:hint="eastAsia"/>
        </w:rPr>
        <w:t xml:space="preserve">硬件设施</w:t>
      </w:r>
    </w:p>
    <w:p>
      <w:pPr>
        <w:pStyle w:val="BodyText"/>
      </w:pPr>
      <w:r>
        <w:rPr>
          <w:rFonts w:hint="eastAsia"/>
        </w:rPr>
        <w:t xml:space="preserve">实验运行在以下硬件平台上：图形处理器选用NVIDIA</w:t>
      </w:r>
      <w:r>
        <w:t xml:space="preserve"> GeForce RTX </w:t>
      </w:r>
      <w:r>
        <w:rPr>
          <w:rFonts w:hint="eastAsia"/>
        </w:rPr>
        <w:t xml:space="preserve">4090（24GB显存），中央处理器为Intel</w:t>
      </w:r>
      <w:r>
        <w:t xml:space="preserve"> Core </w:t>
      </w:r>
      <w:r>
        <w:rPr>
          <w:rFonts w:hint="eastAsia"/>
        </w:rPr>
        <w:t xml:space="preserve">i9-13900K（24核32线程），配备64GB</w:t>
      </w:r>
      <w:r>
        <w:t xml:space="preserve"> </w:t>
      </w:r>
      <w:r>
        <w:rPr>
          <w:rFonts w:hint="eastAsia"/>
        </w:rPr>
        <w:t xml:space="preserve">DDR5内存，存储设备为1TB</w:t>
      </w:r>
      <w:r>
        <w:t xml:space="preserve"> </w:t>
      </w:r>
      <w:r>
        <w:rPr>
          <w:rFonts w:hint="eastAsia"/>
        </w:rPr>
        <w:t xml:space="preserve">NVMe固态硬盘，用于存放数据集和模型参数文件。在模型训练阶段，AudioUNet3和AudioUNet5的显存消耗约为4至6GB，AudioUNet5Attention约为8至10GB，AudioUNet5Optimized约为10至12GB，AudioUNet5GAN约为14至16GB。所有模型均可在单张显卡上完成训练全过程，无需采用分布式训练策略。</w:t>
      </w:r>
    </w:p>
    <w:p>
      <w:pPr>
        <w:pStyle w:val="BodyText"/>
      </w:pPr>
      <w:r>
        <w:t xml:space="preserve">4.1.2 </w:t>
      </w:r>
      <w:r>
        <w:rPr>
          <w:rFonts w:hint="eastAsia"/>
        </w:rPr>
        <w:t xml:space="preserve">软件平台</w:t>
      </w:r>
    </w:p>
    <w:p>
      <w:pPr>
        <w:pStyle w:val="BodyText"/>
      </w:pPr>
      <w:r>
        <w:rPr>
          <w:rFonts w:hint="eastAsia"/>
        </w:rPr>
        <w:t xml:space="preserve">操作系统平台选用Ubuntu</w:t>
      </w:r>
      <w:r>
        <w:t xml:space="preserve"> 22.04 </w:t>
      </w:r>
      <w:r>
        <w:rPr>
          <w:rFonts w:hint="eastAsia"/>
        </w:rPr>
        <w:t xml:space="preserve">LTS，Python编程环境版本为3.10。深度学习开发框架采用PyTorch</w:t>
      </w:r>
      <w:r>
        <w:t xml:space="preserve"> </w:t>
      </w:r>
      <w:r>
        <w:rPr>
          <w:rFonts w:hint="eastAsia"/>
        </w:rPr>
        <w:t xml:space="preserve">2.1.0，搭配torchvision</w:t>
      </w:r>
      <w:r>
        <w:t xml:space="preserve"> </w:t>
      </w:r>
      <w:r>
        <w:rPr>
          <w:rFonts w:hint="eastAsia"/>
        </w:rPr>
        <w:t xml:space="preserve">0.16.0工具包，并行计算平台为CUDA</w:t>
      </w:r>
      <w:r>
        <w:t xml:space="preserve"> </w:t>
      </w:r>
      <w:r>
        <w:rPr>
          <w:rFonts w:hint="eastAsia"/>
        </w:rPr>
        <w:t xml:space="preserve">12.1，加速库版本为cuDNN</w:t>
      </w:r>
      <w:r>
        <w:t xml:space="preserve"> </w:t>
      </w:r>
      <w:r>
        <w:rPr>
          <w:rFonts w:hint="eastAsia"/>
        </w:rPr>
        <w:t xml:space="preserve">8.9。音频信号处理相关库包括librosa</w:t>
      </w:r>
      <w:r>
        <w:t xml:space="preserve"> 0.10.1、scipy </w:t>
      </w:r>
      <w:r>
        <w:rPr>
          <w:rFonts w:hint="eastAsia"/>
        </w:rPr>
        <w:t xml:space="preserve">1.11.4和soundfile</w:t>
      </w:r>
      <w:r>
        <w:t xml:space="preserve"> </w:t>
      </w:r>
      <w:r>
        <w:rPr>
          <w:rFonts w:hint="eastAsia"/>
        </w:rPr>
        <w:t xml:space="preserve">0.12.1，性能评估工具为pesq</w:t>
      </w:r>
      <w:r>
        <w:t xml:space="preserve"> </w:t>
      </w:r>
      <w:r>
        <w:rPr>
          <w:rFonts w:hint="eastAsia"/>
        </w:rPr>
        <w:t xml:space="preserve">0.0.4和pystoi</w:t>
      </w:r>
      <w:r>
        <w:t xml:space="preserve"> </w:t>
      </w:r>
      <w:r>
        <w:rPr>
          <w:rFonts w:hint="eastAsia"/>
        </w:rPr>
        <w:t xml:space="preserve">0.3.3，数据可视化依赖matplotlib</w:t>
      </w:r>
      <w:r>
        <w:t xml:space="preserve"> </w:t>
      </w:r>
      <w:r>
        <w:rPr>
          <w:rFonts w:hint="eastAsia"/>
        </w:rPr>
        <w:t xml:space="preserve">3.8.2和seaborn</w:t>
      </w:r>
      <w:r>
        <w:t xml:space="preserve"> </w:t>
      </w:r>
      <w:r>
        <w:rPr>
          <w:rFonts w:hint="eastAsia"/>
        </w:rPr>
        <w:t xml:space="preserve">0.13.0，实验配置管理使用PyYAML</w:t>
      </w:r>
      <w:r>
        <w:t xml:space="preserve"> </w:t>
      </w:r>
      <w:r>
        <w:rPr>
          <w:rFonts w:hint="eastAsia"/>
        </w:rPr>
        <w:t xml:space="preserve">6.0.1，训练过程监控借助tensorboard</w:t>
      </w:r>
      <w:r>
        <w:t xml:space="preserve"> </w:t>
      </w:r>
      <w:r>
        <w:rPr>
          <w:rFonts w:hint="eastAsia"/>
        </w:rPr>
        <w:t xml:space="preserve">2.15.0。所有实验参数配置均采用YAML格式文件进行统一管理，从而保障实验的可复现性。</w:t>
      </w:r>
    </w:p>
    <w:p>
      <w:pPr>
        <w:pStyle w:val="BodyText"/>
      </w:pPr>
      <w:r>
        <w:t xml:space="preserve">4.1.3 </w:t>
      </w:r>
      <w:r>
        <w:rPr>
          <w:rFonts w:hint="eastAsia"/>
        </w:rPr>
        <w:t xml:space="preserve">超参数配置</w:t>
      </w:r>
    </w:p>
    <w:p>
      <w:pPr>
        <w:pStyle w:val="BodyText"/>
      </w:pPr>
      <w:r>
        <w:rPr>
          <w:rFonts w:hint="eastAsia"/>
        </w:rPr>
        <w:t xml:space="preserve">模型训练采用统一的超参数设置：音频采样率设为16000Hz，短时傅里叶变换的帧长为512点（约32毫秒），帧移为128点（约8毫秒），快速傅里叶变换点数为512，频率维度包含257个频点，训练批量大小设为16，初始学习率取值为1×10</w:t>
      </w:r>
      <w:r>
        <w:rPr>
          <w:rFonts w:hint="eastAsia"/>
          <w:vertAlign w:val="superscript"/>
        </w:rPr>
        <w:t xml:space="preserve">-3，最大训练轮数为100（配合早停策略），早停等待轮数设为15，梯度裁剪阈值定为1.0，权重衰减系数为1×10</w:t>
      </w:r>
      <w:r>
        <w:rPr>
          <w:rFonts w:hint="eastAsia"/>
        </w:rPr>
        <w:t xml:space="preserve">-5，并开启自动混合精度训练以加速计算过程并降低显存占用。各模型的具体网络架构参数则通过独立的YAML配置文件进行独立定义。</w:t>
      </w:r>
    </w:p>
    <w:p>
      <w:pPr>
        <w:pStyle w:val="BodyText"/>
      </w:pPr>
      <w:r>
        <w:t xml:space="preserve">4.2 </w:t>
      </w:r>
      <w:r>
        <w:rPr>
          <w:rFonts w:hint="eastAsia"/>
        </w:rPr>
        <w:t xml:space="preserve">实验方案</w:t>
      </w:r>
    </w:p>
    <w:p>
      <w:pPr>
        <w:pStyle w:val="BodyText"/>
      </w:pPr>
      <w:r>
        <w:t xml:space="preserve">4.2.1 </w:t>
      </w:r>
      <w:r>
        <w:rPr>
          <w:rFonts w:hint="eastAsia"/>
        </w:rPr>
        <w:t xml:space="preserve">实验1：模型训练与性能对比</w:t>
      </w:r>
    </w:p>
    <w:p>
      <w:pPr>
        <w:pStyle w:val="BodyText"/>
      </w:pPr>
      <w:r>
        <w:rPr>
          <w:rFonts w:hint="eastAsia"/>
        </w:rPr>
        <w:t xml:space="preserve">本实验的主要目标是在统一条件下训练全部深度学习模型变体，并对各模型的性能差异进行系统性对比。实验对象涵盖五个U-Net架构变体和三类传统基线算法。</w:t>
      </w:r>
    </w:p>
    <w:p>
      <w:pPr>
        <w:pStyle w:val="BodyText"/>
      </w:pPr>
      <w:r>
        <w:rPr>
          <w:rFonts w:hint="eastAsia"/>
        </w:rPr>
        <w:t xml:space="preserve">深度学习模型系列包括：AudioUNet3属于轻量级基线模型，采用三层编码器-解码器架构，通道数依次递增为1、16、32、64，模型参数规模约为120万。AudioUNet5为标准版本，采用五层编码器-解码器架构，通道数递增路径为1、16、32、64、128、256，参数量约450万，具备更广阔的感受野和更丰富的多尺度特征提取能力。AudioUNet5Attention在AudioUNet5架构基础上，为所有跳跃连接引入注意力门控机制，使网络能够自动聚焦于频谱中与啸叫相关的关键区域，参数量约480万。AudioUNet5Optimized作为性能最优版本，在AudioUNet5Attention架构上进一步融合残差连接与空洞卷积（采用空洞率分别为2、4、8的并行分支结构），实现注意力机制、残差连接和空洞卷积的三重协同优化，参数量约620万。AudioUNet5GAN以AudioUNet5担任生成器，附加卷积判别器构建生成对抗网络框架，采用LSGAN对抗训练策略以提升增强后频谱的重建质量。</w:t>
      </w:r>
    </w:p>
    <w:p>
      <w:pPr>
        <w:pStyle w:val="BodyText"/>
      </w:pPr>
      <w:r>
        <w:rPr>
          <w:rFonts w:hint="eastAsia"/>
        </w:rPr>
        <w:t xml:space="preserve">传统算法系列包括：移频法通过在频域对信号施加20Hz的微小偏移，破坏啸叫产生所需正反馈回路的相位条件。增益抑制法在1000Hz至8000Hz频段内进行啸叫检测（基于-30dB信噪比阈值），对识别出的啸叫频段施加自适应增益衰减（最大衰减幅度为-20dB）。自适应反馈消除法依托NLMS自适应滤波器进行反馈路径的在线估计，滤波器抽头数设定为64，步长因子取0.01。</w:t>
      </w:r>
    </w:p>
    <w:p>
      <w:pPr>
        <w:pStyle w:val="BodyText"/>
      </w:pPr>
      <w:r>
        <w:rPr>
          <w:rFonts w:hint="eastAsia"/>
        </w:rPr>
        <w:t xml:space="preserve">所有深度学习模型采用标准化的训练流程：首先加载预先生成的训练集与验证集数据，数据以STFT复数矩阵格式存储；接着根据各模型的YAML配置文件初始化网络结构参数与优化器；随后启动混合精度训练模式，利用GradScaler处理梯度数值缩放；每个训练周期结束后在验证集上计算SI-SDR与PESQ评估指标，并保存性能最优的模型检查点；同时配置早停机制，当验证损失连续15个训练周期未出现下降时提前终止训练过程；最后完整记录训练日志数据，涵盖损失曲线变化、指标波动情况以及学习率调整轨迹，并将日志保存至TensorBoard系统。</w:t>
      </w:r>
    </w:p>
    <w:p>
      <w:pPr>
        <w:pStyle w:val="BodyText"/>
      </w:pPr>
      <w:r>
        <w:t xml:space="preserve">4.2.2 </w:t>
      </w:r>
      <w:r>
        <w:rPr>
          <w:rFonts w:hint="eastAsia"/>
        </w:rPr>
        <w:t xml:space="preserve">实验2：统一性能评估</w:t>
      </w:r>
    </w:p>
    <w:p>
      <w:pPr>
        <w:pStyle w:val="BodyText"/>
      </w:pPr>
      <w:r>
        <w:rPr>
          <w:rFonts w:hint="eastAsia"/>
        </w:rPr>
        <w:t xml:space="preserve">本实验对全部深度学习模型及三种传统算法开展统一评估测试，旨在通过公平对比揭示各方法的性能差异。评估实施步骤如下：针对测试集内的每一条音频样本，分别采用八种方法进行处理；对于处理后的音频样本与对应的纯净参考音频，计算三项核心评价指标：SI-SDR指标用于量化信号的失真程度，数值越高代表增强效果越优；PESQ指标用于评估主观听觉质量，评分范围处于-0.5至4.5之间，分数越高意味着语音质量越好；STOI指标用于衡量语音可懂度，数值范围介于0至1，越接近1表示语音清晰度越高。完成全部样本测试后，汇总计算各指标的平均值与标准差，生成对比数据表格与可视化图表。同时记录各算法的单次推理耗时，用于评估其实时处理性能。</w:t>
      </w:r>
    </w:p>
    <w:p>
      <w:pPr>
        <w:pStyle w:val="BodyText"/>
      </w:pPr>
      <w:r>
        <w:t xml:space="preserve">4.2.3 </w:t>
      </w:r>
      <w:r>
        <w:rPr>
          <w:rFonts w:hint="eastAsia"/>
        </w:rPr>
        <w:t xml:space="preserve">实验3：组件消融研究</w:t>
      </w:r>
    </w:p>
    <w:p>
      <w:pPr>
        <w:pStyle w:val="BodyText"/>
      </w:pPr>
      <w:r>
        <w:rPr>
          <w:rFonts w:hint="eastAsia"/>
        </w:rPr>
        <w:t xml:space="preserve">本实验针对综合优化模型开展组件层面的消融分析，旨在分别验证注意力机制、残差连接和空洞卷积这三个关键组件的实际贡献。实验以完整的AudioUNet5Optimized作为性能基准，通过依次移除特定组件构建多种消融配置：Full版本完整保留注意力机制、残差连接和空洞卷积；w/o</w:t>
      </w:r>
      <w:r>
        <w:t xml:space="preserve"> </w:t>
      </w:r>
      <w:r>
        <w:rPr>
          <w:rFonts w:hint="eastAsia"/>
        </w:rPr>
        <w:t xml:space="preserve">Attention版本移除注意力门控机制，使跳跃连接回归至标准特征拼接方式；w/o</w:t>
      </w:r>
      <w:r>
        <w:t xml:space="preserve"> </w:t>
      </w:r>
      <w:r>
        <w:rPr>
          <w:rFonts w:hint="eastAsia"/>
        </w:rPr>
        <w:t xml:space="preserve">Residual版本将残差卷积模块替换为标准双卷积模块；w/o</w:t>
      </w:r>
      <w:r>
        <w:t xml:space="preserve"> </w:t>
      </w:r>
      <w:r>
        <w:rPr>
          <w:rFonts w:hint="eastAsia"/>
        </w:rPr>
        <w:t xml:space="preserve">Dilated版本将空洞卷积替换为标准卷积，膨胀率统一设置为1；Baseline版本同时移除三个改进组件，退化为基础U-Net架构。每一种消融配置均在相同的训练参数条件下重新训练至收敛状态，随后在测试集上评估SI-SDR、PESQ和STOI三项指标，通过分析各配置与完整模型之间的指标差异，量化各组件的独立贡献程度。</w:t>
      </w:r>
    </w:p>
    <w:p>
      <w:pPr>
        <w:pStyle w:val="BodyText"/>
      </w:pPr>
      <w:r>
        <w:t xml:space="preserve">4.2.4 </w:t>
      </w:r>
      <w:r>
        <w:rPr>
          <w:rFonts w:hint="eastAsia"/>
        </w:rPr>
        <w:t xml:space="preserve">实验4：损失函数效果对比</w:t>
      </w:r>
    </w:p>
    <w:p>
      <w:pPr>
        <w:pStyle w:val="BodyText"/>
      </w:pPr>
      <w:r>
        <w:rPr>
          <w:rFonts w:hint="eastAsia"/>
        </w:rPr>
        <w:t xml:space="preserve">本实验考察不同损失函数对AudioUNet5Optimized模型训练效果的具体影响。参与对比的损失函数包括：MSE</w:t>
      </w:r>
      <w:r>
        <w:t xml:space="preserve"> </w:t>
      </w:r>
      <w:r>
        <w:rPr>
          <w:rFonts w:hint="eastAsia"/>
        </w:rPr>
        <w:t xml:space="preserve">Loss定义为预测频谱与目标频谱之间的均方误差；L1</w:t>
      </w:r>
      <w:r>
        <w:t xml:space="preserve"> </w:t>
      </w:r>
      <w:r>
        <w:rPr>
          <w:rFonts w:hint="eastAsia"/>
        </w:rPr>
        <w:t xml:space="preserve">Loss定义为预测频谱与目标频谱之间的L1范数距离；SI-SDR</w:t>
      </w:r>
      <w:r>
        <w:t xml:space="preserve"> </w:t>
      </w:r>
      <w:r>
        <w:rPr>
          <w:rFonts w:hint="eastAsia"/>
        </w:rPr>
        <w:t xml:space="preserve">Loss直接采用SI-SDR评估指标的负值作为损失函数，旨在优化信号层面的失真程度；Multi-Resolution</w:t>
      </w:r>
      <w:r>
        <w:t xml:space="preserve"> STFT </w:t>
      </w:r>
      <w:r>
        <w:rPr>
          <w:rFonts w:hint="eastAsia"/>
        </w:rPr>
        <w:t xml:space="preserve">Loss在多个STFT分辨率层级上计算频谱L1损失，综合融合不同时频分辨率的误差信息，本实验采用三个分辨率设置，帧长分别取512、256和128；Composite</w:t>
      </w:r>
      <w:r>
        <w:t xml:space="preserve"> </w:t>
      </w:r>
      <w:r>
        <w:rPr>
          <w:rFonts w:hint="eastAsia"/>
        </w:rPr>
        <w:t xml:space="preserve">Loss将多分辨率STFT损失与SI-SDR损失按加权方式组合，权重参数α取值1.0，β取值0.5。实验实施方案为固定采用AudioUNet5Optimized模型架构，其他超参数设置保持不变，仅替换损失函数类型进行独立训练。每种损失函数均训练至收敛状态后，在测试集上进行三项指标的评估测试。</w:t>
      </w:r>
    </w:p>
    <w:p>
      <w:pPr>
        <w:pStyle w:val="BodyText"/>
      </w:pPr>
      <w:r>
        <w:t xml:space="preserve">4.2.5 </w:t>
      </w:r>
      <w:r>
        <w:rPr>
          <w:rFonts w:hint="eastAsia"/>
        </w:rPr>
        <w:t xml:space="preserve">实验5：训练策略对比分析</w:t>
      </w:r>
    </w:p>
    <w:p>
      <w:pPr>
        <w:pStyle w:val="BodyText"/>
      </w:pPr>
      <w:r>
        <w:rPr>
          <w:rFonts w:hint="eastAsia"/>
        </w:rPr>
        <w:t xml:space="preserve">本实验对比分析不同学习率调度策略对模型训练效果的影响差异。参与对比的学习率调度策略包括：CosineAnnealingLR采用余弦退火调度方案，学习率按照余弦函数规律从初始值逐步衰减至最小值1×10</w:t>
      </w:r>
      <w:r>
        <w:rPr>
          <w:rFonts w:hint="eastAsia"/>
          <w:vertAlign w:val="superscript"/>
        </w:rPr>
        <w:t xml:space="preserve">-6，衰减周期与总训练轮数保持一致；ReduceLROnPlateau采用自适应衰减调度机制，实时监控验证损失指标，当连续5个训练周期的验证损失未见下降时，将学习率乘以衰减系数0.5，最低学习率下限设定为1×10</w:t>
      </w:r>
      <w:r>
        <w:rPr>
          <w:rFonts w:hint="eastAsia"/>
        </w:rPr>
        <w:t xml:space="preserve">-6；CyclicLR实施循环学习率调度，学习率在1×10</w:t>
      </w:r>
      <w:r>
        <w:rPr>
          <w:rFonts w:hint="eastAsia"/>
          <w:vertAlign w:val="superscript"/>
        </w:rPr>
        <w:t xml:space="preserve">-5至1×10</w:t>
      </w:r>
      <w:r>
        <w:rPr>
          <w:rFonts w:hint="eastAsia"/>
        </w:rPr>
        <w:t xml:space="preserve">-3区间内按三角波规律循环变化，循环步长设置为训练总轮数的两倍；OneCycleLR采用单周期调度策略，学习率先从1×10</w:t>
      </w:r>
      <w:r>
        <w:rPr>
          <w:rFonts w:hint="eastAsia"/>
          <w:vertAlign w:val="superscript"/>
        </w:rPr>
        <w:t xml:space="preserve">-5线性增长至峰值1×10</w:t>
      </w:r>
      <w:r>
        <w:rPr>
          <w:rFonts w:hint="eastAsia"/>
        </w:rPr>
        <w:t xml:space="preserve">-3（占总训练轮数的前30%），随后逐步退火至1×10^-6；Warmup</w:t>
      </w:r>
      <w:r>
        <w:t xml:space="preserve"> + </w:t>
      </w:r>
      <w:r>
        <w:rPr>
          <w:rFonts w:hint="eastAsia"/>
        </w:rPr>
        <w:t xml:space="preserve">CosineDecay采用线性预热策略，前5个训练周期内学习率从1×10</w:t>
      </w:r>
      <w:r>
        <w:rPr>
          <w:rFonts w:hint="eastAsia"/>
          <w:vertAlign w:val="superscript"/>
        </w:rPr>
        <w:t xml:space="preserve">-6线性提升至1×10</w:t>
      </w:r>
      <w:r>
        <w:rPr>
          <w:rFonts w:hint="eastAsia"/>
        </w:rPr>
        <w:t xml:space="preserve">-3，后续阶段按照余弦函数规律衰减至1×10^-6。实验实施方案为固定使用AudioUNet5Optimized模型架构，损失函数选用复合损失函数，仅变更学习率调度策略，其余超参数设置保持不变。记录各调度策略下的训练收敛速度（即达到最优验证指标所需的训练轮数）以及最终测试性能表现。</w:t>
      </w:r>
    </w:p>
    <w:p>
      <w:pPr>
        <w:pStyle w:val="BodyText"/>
      </w:pPr>
      <w:r>
        <w:t xml:space="preserve">4.2.6 </w:t>
      </w:r>
      <w:r>
        <w:rPr>
          <w:rFonts w:hint="eastAsia"/>
        </w:rPr>
        <w:t xml:space="preserve">实验6：数据增强影响评估</w:t>
      </w:r>
    </w:p>
    <w:p>
      <w:pPr>
        <w:pStyle w:val="BodyText"/>
      </w:pPr>
      <w:r>
        <w:rPr>
          <w:rFonts w:hint="eastAsia"/>
        </w:rPr>
        <w:t xml:space="preserve">本实验探究不同数据增强策略对模型泛化能力的影响效果。参与对比的数据增强策略包括：无增强方案在训练过程中不采用任何数据增强操作，仅使用原始的STFT特征；频率掩蔽策略参照SpecAugment方法，在频谱图上随机遮挡连续的频率带区域，最大掩蔽宽度设为20个频点，用于模拟部分频率信息缺失的情况；时间掩蔽策略在频谱图上随机遮挡连续的时间帧序列，最大掩蔽宽度设为20帧，用于模拟短时信号中断的场景；频率和时间联合掩蔽策略同时应用频率掩蔽与时间掩蔽，以此增加训练数据的多样性；综合增强策略在联合掩蔽的基础上进一步增加三类操作：随机增益缩放（对频谱幅度乘以0.8至1.2范围内的随机系数以模拟音量波动）、随机噪声注入（添加信噪比处于20至40dB区间的白噪声以提升模型抗噪能力）、频谱混合（以0.1至0.5的混合比例对两个样本的频谱进行线性插值）。实验实施方案为固定采用AudioUNet5Optimized模型架构，损失函数与学习率调度策略保持不变。针对每一种增强策略，在训练集上应用相应的数据增强操作并训练至收敛，随后在未经增强的测试集上进行三项指标的评估测试。</w:t>
      </w:r>
    </w:p>
    <w:p>
      <w:pPr>
        <w:pStyle w:val="BodyText"/>
      </w:pPr>
      <w:r>
        <w:t xml:space="preserve">4.3 </w:t>
      </w:r>
      <w:r>
        <w:rPr>
          <w:rFonts w:hint="eastAsia"/>
        </w:rPr>
        <w:t xml:space="preserve">可视化展示方案</w:t>
      </w:r>
    </w:p>
    <w:p>
      <w:pPr>
        <w:pStyle w:val="BodyText"/>
      </w:pPr>
      <w:r>
        <w:rPr>
          <w:rFonts w:hint="eastAsia"/>
        </w:rPr>
        <w:t xml:space="preserve">为直观呈现实验结果，本实验设计以下可视化展示方案：频谱对比图针对每个测试样本，采用三行子图布局分别展示纯净语音、带啸叫语音及增强后语音的时频频谱图像，便于直观对比啸叫频段的抑制效果。训练曲线图绘制各模型在训练过程中的损失变化曲线、SI-SDR变化曲线和PESQ变化曲线，横坐标代表训练轮数，纵坐标为相应指标数值，用于分析模型的收敛速度与稳定性。模型性能雷达图采用雷达图形式展示各模型在SI-SDR、PESQ、STOI、推理耗时和参数量等多个维度的综合性能表现，便于整体性比较。消融实验热力图采用热力图形式展示消融实验中各组件在不同指标上的贡献程度，通过颜色深浅直观反映各组件的相对重要性。损失函数对比柱状图采用分组柱状图展示不同损失函数在各项指标上的表现，并添加误差棒显示标准差信息。学习率调度对比曲线绘制各学习率调度策略的学习率变化轨迹以及对应的验证损失变化曲线。</w:t>
      </w:r>
    </w:p>
    <w:p>
      <w:pPr>
        <w:pStyle w:val="BodyText"/>
      </w:pPr>
      <w:r>
        <w:rPr>
          <w:rFonts w:hint="eastAsia"/>
        </w:rPr>
        <w:t xml:space="preserve">参考文献</w:t>
      </w:r>
    </w:p>
    <w:p>
      <w:pPr>
        <w:pStyle w:val="BodyText"/>
      </w:pPr>
      <w:r>
        <w:t xml:space="preserve">[1] Paszke A, Gross S, Massa F, et al. PyTorch: An imperative style, high-performance deep learning library[C]. Advances in Neural Information Processing Systems (NeurIPS), 2019.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2026-04-11T01:30:55Z</dcterms:created>
  <dcterms:modified xsi:type="dcterms:W3CDTF">2026-04-11T01:30:55Z</dcterms:modified>
</cp:coreProperties>
</file>

<file path=docProps/custom.xml><?xml version="1.0" encoding="utf-8"?>
<Properties xmlns="http://schemas.openxmlformats.org/officeDocument/2006/custom-properties" xmlns:vt="http://schemas.openxmlformats.org/officeDocument/2006/docPropsVTypes"/>
</file>