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69C16" w14:textId="77777777" w:rsidR="00D82080" w:rsidRDefault="00FA52DF">
      <w:pPr>
        <w:spacing w:after="0" w:line="360" w:lineRule="atLeast"/>
        <w:jc w:val="center"/>
        <w:rPr>
          <w:rFonts w:ascii="Times New Roman" w:eastAsia="黑体" w:hAnsi="Times New Roman" w:cs="Times New Roman"/>
          <w:b/>
          <w:sz w:val="28"/>
          <w:szCs w:val="28"/>
        </w:rPr>
      </w:pPr>
      <w:r>
        <w:rPr>
          <w:rFonts w:ascii="Times New Roman" w:eastAsia="黑体" w:hAnsi="Times New Roman" w:cs="Times New Roman" w:hint="eastAsia"/>
          <w:b/>
          <w:sz w:val="28"/>
          <w:szCs w:val="28"/>
        </w:rPr>
        <w:t>Problem Set 3: Arbitrage Strategy on Index Inclusion</w:t>
      </w:r>
    </w:p>
    <w:p w14:paraId="34CEE11E" w14:textId="77777777" w:rsidR="00D82080" w:rsidRDefault="00D82080">
      <w:pPr>
        <w:spacing w:after="0" w:line="360" w:lineRule="atLeast"/>
        <w:jc w:val="center"/>
        <w:rPr>
          <w:rFonts w:ascii="Times New Roman" w:eastAsia="黑体" w:hAnsi="Times New Roman" w:cs="Times New Roman"/>
          <w:b/>
          <w:sz w:val="28"/>
          <w:szCs w:val="28"/>
        </w:rPr>
      </w:pPr>
    </w:p>
    <w:p w14:paraId="7F9F0FAA" w14:textId="77777777" w:rsidR="00D82080" w:rsidRDefault="00FA52DF">
      <w:pPr>
        <w:spacing w:after="0" w:line="360" w:lineRule="atLeast"/>
        <w:jc w:val="center"/>
        <w:rPr>
          <w:rFonts w:ascii="Times New Roman" w:eastAsia="黑体" w:hAnsi="Times New Roman" w:cs="Times New Roman"/>
          <w:b/>
          <w:sz w:val="28"/>
          <w:szCs w:val="28"/>
        </w:rPr>
      </w:pPr>
      <w:r>
        <w:rPr>
          <w:rFonts w:ascii="Times New Roman" w:eastAsia="黑体" w:hAnsi="Times New Roman" w:cs="Times New Roman"/>
          <w:b/>
          <w:sz w:val="28"/>
          <w:szCs w:val="28"/>
        </w:rPr>
        <w:t>作业</w:t>
      </w:r>
      <w:r>
        <w:rPr>
          <w:rFonts w:ascii="Times New Roman" w:eastAsia="黑体" w:hAnsi="Times New Roman" w:cs="Times New Roman"/>
          <w:b/>
          <w:sz w:val="28"/>
          <w:szCs w:val="28"/>
        </w:rPr>
        <w:t xml:space="preserve">3 </w:t>
      </w:r>
      <w:r>
        <w:rPr>
          <w:rFonts w:ascii="Times New Roman" w:eastAsia="黑体" w:hAnsi="Times New Roman" w:cs="Times New Roman"/>
          <w:b/>
          <w:sz w:val="28"/>
          <w:szCs w:val="28"/>
        </w:rPr>
        <w:t>指数纳入效应套利策略</w:t>
      </w:r>
      <w:r>
        <w:rPr>
          <w:rFonts w:ascii="Times New Roman" w:eastAsia="黑体" w:hAnsi="Times New Roman" w:cs="Times New Roman" w:hint="eastAsia"/>
          <w:b/>
          <w:sz w:val="28"/>
          <w:szCs w:val="28"/>
        </w:rPr>
        <w:t>的实现</w:t>
      </w:r>
    </w:p>
    <w:p w14:paraId="1428EFCF" w14:textId="77777777" w:rsidR="00D82080" w:rsidRDefault="00D82080">
      <w:pPr>
        <w:spacing w:after="0" w:line="36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</w:p>
    <w:p w14:paraId="0184A634" w14:textId="77777777" w:rsidR="00D82080" w:rsidRDefault="00FA52DF">
      <w:pPr>
        <w:spacing w:after="0" w:line="36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当股票纳入股票指数时，会有正的超额收益（文献可参考</w:t>
      </w:r>
      <w:r>
        <w:fldChar w:fldCharType="begin"/>
      </w:r>
      <w:r>
        <w:instrText xml:space="preserve"> HYPERLINK "http://www.jstor.org/stable/4479002" </w:instrText>
      </w:r>
      <w:r>
        <w:fldChar w:fldCharType="separate"/>
      </w:r>
      <w:r>
        <w:rPr>
          <w:rStyle w:val="a6"/>
          <w:rFonts w:ascii="Times New Roman" w:hAnsi="Times New Roman" w:cs="Times New Roman"/>
          <w:sz w:val="21"/>
          <w:szCs w:val="21"/>
        </w:rPr>
        <w:t>http://www.jstor.org/stable/4479002</w:t>
      </w:r>
      <w:r>
        <w:rPr>
          <w:rStyle w:val="a6"/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t>）。本题用中国股票市场数据</w:t>
      </w:r>
      <w:r>
        <w:rPr>
          <w:rFonts w:ascii="Times New Roman" w:hAnsi="Times New Roman" w:cs="Times New Roman" w:hint="eastAsia"/>
          <w:sz w:val="21"/>
          <w:szCs w:val="21"/>
        </w:rPr>
        <w:t>实现</w:t>
      </w:r>
      <w:r>
        <w:rPr>
          <w:rFonts w:ascii="Times New Roman" w:hAnsi="Times New Roman" w:cs="Times New Roman"/>
          <w:sz w:val="21"/>
          <w:szCs w:val="21"/>
        </w:rPr>
        <w:t>利用指数纳入的套利策略。</w:t>
      </w:r>
    </w:p>
    <w:p w14:paraId="58E8CFBD" w14:textId="631D5C51" w:rsidR="00D82080" w:rsidRDefault="00FA52DF">
      <w:pPr>
        <w:spacing w:after="0" w:line="36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沪深</w:t>
      </w:r>
      <w:r>
        <w:rPr>
          <w:rFonts w:ascii="Times New Roman" w:hAnsi="Times New Roman" w:cs="Times New Roman"/>
          <w:sz w:val="21"/>
          <w:szCs w:val="21"/>
        </w:rPr>
        <w:t>300</w:t>
      </w:r>
      <w:r>
        <w:rPr>
          <w:rFonts w:ascii="Times New Roman" w:hAnsi="Times New Roman" w:cs="Times New Roman"/>
          <w:sz w:val="21"/>
          <w:szCs w:val="21"/>
        </w:rPr>
        <w:t>指数每半年调整一次，</w:t>
      </w:r>
      <w:r>
        <w:rPr>
          <w:rFonts w:ascii="Times New Roman" w:hAnsi="Times New Roman" w:cs="Times New Roman"/>
          <w:sz w:val="21"/>
          <w:szCs w:val="21"/>
        </w:rPr>
        <w:t>2005</w:t>
      </w:r>
      <w:r>
        <w:rPr>
          <w:rFonts w:ascii="Times New Roman" w:hAnsi="Times New Roman" w:cs="Times New Roman"/>
          <w:sz w:val="21"/>
          <w:szCs w:val="21"/>
        </w:rPr>
        <w:t>年以后在指数变更日期（每年</w:t>
      </w:r>
      <w:r>
        <w:rPr>
          <w:rFonts w:ascii="Times New Roman" w:hAnsi="Times New Roman" w:cs="Times New Roman" w:hint="eastAsia"/>
          <w:sz w:val="21"/>
          <w:szCs w:val="21"/>
        </w:rPr>
        <w:t>5/6</w:t>
      </w:r>
      <w:r>
        <w:rPr>
          <w:rFonts w:ascii="Times New Roman" w:hAnsi="Times New Roman" w:cs="Times New Roman"/>
          <w:sz w:val="21"/>
          <w:szCs w:val="21"/>
        </w:rPr>
        <w:t>月及</w:t>
      </w:r>
      <w:r>
        <w:rPr>
          <w:rFonts w:ascii="Times New Roman" w:hAnsi="Times New Roman" w:cs="Times New Roman" w:hint="eastAsia"/>
          <w:sz w:val="21"/>
          <w:szCs w:val="21"/>
        </w:rPr>
        <w:t>11/12</w:t>
      </w:r>
      <w:r>
        <w:rPr>
          <w:rFonts w:ascii="Times New Roman" w:hAnsi="Times New Roman" w:cs="Times New Roman"/>
          <w:sz w:val="21"/>
          <w:szCs w:val="21"/>
        </w:rPr>
        <w:t>月）前</w:t>
      </w:r>
      <w:r>
        <w:rPr>
          <w:rFonts w:ascii="Times New Roman" w:hAnsi="Times New Roman" w:cs="Times New Roman"/>
          <w:sz w:val="21"/>
          <w:szCs w:val="21"/>
        </w:rPr>
        <w:t>15</w:t>
      </w:r>
      <w:r>
        <w:rPr>
          <w:rFonts w:ascii="Times New Roman" w:hAnsi="Times New Roman" w:cs="Times New Roman"/>
          <w:sz w:val="21"/>
          <w:szCs w:val="21"/>
        </w:rPr>
        <w:t>天至</w:t>
      </w:r>
      <w:r>
        <w:rPr>
          <w:rFonts w:ascii="Times New Roman" w:hAnsi="Times New Roman" w:cs="Times New Roman"/>
          <w:sz w:val="21"/>
          <w:szCs w:val="21"/>
        </w:rPr>
        <w:t>20</w:t>
      </w:r>
      <w:r>
        <w:rPr>
          <w:rFonts w:ascii="Times New Roman" w:hAnsi="Times New Roman" w:cs="Times New Roman"/>
          <w:sz w:val="21"/>
          <w:szCs w:val="21"/>
        </w:rPr>
        <w:t>天左右提前公告。请利用课程</w:t>
      </w:r>
      <w:r>
        <w:rPr>
          <w:rFonts w:ascii="Times New Roman" w:hAnsi="Times New Roman" w:cs="Times New Roman" w:hint="eastAsia"/>
          <w:sz w:val="21"/>
          <w:szCs w:val="21"/>
        </w:rPr>
        <w:t>数据</w:t>
      </w:r>
      <w:r>
        <w:rPr>
          <w:rFonts w:ascii="Times New Roman" w:hAnsi="Times New Roman" w:cs="Times New Roman"/>
          <w:sz w:val="21"/>
          <w:szCs w:val="21"/>
        </w:rPr>
        <w:t>Hom</w:t>
      </w:r>
      <w:r>
        <w:rPr>
          <w:rFonts w:ascii="Times New Roman" w:hAnsi="Times New Roman" w:cs="Times New Roman" w:hint="eastAsia"/>
          <w:sz w:val="21"/>
          <w:szCs w:val="21"/>
        </w:rPr>
        <w:t>e</w:t>
      </w:r>
      <w:r>
        <w:rPr>
          <w:rFonts w:ascii="Times New Roman" w:hAnsi="Times New Roman" w:cs="Times New Roman"/>
          <w:sz w:val="21"/>
          <w:szCs w:val="21"/>
        </w:rPr>
        <w:t>work_3</w:t>
      </w:r>
      <w:r>
        <w:rPr>
          <w:rFonts w:ascii="Times New Roman" w:hAnsi="Times New Roman" w:cs="Times New Roman"/>
          <w:sz w:val="21"/>
          <w:szCs w:val="21"/>
        </w:rPr>
        <w:t>提供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/>
          <w:sz w:val="21"/>
          <w:szCs w:val="21"/>
        </w:rPr>
        <w:t>沪深</w:t>
      </w:r>
      <w:r>
        <w:rPr>
          <w:rFonts w:ascii="Times New Roman" w:hAnsi="Times New Roman" w:cs="Times New Roman"/>
          <w:sz w:val="21"/>
          <w:szCs w:val="21"/>
        </w:rPr>
        <w:t>300</w:t>
      </w:r>
      <w:r>
        <w:rPr>
          <w:rFonts w:ascii="Times New Roman" w:hAnsi="Times New Roman" w:cs="Times New Roman"/>
          <w:sz w:val="21"/>
          <w:szCs w:val="21"/>
        </w:rPr>
        <w:t>指数</w:t>
      </w:r>
      <w:r>
        <w:rPr>
          <w:rFonts w:ascii="Times New Roman" w:hAnsi="Times New Roman" w:cs="Times New Roman"/>
          <w:sz w:val="21"/>
          <w:szCs w:val="21"/>
        </w:rPr>
        <w:t>2011</w:t>
      </w:r>
      <w:r>
        <w:rPr>
          <w:rFonts w:ascii="Times New Roman" w:hAnsi="Times New Roman" w:cs="Times New Roman"/>
          <w:sz w:val="21"/>
          <w:szCs w:val="21"/>
        </w:rPr>
        <w:t>年</w:t>
      </w: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月至</w:t>
      </w:r>
      <w:r>
        <w:rPr>
          <w:rFonts w:ascii="Times New Roman" w:hAnsi="Times New Roman" w:cs="Times New Roman"/>
          <w:sz w:val="21"/>
          <w:szCs w:val="21"/>
        </w:rPr>
        <w:t>20</w:t>
      </w:r>
      <w:r>
        <w:rPr>
          <w:rFonts w:ascii="Times New Roman" w:hAnsi="Times New Roman" w:cs="Times New Roman" w:hint="eastAsia"/>
          <w:sz w:val="21"/>
          <w:szCs w:val="21"/>
        </w:rPr>
        <w:t>2</w:t>
      </w:r>
      <w:r w:rsidR="00541E6B">
        <w:rPr>
          <w:rFonts w:ascii="Times New Roman" w:hAnsi="Times New Roman" w:cs="Times New Roman" w:hint="eastAsia"/>
          <w:sz w:val="21"/>
          <w:szCs w:val="21"/>
        </w:rPr>
        <w:t>4</w:t>
      </w:r>
      <w:r>
        <w:rPr>
          <w:rFonts w:ascii="Times New Roman" w:hAnsi="Times New Roman" w:cs="Times New Roman"/>
          <w:sz w:val="21"/>
          <w:szCs w:val="21"/>
        </w:rPr>
        <w:t>年</w:t>
      </w:r>
      <w:r w:rsidR="00541E6B">
        <w:rPr>
          <w:rFonts w:ascii="Times New Roman" w:hAnsi="Times New Roman" w:cs="Times New Roman" w:hint="eastAsia"/>
          <w:sz w:val="21"/>
          <w:szCs w:val="21"/>
        </w:rPr>
        <w:t>8</w:t>
      </w:r>
      <w:r>
        <w:rPr>
          <w:rFonts w:ascii="Times New Roman" w:hAnsi="Times New Roman" w:cs="Times New Roman"/>
          <w:sz w:val="21"/>
          <w:szCs w:val="21"/>
        </w:rPr>
        <w:t>月所有纳入和剔除的股票收益数据计算以下问题：</w:t>
      </w:r>
    </w:p>
    <w:p w14:paraId="76765E00" w14:textId="77777777" w:rsidR="00D82080" w:rsidRDefault="00D82080">
      <w:pPr>
        <w:spacing w:after="0" w:line="36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</w:p>
    <w:p w14:paraId="36011139" w14:textId="77777777" w:rsidR="00D82080" w:rsidRDefault="00FA52DF">
      <w:pPr>
        <w:spacing w:beforeLines="50" w:before="120" w:afterLines="50" w:after="120" w:line="360" w:lineRule="atLeast"/>
        <w:ind w:firstLineChars="200" w:firstLine="422"/>
        <w:rPr>
          <w:rFonts w:ascii="Times New Roman" w:eastAsia="黑体" w:hAnsi="Times New Roman" w:cs="Times New Roman"/>
          <w:b/>
          <w:sz w:val="21"/>
          <w:szCs w:val="21"/>
        </w:rPr>
      </w:pPr>
      <w:r>
        <w:rPr>
          <w:rFonts w:ascii="Times New Roman" w:eastAsia="黑体" w:hAnsi="Times New Roman" w:cs="Times New Roman"/>
          <w:b/>
          <w:sz w:val="21"/>
          <w:szCs w:val="21"/>
        </w:rPr>
        <w:t>问题</w:t>
      </w:r>
      <w:proofErr w:type="gramStart"/>
      <w:r>
        <w:rPr>
          <w:rFonts w:ascii="Times New Roman" w:eastAsia="黑体" w:hAnsi="Times New Roman" w:cs="Times New Roman" w:hint="eastAsia"/>
          <w:b/>
          <w:sz w:val="21"/>
          <w:szCs w:val="21"/>
        </w:rPr>
        <w:t>一</w:t>
      </w:r>
      <w:proofErr w:type="gramEnd"/>
      <w:r>
        <w:rPr>
          <w:rFonts w:ascii="Times New Roman" w:eastAsia="黑体" w:hAnsi="Times New Roman" w:cs="Times New Roman"/>
          <w:b/>
          <w:sz w:val="21"/>
          <w:szCs w:val="21"/>
        </w:rPr>
        <w:t>：利用纳入和剔除股票来做套利</w:t>
      </w:r>
    </w:p>
    <w:p w14:paraId="61FE8ED9" w14:textId="77777777" w:rsidR="00D82080" w:rsidRDefault="00FA52DF">
      <w:pPr>
        <w:pStyle w:val="a7"/>
        <w:numPr>
          <w:ilvl w:val="0"/>
          <w:numId w:val="1"/>
        </w:numPr>
        <w:spacing w:beforeLines="50" w:before="120" w:afterLines="50" w:after="120" w:line="360" w:lineRule="atLeast"/>
        <w:ind w:left="0" w:firstLine="42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计算纳入和剔除股票的超额收益</w:t>
      </w:r>
    </w:p>
    <w:p w14:paraId="7DBAFE2F" w14:textId="77777777" w:rsidR="00D82080" w:rsidRDefault="00FA52DF">
      <w:pPr>
        <w:pStyle w:val="a7"/>
        <w:spacing w:after="0" w:line="360" w:lineRule="atLeast"/>
        <w:ind w:left="42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利用</w:t>
      </w:r>
      <w:r>
        <w:rPr>
          <w:rFonts w:ascii="Times New Roman" w:hAnsi="Times New Roman" w:cs="Times New Roman"/>
          <w:sz w:val="21"/>
          <w:szCs w:val="21"/>
        </w:rPr>
        <w:t>Q1-1</w:t>
      </w:r>
      <w:r>
        <w:rPr>
          <w:rFonts w:ascii="Times New Roman" w:hAnsi="Times New Roman" w:cs="Times New Roman"/>
          <w:sz w:val="21"/>
          <w:szCs w:val="21"/>
        </w:rPr>
        <w:t>数据，计算当股票纳入或者剔除沪深</w:t>
      </w:r>
      <w:r>
        <w:rPr>
          <w:rFonts w:ascii="Times New Roman" w:hAnsi="Times New Roman" w:cs="Times New Roman"/>
          <w:sz w:val="21"/>
          <w:szCs w:val="21"/>
        </w:rPr>
        <w:t>300</w:t>
      </w:r>
      <w:r>
        <w:rPr>
          <w:rFonts w:ascii="Times New Roman" w:hAnsi="Times New Roman" w:cs="Times New Roman"/>
          <w:sz w:val="21"/>
          <w:szCs w:val="21"/>
        </w:rPr>
        <w:t>指数当天及其后</w:t>
      </w:r>
      <w:r>
        <w:rPr>
          <w:rFonts w:ascii="Times New Roman" w:hAnsi="Times New Roman" w:cs="Times New Roman"/>
          <w:sz w:val="21"/>
          <w:szCs w:val="21"/>
        </w:rPr>
        <w:t>5</w:t>
      </w:r>
      <w:r>
        <w:rPr>
          <w:rFonts w:ascii="Times New Roman" w:hAnsi="Times New Roman" w:cs="Times New Roman"/>
          <w:sz w:val="21"/>
          <w:szCs w:val="21"/>
        </w:rPr>
        <w:t>天的各纳入股票和剔除股票</w:t>
      </w:r>
    </w:p>
    <w:p w14:paraId="09B64BBC" w14:textId="77777777" w:rsidR="00D82080" w:rsidRDefault="00FA52DF">
      <w:pPr>
        <w:pStyle w:val="a7"/>
        <w:spacing w:after="0" w:line="360" w:lineRule="atLeast"/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的超额收益率</w:t>
      </w:r>
      <w:r>
        <w:rPr>
          <w:rFonts w:ascii="Times New Roman" w:hAnsi="Times New Roman" w:cs="Times New Roman" w:hint="eastAsia"/>
          <w:sz w:val="21"/>
          <w:szCs w:val="21"/>
        </w:rPr>
        <w:t>(</w:t>
      </w:r>
      <w:r>
        <w:rPr>
          <w:rFonts w:ascii="Times New Roman" w:hAnsi="Times New Roman" w:cs="Times New Roman" w:hint="eastAsia"/>
          <w:sz w:val="21"/>
          <w:szCs w:val="21"/>
        </w:rPr>
        <w:t>将</w:t>
      </w:r>
      <w:r>
        <w:rPr>
          <w:rFonts w:ascii="Times New Roman" w:hAnsi="Times New Roman" w:cs="Times New Roman"/>
          <w:sz w:val="21"/>
          <w:szCs w:val="21"/>
        </w:rPr>
        <w:t>均值填于表</w:t>
      </w:r>
      <w:r>
        <w:rPr>
          <w:rFonts w:ascii="Times New Roman" w:hAnsi="Times New Roman" w:cs="Times New Roman" w:hint="eastAsia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中</w:t>
      </w:r>
      <w:r>
        <w:rPr>
          <w:rFonts w:ascii="Times New Roman" w:hAnsi="Times New Roman" w:cs="Times New Roman" w:hint="eastAsia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>。根据计算的结果，讨论是否存在显著的指数纳入效应和剔除效应（剔除效应指当股票被剔除</w:t>
      </w:r>
      <w:proofErr w:type="gramStart"/>
      <w:r>
        <w:rPr>
          <w:rFonts w:ascii="Times New Roman" w:hAnsi="Times New Roman" w:cs="Times New Roman"/>
          <w:sz w:val="21"/>
          <w:szCs w:val="21"/>
        </w:rPr>
        <w:t>出指数</w:t>
      </w:r>
      <w:proofErr w:type="gramEnd"/>
      <w:r>
        <w:rPr>
          <w:rFonts w:ascii="Times New Roman" w:hAnsi="Times New Roman" w:cs="Times New Roman"/>
          <w:sz w:val="21"/>
          <w:szCs w:val="21"/>
        </w:rPr>
        <w:t>时会有负的超额收益）。</w:t>
      </w:r>
    </w:p>
    <w:p w14:paraId="31842C1C" w14:textId="77777777" w:rsidR="00D82080" w:rsidRDefault="00FA52DF">
      <w:pPr>
        <w:pStyle w:val="a7"/>
        <w:spacing w:after="0" w:line="360" w:lineRule="atLeast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1"/>
          <w:szCs w:val="21"/>
        </w:rPr>
        <w:t>提示：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超额收益率</m:t>
            </m:r>
            <m:r>
              <w:rPr>
                <w:rFonts w:ascii="Cambria Math" w:hAnsi="Cambria Math" w:cs="Times New Roman"/>
                <w:sz w:val="21"/>
                <w:szCs w:val="21"/>
              </w:rPr>
              <m:t>abret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it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Dretwd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it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-</m:t>
        </m:r>
        <m:r>
          <m:rPr>
            <m:sty m:val="p"/>
          </m:rPr>
          <w:rPr>
            <w:rFonts w:ascii="Cambria Math" w:hAnsi="Cambria Math" w:cs="Times New Roman"/>
          </w:rPr>
          <m:t>beta×Dretwdos</m:t>
        </m:r>
      </m:oMath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hint="eastAsia"/>
          <w:sz w:val="21"/>
          <w:szCs w:val="21"/>
        </w:rPr>
        <w:t>为简化，各收益率不用减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f</m:t>
            </m:r>
          </m:sub>
        </m:sSub>
      </m:oMath>
      <w:r>
        <w:rPr>
          <w:rFonts w:ascii="Times New Roman" w:hAnsi="Times New Roman" w:hint="eastAsia"/>
          <w:sz w:val="21"/>
          <w:szCs w:val="21"/>
        </w:rPr>
        <w:t>调整</w:t>
      </w:r>
      <w:r>
        <w:rPr>
          <w:rFonts w:ascii="Times New Roman" w:hAnsi="Times New Roman" w:cs="Times New Roman" w:hint="eastAsia"/>
        </w:rPr>
        <w:t>）</w:t>
      </w:r>
    </w:p>
    <w:p w14:paraId="369D0C95" w14:textId="77777777" w:rsidR="00D82080" w:rsidRDefault="00FA52DF">
      <w:pPr>
        <w:pStyle w:val="a7"/>
        <w:spacing w:after="0" w:line="360" w:lineRule="atLeast"/>
        <w:ind w:left="0" w:firstLineChars="193" w:firstLine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其中，</w:t>
      </w:r>
      <w:proofErr w:type="spellStart"/>
      <w:r>
        <w:rPr>
          <w:rFonts w:ascii="Times New Roman" w:hAnsi="Times New Roman" w:cs="Times New Roman"/>
        </w:rPr>
        <w:t>Dretwd</w:t>
      </w:r>
      <w:proofErr w:type="spellEnd"/>
      <w:r>
        <w:rPr>
          <w:rFonts w:ascii="Times New Roman" w:hAnsi="Times New Roman" w:cs="Times New Roman"/>
        </w:rPr>
        <w:t>、</w:t>
      </w:r>
      <w:proofErr w:type="spellStart"/>
      <w:r>
        <w:rPr>
          <w:rFonts w:ascii="Times New Roman" w:hAnsi="Times New Roman" w:cs="Times New Roman"/>
        </w:rPr>
        <w:t>Dretwdos</w:t>
      </w:r>
      <w:proofErr w:type="spellEnd"/>
      <w:r>
        <w:rPr>
          <w:rFonts w:ascii="Times New Roman" w:hAnsi="Times New Roman" w:cs="Times New Roman"/>
        </w:rPr>
        <w:t>分别是个股收益率及市场收益率；</w:t>
      </w:r>
      <w:r>
        <w:rPr>
          <w:rFonts w:ascii="Times New Roman" w:hAnsi="Times New Roman" w:cs="Times New Roman" w:hint="eastAsia"/>
        </w:rPr>
        <w:t>数据中</w:t>
      </w:r>
      <w:r>
        <w:rPr>
          <w:rFonts w:ascii="Times New Roman" w:hAnsi="Times New Roman" w:cs="Times New Roman"/>
        </w:rPr>
        <w:t>已经提供了</w:t>
      </w:r>
      <w:r>
        <w:rPr>
          <w:rFonts w:ascii="Times New Roman" w:hAnsi="Times New Roman" w:cs="Times New Roman"/>
        </w:rPr>
        <w:t>beta</w:t>
      </w:r>
      <w:r>
        <w:rPr>
          <w:rFonts w:ascii="Times New Roman" w:hAnsi="Times New Roman" w:cs="Times New Roman"/>
        </w:rPr>
        <w:t>值</w:t>
      </w:r>
      <w:r>
        <w:rPr>
          <w:rFonts w:ascii="Times New Roman" w:hAnsi="Times New Roman" w:cs="Times New Roman" w:hint="eastAsia"/>
        </w:rPr>
        <w:t>。</w:t>
      </w:r>
    </w:p>
    <w:p w14:paraId="41F884DF" w14:textId="77777777" w:rsidR="00D82080" w:rsidRDefault="00FA52DF">
      <w:pPr>
        <w:spacing w:after="0" w:line="36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请填充表</w:t>
      </w: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7"/>
        <w:gridCol w:w="1182"/>
        <w:gridCol w:w="1275"/>
        <w:gridCol w:w="1099"/>
        <w:gridCol w:w="1154"/>
        <w:gridCol w:w="1291"/>
        <w:gridCol w:w="1080"/>
        <w:gridCol w:w="1158"/>
      </w:tblGrid>
      <w:tr w:rsidR="00D82080" w14:paraId="0ABF629A" w14:textId="77777777">
        <w:trPr>
          <w:trHeight w:val="409"/>
        </w:trPr>
        <w:tc>
          <w:tcPr>
            <w:tcW w:w="1337" w:type="dxa"/>
            <w:vAlign w:val="center"/>
          </w:tcPr>
          <w:p w14:paraId="760E498F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Twind</w:t>
            </w:r>
            <w:proofErr w:type="spellEnd"/>
          </w:p>
        </w:tc>
        <w:tc>
          <w:tcPr>
            <w:tcW w:w="1182" w:type="dxa"/>
            <w:vAlign w:val="center"/>
          </w:tcPr>
          <w:p w14:paraId="1D28D80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2F45FBB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99" w:type="dxa"/>
            <w:vAlign w:val="center"/>
          </w:tcPr>
          <w:p w14:paraId="340964F2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4" w:type="dxa"/>
            <w:vAlign w:val="center"/>
          </w:tcPr>
          <w:p w14:paraId="677273D9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vAlign w:val="center"/>
          </w:tcPr>
          <w:p w14:paraId="2CD3472A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  <w:vAlign w:val="center"/>
          </w:tcPr>
          <w:p w14:paraId="405DEF59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8" w:type="dxa"/>
            <w:vAlign w:val="center"/>
          </w:tcPr>
          <w:p w14:paraId="6EB4020B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82080" w14:paraId="3C1F8B0C" w14:textId="77777777">
        <w:tc>
          <w:tcPr>
            <w:tcW w:w="1337" w:type="dxa"/>
            <w:vMerge w:val="restart"/>
            <w:vAlign w:val="center"/>
          </w:tcPr>
          <w:p w14:paraId="6B365222" w14:textId="77777777" w:rsidR="00D82080" w:rsidRDefault="00FA52DF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纳入指数股票</w:t>
            </w:r>
            <w:r>
              <w:rPr>
                <w:rFonts w:ascii="Times New Roman" w:hAnsi="Times New Roman" w:cs="Times New Roman" w:hint="eastAsia"/>
              </w:rPr>
              <w:t>超额</w:t>
            </w:r>
            <w:r>
              <w:rPr>
                <w:rFonts w:ascii="Times New Roman" w:hAnsi="Times New Roman" w:cs="Times New Roman"/>
              </w:rPr>
              <w:t>收益率</w:t>
            </w:r>
          </w:p>
        </w:tc>
        <w:tc>
          <w:tcPr>
            <w:tcW w:w="1182" w:type="dxa"/>
          </w:tcPr>
          <w:p w14:paraId="1DF9D84B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5" w:type="dxa"/>
          </w:tcPr>
          <w:p w14:paraId="14EB6521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25935917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20CD8061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06C2C57C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791EDB05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2FC538C4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</w:tr>
      <w:tr w:rsidR="00D82080" w14:paraId="77F632E7" w14:textId="77777777">
        <w:tc>
          <w:tcPr>
            <w:tcW w:w="1337" w:type="dxa"/>
            <w:vMerge/>
            <w:vAlign w:val="center"/>
          </w:tcPr>
          <w:p w14:paraId="21262F04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82" w:type="dxa"/>
          </w:tcPr>
          <w:p w14:paraId="50E67642" w14:textId="77777777" w:rsidR="00D82080" w:rsidRDefault="00FA52DF">
            <w:pPr>
              <w:snapToGrid w:val="0"/>
              <w:spacing w:after="0" w:line="240" w:lineRule="atLeast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</w:rPr>
              <w:t>Mean(</w:t>
            </w:r>
            <w:proofErr w:type="gramEnd"/>
            <w:r>
              <w:rPr>
                <w:rFonts w:ascii="Times New Roman" w:hAnsi="Times New Roman" w:cs="Times New Roman"/>
              </w:rPr>
              <w:t>base point)</w:t>
            </w:r>
          </w:p>
        </w:tc>
        <w:tc>
          <w:tcPr>
            <w:tcW w:w="1275" w:type="dxa"/>
          </w:tcPr>
          <w:p w14:paraId="3453989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0611D82A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759E67AC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58FC15F6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59E36E89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05145464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</w:tr>
      <w:tr w:rsidR="00D82080" w14:paraId="4A43B467" w14:textId="77777777">
        <w:trPr>
          <w:trHeight w:val="285"/>
        </w:trPr>
        <w:tc>
          <w:tcPr>
            <w:tcW w:w="1337" w:type="dxa"/>
            <w:vMerge/>
            <w:vAlign w:val="center"/>
          </w:tcPr>
          <w:p w14:paraId="3B0BB90F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82" w:type="dxa"/>
          </w:tcPr>
          <w:p w14:paraId="4BC75914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Std </w:t>
            </w:r>
            <w:r>
              <w:rPr>
                <w:rFonts w:ascii="Times New Roman" w:hAnsi="Times New Roman" w:cs="Times New Roman"/>
              </w:rPr>
              <w:t>Err</w:t>
            </w:r>
          </w:p>
        </w:tc>
        <w:tc>
          <w:tcPr>
            <w:tcW w:w="1275" w:type="dxa"/>
          </w:tcPr>
          <w:p w14:paraId="39B12BEF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5CEF373B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6026B03E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4744243F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1C2F6A0B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6203E3B6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</w:tr>
      <w:tr w:rsidR="00D82080" w14:paraId="63C67915" w14:textId="77777777">
        <w:tc>
          <w:tcPr>
            <w:tcW w:w="1337" w:type="dxa"/>
            <w:vMerge w:val="restart"/>
            <w:vAlign w:val="center"/>
          </w:tcPr>
          <w:p w14:paraId="226CB3DA" w14:textId="77777777" w:rsidR="00D82080" w:rsidRDefault="00FA52DF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剔除指数股票</w:t>
            </w:r>
            <w:r>
              <w:rPr>
                <w:rFonts w:ascii="Times New Roman" w:hAnsi="Times New Roman" w:cs="Times New Roman" w:hint="eastAsia"/>
              </w:rPr>
              <w:t>超额</w:t>
            </w:r>
            <w:r>
              <w:rPr>
                <w:rFonts w:ascii="Times New Roman" w:hAnsi="Times New Roman" w:cs="Times New Roman"/>
              </w:rPr>
              <w:t>收益率</w:t>
            </w:r>
          </w:p>
        </w:tc>
        <w:tc>
          <w:tcPr>
            <w:tcW w:w="1182" w:type="dxa"/>
          </w:tcPr>
          <w:p w14:paraId="3F3C8345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5" w:type="dxa"/>
          </w:tcPr>
          <w:p w14:paraId="0F84B613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7149BFBB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354D580E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7337D2F2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3FA48127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24FB9D1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</w:tr>
      <w:tr w:rsidR="00D82080" w14:paraId="1D0923DF" w14:textId="77777777">
        <w:tc>
          <w:tcPr>
            <w:tcW w:w="1337" w:type="dxa"/>
            <w:vMerge/>
            <w:vAlign w:val="center"/>
          </w:tcPr>
          <w:p w14:paraId="502012E3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82" w:type="dxa"/>
          </w:tcPr>
          <w:p w14:paraId="79817CC2" w14:textId="77777777" w:rsidR="00D82080" w:rsidRDefault="00FA52DF">
            <w:pPr>
              <w:snapToGrid w:val="0"/>
              <w:spacing w:after="0" w:line="240" w:lineRule="atLeast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</w:rPr>
              <w:t>Mean(</w:t>
            </w:r>
            <w:proofErr w:type="gramEnd"/>
            <w:r>
              <w:rPr>
                <w:rFonts w:ascii="Times New Roman" w:hAnsi="Times New Roman" w:cs="Times New Roman"/>
              </w:rPr>
              <w:t>base point)</w:t>
            </w:r>
          </w:p>
        </w:tc>
        <w:tc>
          <w:tcPr>
            <w:tcW w:w="1275" w:type="dxa"/>
          </w:tcPr>
          <w:p w14:paraId="779C06B3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37B9F45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73DF9C6C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6480CDDF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3C66E0EB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51CF695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82080" w14:paraId="32D8D0E5" w14:textId="77777777">
        <w:tc>
          <w:tcPr>
            <w:tcW w:w="1337" w:type="dxa"/>
            <w:vMerge/>
            <w:vAlign w:val="center"/>
          </w:tcPr>
          <w:p w14:paraId="02B1DFC2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82" w:type="dxa"/>
          </w:tcPr>
          <w:p w14:paraId="7CE1BC5C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Std Err</w:t>
            </w:r>
          </w:p>
        </w:tc>
        <w:tc>
          <w:tcPr>
            <w:tcW w:w="1275" w:type="dxa"/>
          </w:tcPr>
          <w:p w14:paraId="7B04200A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684E11E5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16117E8C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38307A1B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36C92EF5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5F1B3BFA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82080" w14:paraId="073CF78B" w14:textId="77777777">
        <w:trPr>
          <w:trHeight w:val="468"/>
        </w:trPr>
        <w:tc>
          <w:tcPr>
            <w:tcW w:w="1337" w:type="dxa"/>
            <w:vMerge w:val="restart"/>
            <w:vAlign w:val="center"/>
          </w:tcPr>
          <w:p w14:paraId="42D2AA52" w14:textId="77777777" w:rsidR="00D82080" w:rsidRDefault="00FA52DF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纳入与剔除股票超额收益率的差）</w:t>
            </w:r>
          </w:p>
        </w:tc>
        <w:tc>
          <w:tcPr>
            <w:tcW w:w="1182" w:type="dxa"/>
            <w:vAlign w:val="center"/>
          </w:tcPr>
          <w:p w14:paraId="26DCF06B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Difference</w:t>
            </w:r>
          </w:p>
        </w:tc>
        <w:tc>
          <w:tcPr>
            <w:tcW w:w="1275" w:type="dxa"/>
          </w:tcPr>
          <w:p w14:paraId="0500108B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6E874589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56839CF1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1228B347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3E726995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46495B36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82080" w14:paraId="7CCF1381" w14:textId="77777777">
        <w:trPr>
          <w:trHeight w:val="467"/>
        </w:trPr>
        <w:tc>
          <w:tcPr>
            <w:tcW w:w="1337" w:type="dxa"/>
            <w:vMerge/>
            <w:vAlign w:val="center"/>
          </w:tcPr>
          <w:p w14:paraId="48F14991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  <w:vAlign w:val="center"/>
          </w:tcPr>
          <w:p w14:paraId="6BA010BF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 w:hint="eastAsia"/>
              </w:rPr>
              <w:t>值</w:t>
            </w:r>
          </w:p>
        </w:tc>
        <w:tc>
          <w:tcPr>
            <w:tcW w:w="1275" w:type="dxa"/>
          </w:tcPr>
          <w:p w14:paraId="76AF5DC1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40ACA462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3A2B1367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21941B0E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49DEAA3F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58" w:type="dxa"/>
          </w:tcPr>
          <w:p w14:paraId="7E361BA2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</w:tbl>
    <w:p w14:paraId="2F2C2D3B" w14:textId="77777777" w:rsidR="00D82080" w:rsidRDefault="00FA52DF">
      <w:pPr>
        <w:spacing w:after="0" w:line="360" w:lineRule="atLeast"/>
        <w:ind w:firstLineChars="200" w:firstLine="422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提示：</w:t>
      </w:r>
      <w:r>
        <w:rPr>
          <w:rFonts w:ascii="Times New Roman" w:hAnsi="Times New Roman" w:cs="Times New Roman"/>
          <w:sz w:val="21"/>
          <w:szCs w:val="21"/>
        </w:rPr>
        <w:t>即检验纳入和剔除的股票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abret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it</m:t>
            </m:r>
          </m:sub>
        </m:sSub>
      </m:oMath>
      <w:r>
        <w:rPr>
          <w:rFonts w:ascii="Times New Roman" w:hAnsi="Times New Roman" w:cs="Times New Roman"/>
          <w:sz w:val="21"/>
          <w:szCs w:val="21"/>
        </w:rPr>
        <w:t>统计上分别是否异于</w:t>
      </w:r>
      <w:r>
        <w:rPr>
          <w:rFonts w:ascii="Times New Roman" w:hAnsi="Times New Roman" w:cs="Times New Roman"/>
          <w:sz w:val="21"/>
          <w:szCs w:val="21"/>
        </w:rPr>
        <w:t>0</w:t>
      </w:r>
      <w:r>
        <w:rPr>
          <w:rFonts w:ascii="Times New Roman" w:hAnsi="Times New Roman" w:cs="Times New Roman"/>
          <w:sz w:val="21"/>
          <w:szCs w:val="21"/>
        </w:rPr>
        <w:t>。可用</w:t>
      </w:r>
      <w:r>
        <w:rPr>
          <w:rFonts w:ascii="Times New Roman" w:hAnsi="Times New Roman" w:cs="Times New Roman"/>
          <w:sz w:val="21"/>
          <w:szCs w:val="21"/>
        </w:rPr>
        <w:t>Excel</w:t>
      </w:r>
      <w:r>
        <w:rPr>
          <w:rFonts w:ascii="Times New Roman" w:hAnsi="Times New Roman" w:cs="Times New Roman"/>
          <w:sz w:val="21"/>
          <w:szCs w:val="21"/>
        </w:rPr>
        <w:t>中的</w:t>
      </w:r>
      <w:r>
        <w:rPr>
          <w:rFonts w:ascii="Times New Roman" w:hAnsi="Times New Roman" w:cs="Times New Roman"/>
          <w:sz w:val="21"/>
          <w:szCs w:val="21"/>
        </w:rPr>
        <w:t>T.TEST()</w:t>
      </w:r>
      <w:r>
        <w:rPr>
          <w:rFonts w:ascii="Times New Roman" w:hAnsi="Times New Roman" w:cs="Times New Roman"/>
          <w:sz w:val="21"/>
          <w:szCs w:val="21"/>
        </w:rPr>
        <w:t>命令，也可用</w:t>
      </w:r>
      <w:r>
        <w:rPr>
          <w:rFonts w:ascii="Times New Roman" w:hAnsi="Times New Roman" w:cs="Times New Roman"/>
          <w:sz w:val="21"/>
          <w:szCs w:val="21"/>
        </w:rPr>
        <w:t>SAS</w:t>
      </w:r>
      <w:r>
        <w:rPr>
          <w:rFonts w:ascii="Times New Roman" w:hAnsi="Times New Roman" w:cs="Times New Roman"/>
          <w:sz w:val="21"/>
          <w:szCs w:val="21"/>
        </w:rPr>
        <w:t>等统计软件实现</w:t>
      </w:r>
      <w:r>
        <w:rPr>
          <w:rFonts w:ascii="Times New Roman" w:hAnsi="Times New Roman" w:cs="Times New Roman" w:hint="eastAsia"/>
          <w:sz w:val="21"/>
          <w:szCs w:val="21"/>
        </w:rPr>
        <w:t>，进行单个样本</w:t>
      </w:r>
      <w:r>
        <w:rPr>
          <w:rFonts w:ascii="Times New Roman" w:hAnsi="Times New Roman" w:cs="Times New Roman" w:hint="eastAsia"/>
          <w:sz w:val="21"/>
          <w:szCs w:val="21"/>
        </w:rPr>
        <w:t>T</w:t>
      </w:r>
      <w:r>
        <w:rPr>
          <w:rFonts w:ascii="Times New Roman" w:hAnsi="Times New Roman" w:cs="Times New Roman" w:hint="eastAsia"/>
          <w:sz w:val="21"/>
          <w:szCs w:val="21"/>
        </w:rPr>
        <w:t>检验和两个独立样本均值是否相等的</w:t>
      </w:r>
      <w:r>
        <w:rPr>
          <w:rFonts w:ascii="Times New Roman" w:hAnsi="Times New Roman" w:cs="Times New Roman" w:hint="eastAsia"/>
          <w:sz w:val="21"/>
          <w:szCs w:val="21"/>
        </w:rPr>
        <w:t>T</w:t>
      </w:r>
      <w:r>
        <w:rPr>
          <w:rFonts w:ascii="Times New Roman" w:hAnsi="Times New Roman" w:cs="Times New Roman" w:hint="eastAsia"/>
          <w:sz w:val="21"/>
          <w:szCs w:val="21"/>
        </w:rPr>
        <w:t>检验</w:t>
      </w:r>
      <w:r>
        <w:rPr>
          <w:rFonts w:ascii="Times New Roman" w:hAnsi="Times New Roman" w:cs="Times New Roman"/>
          <w:sz w:val="21"/>
          <w:szCs w:val="21"/>
        </w:rPr>
        <w:t>。</w:t>
      </w:r>
    </w:p>
    <w:p w14:paraId="4CD00387" w14:textId="77777777" w:rsidR="00D82080" w:rsidRDefault="00D82080">
      <w:pPr>
        <w:spacing w:after="0" w:line="360" w:lineRule="atLeast"/>
        <w:rPr>
          <w:rFonts w:ascii="Times New Roman" w:hAnsi="Times New Roman" w:cs="Times New Roman"/>
        </w:rPr>
      </w:pPr>
    </w:p>
    <w:p w14:paraId="63243CBD" w14:textId="77777777" w:rsidR="00D82080" w:rsidRDefault="00FA52DF">
      <w:pPr>
        <w:pStyle w:val="a7"/>
        <w:numPr>
          <w:ilvl w:val="0"/>
          <w:numId w:val="1"/>
        </w:numPr>
        <w:spacing w:beforeLines="50" w:before="120" w:afterLines="50" w:after="120" w:line="360" w:lineRule="atLeast"/>
        <w:ind w:left="0" w:firstLine="42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套利策略构建</w:t>
      </w:r>
    </w:p>
    <w:p w14:paraId="003B11AE" w14:textId="77777777" w:rsidR="00D82080" w:rsidRDefault="00FA52DF">
      <w:pPr>
        <w:spacing w:after="0" w:line="36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投资人</w:t>
      </w:r>
      <w:r>
        <w:rPr>
          <w:rFonts w:ascii="Times New Roman" w:hAnsi="Times New Roman" w:cs="Times New Roman"/>
          <w:sz w:val="21"/>
          <w:szCs w:val="21"/>
        </w:rPr>
        <w:t>Mac</w:t>
      </w:r>
      <w:r>
        <w:rPr>
          <w:rFonts w:ascii="Times New Roman" w:hAnsi="Times New Roman" w:cs="Times New Roman"/>
          <w:sz w:val="21"/>
          <w:szCs w:val="21"/>
        </w:rPr>
        <w:t>设计了这样的一个套利策略：每次调整指数时，等权重买入所有纳入指数的股票，同时等权重卖空同样数额的所有剔除指数的股票。检验该策略是能否获得显著的收益。</w:t>
      </w:r>
    </w:p>
    <w:p w14:paraId="7521ECB7" w14:textId="77777777" w:rsidR="00D82080" w:rsidRDefault="00FA52DF">
      <w:pPr>
        <w:pStyle w:val="a7"/>
        <w:numPr>
          <w:ilvl w:val="0"/>
          <w:numId w:val="2"/>
        </w:numPr>
        <w:spacing w:after="0" w:line="360" w:lineRule="atLeast"/>
        <w:ind w:left="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计算纳入股票、剔除股票和该套利策略的每天（指数调整公告日窗口</w:t>
      </w:r>
      <w:r>
        <w:rPr>
          <w:rFonts w:ascii="Times New Roman" w:hAnsi="Times New Roman" w:cs="Times New Roman"/>
          <w:sz w:val="21"/>
          <w:szCs w:val="21"/>
        </w:rPr>
        <w:t>(0-5)</w:t>
      </w:r>
      <w:r>
        <w:rPr>
          <w:rFonts w:ascii="Times New Roman" w:hAnsi="Times New Roman" w:cs="Times New Roman"/>
          <w:sz w:val="21"/>
          <w:szCs w:val="21"/>
        </w:rPr>
        <w:t>日）的收益率，并检验。请填充表</w:t>
      </w:r>
      <w:r>
        <w:rPr>
          <w:rFonts w:ascii="Times New Roman" w:hAnsi="Times New Roman" w:cs="Times New Roman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7"/>
        <w:gridCol w:w="1182"/>
        <w:gridCol w:w="1275"/>
        <w:gridCol w:w="1099"/>
        <w:gridCol w:w="1154"/>
        <w:gridCol w:w="1291"/>
        <w:gridCol w:w="1080"/>
        <w:gridCol w:w="1158"/>
      </w:tblGrid>
      <w:tr w:rsidR="00D82080" w14:paraId="0B8387F8" w14:textId="77777777">
        <w:trPr>
          <w:trHeight w:val="409"/>
        </w:trPr>
        <w:tc>
          <w:tcPr>
            <w:tcW w:w="1337" w:type="dxa"/>
            <w:vAlign w:val="center"/>
          </w:tcPr>
          <w:p w14:paraId="318324A4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Twind</w:t>
            </w:r>
            <w:proofErr w:type="spellEnd"/>
          </w:p>
        </w:tc>
        <w:tc>
          <w:tcPr>
            <w:tcW w:w="1182" w:type="dxa"/>
            <w:vAlign w:val="center"/>
          </w:tcPr>
          <w:p w14:paraId="0F2168B2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FBA2239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99" w:type="dxa"/>
            <w:vAlign w:val="center"/>
          </w:tcPr>
          <w:p w14:paraId="72BFA8F7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4" w:type="dxa"/>
            <w:vAlign w:val="center"/>
          </w:tcPr>
          <w:p w14:paraId="3DC1F7C7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vAlign w:val="center"/>
          </w:tcPr>
          <w:p w14:paraId="554B646F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  <w:vAlign w:val="center"/>
          </w:tcPr>
          <w:p w14:paraId="4858D9AE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8" w:type="dxa"/>
            <w:vAlign w:val="center"/>
          </w:tcPr>
          <w:p w14:paraId="13A3BC82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82080" w14:paraId="09E07EB8" w14:textId="77777777">
        <w:tc>
          <w:tcPr>
            <w:tcW w:w="1337" w:type="dxa"/>
            <w:vMerge w:val="restart"/>
            <w:vAlign w:val="center"/>
          </w:tcPr>
          <w:p w14:paraId="5003E62C" w14:textId="77777777" w:rsidR="00D82080" w:rsidRDefault="00FA52DF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纳入指数股票收益率</w:t>
            </w:r>
          </w:p>
        </w:tc>
        <w:tc>
          <w:tcPr>
            <w:tcW w:w="1182" w:type="dxa"/>
          </w:tcPr>
          <w:p w14:paraId="40A1FEDA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5" w:type="dxa"/>
          </w:tcPr>
          <w:p w14:paraId="21BAB502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12BECFF7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3D3D0016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68391F29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726D598F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6811B1D7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</w:tr>
      <w:tr w:rsidR="00D82080" w14:paraId="4F9B6AA3" w14:textId="77777777">
        <w:tc>
          <w:tcPr>
            <w:tcW w:w="1337" w:type="dxa"/>
            <w:vMerge/>
            <w:vAlign w:val="center"/>
          </w:tcPr>
          <w:p w14:paraId="046A04C1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82" w:type="dxa"/>
          </w:tcPr>
          <w:p w14:paraId="72452485" w14:textId="77777777" w:rsidR="00D82080" w:rsidRDefault="00FA52DF">
            <w:pPr>
              <w:snapToGrid w:val="0"/>
              <w:spacing w:after="0" w:line="240" w:lineRule="atLeast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</w:rPr>
              <w:t>Mean(</w:t>
            </w:r>
            <w:proofErr w:type="gramEnd"/>
            <w:r>
              <w:rPr>
                <w:rFonts w:ascii="Times New Roman" w:hAnsi="Times New Roman" w:cs="Times New Roman"/>
              </w:rPr>
              <w:t>base point)</w:t>
            </w:r>
          </w:p>
        </w:tc>
        <w:tc>
          <w:tcPr>
            <w:tcW w:w="1275" w:type="dxa"/>
          </w:tcPr>
          <w:p w14:paraId="6196FC4C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7859E4B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2BA86360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75F92F84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73A0CC64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7ACE18D4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</w:tr>
      <w:tr w:rsidR="00D82080" w14:paraId="5AC773B3" w14:textId="77777777">
        <w:tc>
          <w:tcPr>
            <w:tcW w:w="1337" w:type="dxa"/>
            <w:vMerge/>
            <w:vAlign w:val="center"/>
          </w:tcPr>
          <w:p w14:paraId="1856BF2B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82" w:type="dxa"/>
          </w:tcPr>
          <w:p w14:paraId="52F080D4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Std Err</w:t>
            </w:r>
          </w:p>
        </w:tc>
        <w:tc>
          <w:tcPr>
            <w:tcW w:w="1275" w:type="dxa"/>
          </w:tcPr>
          <w:p w14:paraId="6F8B254C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4822BE1C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77E4086B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0223DF52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353AF660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320A9373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</w:tr>
      <w:tr w:rsidR="00D82080" w14:paraId="47A1F140" w14:textId="77777777">
        <w:tc>
          <w:tcPr>
            <w:tcW w:w="1337" w:type="dxa"/>
            <w:vMerge w:val="restart"/>
            <w:vAlign w:val="center"/>
          </w:tcPr>
          <w:p w14:paraId="30AE7A76" w14:textId="77777777" w:rsidR="00D82080" w:rsidRDefault="00FA52DF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剔除指数股票收益率</w:t>
            </w:r>
          </w:p>
        </w:tc>
        <w:tc>
          <w:tcPr>
            <w:tcW w:w="1182" w:type="dxa"/>
          </w:tcPr>
          <w:p w14:paraId="309CD1F1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5" w:type="dxa"/>
          </w:tcPr>
          <w:p w14:paraId="0B2ED28F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1E5080C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1169416A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0DFF414C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1478C685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7864A1D9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</w:p>
        </w:tc>
      </w:tr>
      <w:tr w:rsidR="00D82080" w14:paraId="31C38D8C" w14:textId="77777777">
        <w:tc>
          <w:tcPr>
            <w:tcW w:w="1337" w:type="dxa"/>
            <w:vMerge/>
            <w:vAlign w:val="center"/>
          </w:tcPr>
          <w:p w14:paraId="2AB101FD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82" w:type="dxa"/>
          </w:tcPr>
          <w:p w14:paraId="63A6034D" w14:textId="77777777" w:rsidR="00D82080" w:rsidRDefault="00FA52DF">
            <w:pPr>
              <w:snapToGrid w:val="0"/>
              <w:spacing w:after="0" w:line="240" w:lineRule="atLeast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</w:rPr>
              <w:t>Mean(</w:t>
            </w:r>
            <w:proofErr w:type="gramEnd"/>
            <w:r>
              <w:rPr>
                <w:rFonts w:ascii="Times New Roman" w:hAnsi="Times New Roman" w:cs="Times New Roman"/>
              </w:rPr>
              <w:t>base point)</w:t>
            </w:r>
          </w:p>
        </w:tc>
        <w:tc>
          <w:tcPr>
            <w:tcW w:w="1275" w:type="dxa"/>
          </w:tcPr>
          <w:p w14:paraId="72D98A3E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1E99749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001ABFAB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1D37AB6F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7BB89086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728D4CAD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82080" w14:paraId="02B49E48" w14:textId="77777777">
        <w:tc>
          <w:tcPr>
            <w:tcW w:w="1337" w:type="dxa"/>
            <w:vMerge/>
            <w:vAlign w:val="center"/>
          </w:tcPr>
          <w:p w14:paraId="361A01B6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82" w:type="dxa"/>
          </w:tcPr>
          <w:p w14:paraId="1EC07265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Std</w:t>
            </w:r>
            <w:r>
              <w:rPr>
                <w:rFonts w:ascii="Times New Roman" w:hAnsi="Times New Roman" w:cs="Times New Roman"/>
              </w:rPr>
              <w:t xml:space="preserve"> Err</w:t>
            </w:r>
          </w:p>
        </w:tc>
        <w:tc>
          <w:tcPr>
            <w:tcW w:w="1275" w:type="dxa"/>
          </w:tcPr>
          <w:p w14:paraId="57F146E9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5E3A37A7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7A75E7CB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184A46B1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7486B629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6F073622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82080" w14:paraId="040B2A91" w14:textId="77777777">
        <w:trPr>
          <w:trHeight w:val="468"/>
        </w:trPr>
        <w:tc>
          <w:tcPr>
            <w:tcW w:w="1337" w:type="dxa"/>
            <w:vMerge w:val="restart"/>
            <w:vAlign w:val="center"/>
          </w:tcPr>
          <w:p w14:paraId="6628E13B" w14:textId="77777777" w:rsidR="00D82080" w:rsidRDefault="00FA52DF">
            <w:pPr>
              <w:snapToGrid w:val="0"/>
              <w:spacing w:after="0" w:line="240" w:lineRule="atLeast"/>
              <w:jc w:val="both"/>
              <w:rPr>
                <w:rFonts w:ascii="Times New Roman" w:eastAsia="黑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套利策略收益（买入纳入卖出剔除股票）</w:t>
            </w:r>
          </w:p>
        </w:tc>
        <w:tc>
          <w:tcPr>
            <w:tcW w:w="1182" w:type="dxa"/>
            <w:vAlign w:val="center"/>
          </w:tcPr>
          <w:p w14:paraId="495593AA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Difference</w:t>
            </w:r>
          </w:p>
        </w:tc>
        <w:tc>
          <w:tcPr>
            <w:tcW w:w="1275" w:type="dxa"/>
          </w:tcPr>
          <w:p w14:paraId="730EBB91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173EAF93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5AE264A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3A3C5B19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387F8E4C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8" w:type="dxa"/>
          </w:tcPr>
          <w:p w14:paraId="1082C6A4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82080" w14:paraId="62FDB9F4" w14:textId="77777777">
        <w:trPr>
          <w:trHeight w:val="467"/>
        </w:trPr>
        <w:tc>
          <w:tcPr>
            <w:tcW w:w="1337" w:type="dxa"/>
            <w:vMerge/>
            <w:vAlign w:val="center"/>
          </w:tcPr>
          <w:p w14:paraId="3B6CBDDD" w14:textId="77777777" w:rsidR="00D82080" w:rsidRDefault="00D82080">
            <w:pPr>
              <w:snapToGrid w:val="0"/>
              <w:spacing w:after="0" w:line="240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  <w:vAlign w:val="center"/>
          </w:tcPr>
          <w:p w14:paraId="55BCA22C" w14:textId="77777777" w:rsidR="00D82080" w:rsidRDefault="00FA52DF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 w:hint="eastAsia"/>
              </w:rPr>
              <w:t>值</w:t>
            </w:r>
          </w:p>
        </w:tc>
        <w:tc>
          <w:tcPr>
            <w:tcW w:w="1275" w:type="dxa"/>
          </w:tcPr>
          <w:p w14:paraId="40A6587D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 w14:paraId="489D7978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4" w:type="dxa"/>
          </w:tcPr>
          <w:p w14:paraId="5C49C410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91" w:type="dxa"/>
          </w:tcPr>
          <w:p w14:paraId="14F380FE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80" w:type="dxa"/>
          </w:tcPr>
          <w:p w14:paraId="5CA84852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158" w:type="dxa"/>
          </w:tcPr>
          <w:p w14:paraId="3EEB4689" w14:textId="77777777" w:rsidR="00D82080" w:rsidRDefault="00D82080">
            <w:pPr>
              <w:snapToGrid w:val="0"/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</w:tbl>
    <w:p w14:paraId="3AD3AAB8" w14:textId="77777777" w:rsidR="00D82080" w:rsidRDefault="00D82080">
      <w:pPr>
        <w:pStyle w:val="a7"/>
        <w:spacing w:after="0" w:line="360" w:lineRule="atLeast"/>
        <w:ind w:left="420"/>
        <w:rPr>
          <w:rFonts w:ascii="Times New Roman" w:hAnsi="Times New Roman" w:cs="Times New Roman"/>
          <w:sz w:val="21"/>
          <w:szCs w:val="21"/>
        </w:rPr>
      </w:pPr>
    </w:p>
    <w:p w14:paraId="65492FF4" w14:textId="77777777" w:rsidR="00D82080" w:rsidRDefault="00FA52DF">
      <w:pPr>
        <w:pStyle w:val="a7"/>
        <w:numPr>
          <w:ilvl w:val="0"/>
          <w:numId w:val="2"/>
        </w:numPr>
        <w:spacing w:after="0" w:line="360" w:lineRule="atLeas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Mac</w:t>
      </w:r>
      <w:r>
        <w:rPr>
          <w:rFonts w:ascii="Times New Roman" w:hAnsi="Times New Roman" w:cs="Times New Roman"/>
          <w:sz w:val="21"/>
          <w:szCs w:val="21"/>
        </w:rPr>
        <w:t>的套利策略</w:t>
      </w:r>
      <w:r>
        <w:rPr>
          <w:rFonts w:ascii="Times New Roman" w:hAnsi="Times New Roman" w:cs="Times New Roman" w:hint="eastAsia"/>
          <w:sz w:val="21"/>
          <w:szCs w:val="21"/>
        </w:rPr>
        <w:t>可能</w:t>
      </w:r>
      <w:r>
        <w:rPr>
          <w:rFonts w:ascii="Times New Roman" w:hAnsi="Times New Roman" w:cs="Times New Roman"/>
          <w:sz w:val="21"/>
          <w:szCs w:val="21"/>
        </w:rPr>
        <w:t>存在</w:t>
      </w:r>
      <w:r>
        <w:rPr>
          <w:rFonts w:ascii="Times New Roman" w:hAnsi="Times New Roman" w:cs="Times New Roman" w:hint="eastAsia"/>
          <w:sz w:val="21"/>
          <w:szCs w:val="21"/>
        </w:rPr>
        <w:t>什么</w:t>
      </w:r>
      <w:r>
        <w:rPr>
          <w:rFonts w:ascii="Times New Roman" w:hAnsi="Times New Roman" w:cs="Times New Roman"/>
          <w:sz w:val="21"/>
          <w:szCs w:val="21"/>
        </w:rPr>
        <w:t>问题？如果你是投资人，有</w:t>
      </w:r>
      <w:r>
        <w:rPr>
          <w:rFonts w:ascii="Times New Roman" w:hAnsi="Times New Roman" w:cs="Times New Roman" w:hint="eastAsia"/>
          <w:sz w:val="21"/>
          <w:szCs w:val="21"/>
        </w:rPr>
        <w:t>什么</w:t>
      </w:r>
      <w:r>
        <w:rPr>
          <w:rFonts w:ascii="Times New Roman" w:hAnsi="Times New Roman" w:cs="Times New Roman"/>
          <w:sz w:val="21"/>
          <w:szCs w:val="21"/>
        </w:rPr>
        <w:t>更好的套利策略设计</w:t>
      </w:r>
      <w:r>
        <w:rPr>
          <w:rFonts w:ascii="Times New Roman" w:hAnsi="Times New Roman" w:cs="Times New Roman" w:hint="eastAsia"/>
          <w:sz w:val="21"/>
          <w:szCs w:val="21"/>
        </w:rPr>
        <w:t>，为什么</w:t>
      </w:r>
      <w:r>
        <w:rPr>
          <w:rFonts w:ascii="Times New Roman" w:hAnsi="Times New Roman" w:cs="Times New Roman"/>
          <w:sz w:val="21"/>
          <w:szCs w:val="21"/>
        </w:rPr>
        <w:t>？</w:t>
      </w:r>
    </w:p>
    <w:p w14:paraId="43C19F0C" w14:textId="77777777" w:rsidR="00D82080" w:rsidRDefault="00D82080">
      <w:pPr>
        <w:spacing w:beforeLines="50" w:before="120" w:afterLines="50" w:after="120" w:line="360" w:lineRule="atLeast"/>
        <w:ind w:firstLineChars="200" w:firstLine="422"/>
        <w:rPr>
          <w:rFonts w:ascii="Times New Roman" w:eastAsia="黑体" w:hAnsi="Times New Roman" w:cs="Times New Roman"/>
          <w:b/>
          <w:sz w:val="21"/>
          <w:szCs w:val="21"/>
        </w:rPr>
      </w:pPr>
    </w:p>
    <w:p w14:paraId="75FF6F6A" w14:textId="77777777" w:rsidR="00D82080" w:rsidRDefault="00FA52DF">
      <w:pPr>
        <w:spacing w:beforeLines="50" w:before="120" w:afterLines="50" w:after="120" w:line="360" w:lineRule="atLeast"/>
        <w:ind w:firstLineChars="200" w:firstLine="422"/>
        <w:rPr>
          <w:rFonts w:ascii="Times New Roman" w:eastAsia="黑体" w:hAnsi="Times New Roman" w:cs="Times New Roman"/>
          <w:b/>
          <w:sz w:val="21"/>
          <w:szCs w:val="21"/>
        </w:rPr>
      </w:pPr>
      <w:r>
        <w:rPr>
          <w:rFonts w:ascii="Times New Roman" w:eastAsia="黑体" w:hAnsi="Times New Roman" w:cs="Times New Roman"/>
          <w:b/>
          <w:sz w:val="21"/>
          <w:szCs w:val="21"/>
        </w:rPr>
        <w:t>问题</w:t>
      </w:r>
      <w:r>
        <w:rPr>
          <w:rFonts w:ascii="Times New Roman" w:eastAsia="黑体" w:hAnsi="Times New Roman" w:cs="Times New Roman" w:hint="eastAsia"/>
          <w:b/>
          <w:sz w:val="21"/>
          <w:szCs w:val="21"/>
        </w:rPr>
        <w:t>二</w:t>
      </w:r>
      <w:r>
        <w:rPr>
          <w:rFonts w:ascii="Times New Roman" w:eastAsia="黑体" w:hAnsi="Times New Roman" w:cs="Times New Roman"/>
          <w:b/>
          <w:sz w:val="21"/>
          <w:szCs w:val="21"/>
        </w:rPr>
        <w:t>：</w:t>
      </w:r>
      <w:r>
        <w:rPr>
          <w:rFonts w:ascii="Times New Roman" w:eastAsia="黑体" w:hAnsi="Times New Roman" w:cs="Times New Roman" w:hint="eastAsia"/>
          <w:b/>
          <w:sz w:val="21"/>
          <w:szCs w:val="21"/>
        </w:rPr>
        <w:t>寻找匹配样本</w:t>
      </w:r>
    </w:p>
    <w:p w14:paraId="63623077" w14:textId="25C9069D" w:rsidR="00D82080" w:rsidRDefault="00FA52DF">
      <w:pPr>
        <w:spacing w:after="0" w:line="36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投资人</w:t>
      </w:r>
      <w:r>
        <w:rPr>
          <w:rFonts w:ascii="Times New Roman" w:hAnsi="Times New Roman" w:cs="Times New Roman"/>
          <w:sz w:val="21"/>
          <w:szCs w:val="21"/>
        </w:rPr>
        <w:t xml:space="preserve">Marina </w:t>
      </w:r>
      <w:r>
        <w:rPr>
          <w:rFonts w:ascii="Times New Roman" w:hAnsi="Times New Roman" w:cs="Times New Roman"/>
          <w:sz w:val="21"/>
          <w:szCs w:val="21"/>
        </w:rPr>
        <w:t>选取了</w:t>
      </w:r>
      <w:r>
        <w:rPr>
          <w:rFonts w:ascii="Times New Roman" w:hAnsi="Times New Roman" w:cs="Times New Roman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25</w:t>
      </w:r>
      <w:r>
        <w:rPr>
          <w:rFonts w:ascii="Times New Roman" w:hAnsi="Times New Roman" w:cs="Times New Roman"/>
          <w:sz w:val="21"/>
          <w:szCs w:val="21"/>
        </w:rPr>
        <w:t>年</w:t>
      </w:r>
      <w:r w:rsidR="00145C7D"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/>
          <w:sz w:val="21"/>
          <w:szCs w:val="21"/>
        </w:rPr>
        <w:t>月</w:t>
      </w:r>
      <w:r>
        <w:rPr>
          <w:rFonts w:ascii="Times New Roman" w:hAnsi="Times New Roman" w:cs="Times New Roman"/>
          <w:sz w:val="21"/>
          <w:szCs w:val="21"/>
        </w:rPr>
        <w:t>调整（公告日为</w:t>
      </w:r>
      <w:r>
        <w:rPr>
          <w:rFonts w:ascii="Times New Roman" w:hAnsi="Times New Roman" w:cs="Times New Roman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25</w:t>
      </w:r>
      <w:r>
        <w:rPr>
          <w:rFonts w:ascii="Times New Roman" w:hAnsi="Times New Roman" w:cs="Times New Roman"/>
          <w:sz w:val="21"/>
          <w:szCs w:val="21"/>
        </w:rPr>
        <w:t>年</w:t>
      </w:r>
      <w:r w:rsidR="00145C7D"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</w:t>
      </w:r>
      <w:r w:rsidR="00145C7D">
        <w:rPr>
          <w:rFonts w:ascii="Times New Roman" w:hAnsi="Times New Roman" w:cs="Times New Roman" w:hint="eastAsia"/>
          <w:sz w:val="21"/>
          <w:szCs w:val="21"/>
        </w:rPr>
        <w:t>1</w:t>
      </w:r>
      <w:r w:rsidR="00145C7D">
        <w:rPr>
          <w:rFonts w:ascii="Times New Roman" w:hAnsi="Times New Roman" w:cs="Times New Roman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日</w:t>
      </w:r>
      <w:r>
        <w:rPr>
          <w:rFonts w:ascii="Times New Roman" w:hAnsi="Times New Roman" w:cs="Times New Roman"/>
          <w:sz w:val="21"/>
          <w:szCs w:val="21"/>
        </w:rPr>
        <w:t>）的样本设计了另外一种套利策略：等权重买入纳入指数的股票，同时等权重卖出同样数额的与纳入指数相配对的股票（匹配是</w:t>
      </w:r>
      <w:r>
        <w:rPr>
          <w:rFonts w:ascii="Times New Roman" w:hAnsi="Times New Roman" w:cs="Times New Roman" w:hint="eastAsia"/>
          <w:sz w:val="21"/>
          <w:szCs w:val="21"/>
        </w:rPr>
        <w:t>相</w:t>
      </w:r>
      <w:r>
        <w:rPr>
          <w:rFonts w:ascii="Times New Roman" w:hAnsi="Times New Roman" w:cs="Times New Roman"/>
          <w:sz w:val="21"/>
          <w:szCs w:val="21"/>
        </w:rPr>
        <w:t>对某一只纳入</w:t>
      </w:r>
      <w:r>
        <w:rPr>
          <w:rFonts w:ascii="Times New Roman" w:hAnsi="Times New Roman" w:cs="Times New Roman" w:hint="eastAsia"/>
          <w:sz w:val="21"/>
          <w:szCs w:val="21"/>
        </w:rPr>
        <w:t>指数</w:t>
      </w:r>
      <w:r>
        <w:rPr>
          <w:rFonts w:ascii="Times New Roman" w:hAnsi="Times New Roman" w:cs="Times New Roman"/>
          <w:sz w:val="21"/>
          <w:szCs w:val="21"/>
        </w:rPr>
        <w:t>的股票，选择一只与这只股票同行业、同市场上市、具有相近的系统性风险</w:t>
      </w:r>
      <w:r>
        <w:rPr>
          <w:rFonts w:ascii="Times New Roman" w:hAnsi="Times New Roman" w:cs="Times New Roman" w:hint="eastAsia"/>
          <w:sz w:val="21"/>
          <w:szCs w:val="21"/>
        </w:rPr>
        <w:t>，即</w:t>
      </w:r>
      <w:r>
        <w:rPr>
          <w:rFonts w:ascii="Times New Roman" w:hAnsi="Times New Roman" w:cs="Times New Roman"/>
          <w:sz w:val="21"/>
          <w:szCs w:val="21"/>
        </w:rPr>
        <w:t>beta</w:t>
      </w:r>
      <w:r>
        <w:rPr>
          <w:rFonts w:ascii="Times New Roman" w:hAnsi="Times New Roman" w:cs="Times New Roman" w:hint="eastAsia"/>
          <w:sz w:val="21"/>
          <w:szCs w:val="21"/>
        </w:rPr>
        <w:t>相近</w:t>
      </w:r>
      <w:r>
        <w:rPr>
          <w:rFonts w:ascii="Times New Roman" w:hAnsi="Times New Roman" w:cs="Times New Roman"/>
          <w:sz w:val="21"/>
          <w:szCs w:val="21"/>
        </w:rPr>
        <w:t>的股票作为卖空的对象）。</w:t>
      </w:r>
      <w:r>
        <w:rPr>
          <w:rFonts w:ascii="Times New Roman" w:hAnsi="Times New Roman" w:cs="Times New Roman"/>
          <w:sz w:val="21"/>
          <w:szCs w:val="21"/>
        </w:rPr>
        <w:t>Homework_3, Q</w:t>
      </w:r>
      <w:r>
        <w:rPr>
          <w:rFonts w:ascii="Times New Roman" w:hAnsi="Times New Roman" w:cs="Times New Roman" w:hint="eastAsia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表中所提供的数据是</w:t>
      </w:r>
      <w:proofErr w:type="gramStart"/>
      <w:r>
        <w:rPr>
          <w:rFonts w:ascii="Times New Roman" w:hAnsi="Times New Roman" w:cs="Times New Roman"/>
          <w:sz w:val="21"/>
          <w:szCs w:val="21"/>
        </w:rPr>
        <w:t>某调整</w:t>
      </w:r>
      <w:proofErr w:type="gramEnd"/>
      <w:r>
        <w:rPr>
          <w:rFonts w:ascii="Times New Roman" w:hAnsi="Times New Roman" w:cs="Times New Roman"/>
          <w:sz w:val="21"/>
          <w:szCs w:val="21"/>
        </w:rPr>
        <w:t>股票所有对应的同行业、同市场的股票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  <w:proofErr w:type="gramStart"/>
      <w:r>
        <w:rPr>
          <w:rFonts w:ascii="Times New Roman" w:hAnsi="Times New Roman" w:cs="Times New Roman" w:hint="eastAsia"/>
          <w:sz w:val="21"/>
          <w:szCs w:val="21"/>
        </w:rPr>
        <w:t>请</w:t>
      </w:r>
      <w:r>
        <w:rPr>
          <w:rFonts w:ascii="Times New Roman" w:hAnsi="Times New Roman" w:cs="Times New Roman"/>
          <w:sz w:val="21"/>
          <w:szCs w:val="21"/>
        </w:rPr>
        <w:t>找到</w:t>
      </w:r>
      <w:proofErr w:type="gramEnd"/>
      <w:r>
        <w:rPr>
          <w:rFonts w:ascii="Times New Roman" w:hAnsi="Times New Roman" w:cs="Times New Roman"/>
          <w:sz w:val="21"/>
          <w:szCs w:val="21"/>
        </w:rPr>
        <w:t>与纳入指数股票相匹配的股票，要求</w:t>
      </w:r>
      <w:r>
        <w:rPr>
          <w:rFonts w:ascii="Times New Roman" w:hAnsi="Times New Roman" w:cs="Times New Roman"/>
          <w:sz w:val="21"/>
          <w:szCs w:val="21"/>
        </w:rPr>
        <w:t>beta</w:t>
      </w:r>
      <w:r>
        <w:rPr>
          <w:rFonts w:ascii="Times New Roman" w:hAnsi="Times New Roman" w:cs="Times New Roman"/>
          <w:sz w:val="21"/>
          <w:szCs w:val="21"/>
        </w:rPr>
        <w:t>匹配的精度为绝对误差小于</w:t>
      </w:r>
      <w:r>
        <w:rPr>
          <w:rFonts w:ascii="Times New Roman" w:hAnsi="Times New Roman" w:cs="Times New Roman"/>
          <w:sz w:val="21"/>
          <w:szCs w:val="21"/>
        </w:rPr>
        <w:t>1%</w:t>
      </w:r>
      <w:r>
        <w:rPr>
          <w:rFonts w:ascii="Times New Roman" w:hAnsi="Times New Roman" w:cs="Times New Roman"/>
          <w:sz w:val="21"/>
          <w:szCs w:val="21"/>
        </w:rPr>
        <w:t>。</w:t>
      </w:r>
    </w:p>
    <w:p w14:paraId="48EA21EB" w14:textId="77777777" w:rsidR="00D82080" w:rsidRDefault="00FA52DF">
      <w:pPr>
        <w:spacing w:after="0" w:line="36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结果填</w:t>
      </w:r>
      <w:r>
        <w:rPr>
          <w:rFonts w:ascii="Times New Roman" w:hAnsi="Times New Roman" w:cs="Times New Roman"/>
          <w:sz w:val="21"/>
          <w:szCs w:val="21"/>
        </w:rPr>
        <w:t>表</w:t>
      </w:r>
      <w:r>
        <w:rPr>
          <w:rFonts w:ascii="Times New Roman" w:hAnsi="Times New Roman" w:cs="Times New Roman" w:hint="eastAsia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tbl>
      <w:tblPr>
        <w:tblStyle w:val="a5"/>
        <w:tblW w:w="6521" w:type="dxa"/>
        <w:jc w:val="center"/>
        <w:tblLayout w:type="fixed"/>
        <w:tblLook w:val="04A0" w:firstRow="1" w:lastRow="0" w:firstColumn="1" w:lastColumn="0" w:noHBand="0" w:noVBand="1"/>
      </w:tblPr>
      <w:tblGrid>
        <w:gridCol w:w="3260"/>
        <w:gridCol w:w="3261"/>
      </w:tblGrid>
      <w:tr w:rsidR="00D82080" w14:paraId="3C55DF1D" w14:textId="77777777">
        <w:trPr>
          <w:trHeight w:val="270"/>
          <w:jc w:val="center"/>
        </w:trPr>
        <w:tc>
          <w:tcPr>
            <w:tcW w:w="3260" w:type="dxa"/>
            <w:noWrap/>
            <w:vAlign w:val="center"/>
          </w:tcPr>
          <w:p w14:paraId="5924024C" w14:textId="77777777" w:rsidR="00D82080" w:rsidRDefault="00FA52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Stkcd</w:t>
            </w:r>
            <w:proofErr w:type="spellEnd"/>
          </w:p>
          <w:p w14:paraId="5578F3DA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</w:rPr>
              <w:t>（纳入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指数股票）</w:t>
            </w:r>
          </w:p>
        </w:tc>
        <w:tc>
          <w:tcPr>
            <w:tcW w:w="3261" w:type="dxa"/>
            <w:noWrap/>
            <w:vAlign w:val="center"/>
          </w:tcPr>
          <w:p w14:paraId="1C2FCEA9" w14:textId="77777777" w:rsidR="00D82080" w:rsidRDefault="00FA52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Stkcd1</w:t>
            </w:r>
          </w:p>
          <w:p w14:paraId="7117E26A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</w:rPr>
              <w:t>（匹配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股票）</w:t>
            </w:r>
          </w:p>
        </w:tc>
      </w:tr>
      <w:tr w:rsidR="00D82080" w14:paraId="6C8B9B0F" w14:textId="77777777">
        <w:trPr>
          <w:trHeight w:val="386"/>
          <w:jc w:val="center"/>
        </w:trPr>
        <w:tc>
          <w:tcPr>
            <w:tcW w:w="3260" w:type="dxa"/>
            <w:noWrap/>
            <w:vAlign w:val="center"/>
          </w:tcPr>
          <w:p w14:paraId="455D36DF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1" w:type="dxa"/>
            <w:noWrap/>
            <w:vAlign w:val="center"/>
          </w:tcPr>
          <w:p w14:paraId="240EF2F6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D82080" w14:paraId="57161902" w14:textId="77777777">
        <w:trPr>
          <w:trHeight w:val="386"/>
          <w:jc w:val="center"/>
        </w:trPr>
        <w:tc>
          <w:tcPr>
            <w:tcW w:w="3260" w:type="dxa"/>
            <w:noWrap/>
            <w:vAlign w:val="center"/>
          </w:tcPr>
          <w:p w14:paraId="42C88A88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1" w:type="dxa"/>
            <w:noWrap/>
            <w:vAlign w:val="center"/>
          </w:tcPr>
          <w:p w14:paraId="22775574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D82080" w14:paraId="485449C1" w14:textId="77777777">
        <w:trPr>
          <w:trHeight w:val="386"/>
          <w:jc w:val="center"/>
        </w:trPr>
        <w:tc>
          <w:tcPr>
            <w:tcW w:w="3260" w:type="dxa"/>
            <w:noWrap/>
            <w:vAlign w:val="center"/>
          </w:tcPr>
          <w:p w14:paraId="05CA41B7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1" w:type="dxa"/>
            <w:noWrap/>
            <w:vAlign w:val="center"/>
          </w:tcPr>
          <w:p w14:paraId="3B47B0BE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D82080" w14:paraId="3BA30492" w14:textId="77777777">
        <w:trPr>
          <w:trHeight w:val="386"/>
          <w:jc w:val="center"/>
        </w:trPr>
        <w:tc>
          <w:tcPr>
            <w:tcW w:w="3260" w:type="dxa"/>
            <w:noWrap/>
            <w:vAlign w:val="center"/>
          </w:tcPr>
          <w:p w14:paraId="649E5E0F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1" w:type="dxa"/>
            <w:noWrap/>
            <w:vAlign w:val="center"/>
          </w:tcPr>
          <w:p w14:paraId="2A8B4356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D82080" w14:paraId="46A72E30" w14:textId="77777777">
        <w:trPr>
          <w:trHeight w:val="386"/>
          <w:jc w:val="center"/>
        </w:trPr>
        <w:tc>
          <w:tcPr>
            <w:tcW w:w="3260" w:type="dxa"/>
            <w:noWrap/>
            <w:vAlign w:val="center"/>
          </w:tcPr>
          <w:p w14:paraId="77F33611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1" w:type="dxa"/>
            <w:noWrap/>
            <w:vAlign w:val="center"/>
          </w:tcPr>
          <w:p w14:paraId="486E32FF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D82080" w14:paraId="2ACB4EBB" w14:textId="77777777">
        <w:trPr>
          <w:trHeight w:val="386"/>
          <w:jc w:val="center"/>
        </w:trPr>
        <w:tc>
          <w:tcPr>
            <w:tcW w:w="3260" w:type="dxa"/>
            <w:noWrap/>
            <w:vAlign w:val="center"/>
          </w:tcPr>
          <w:p w14:paraId="16A3C134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61" w:type="dxa"/>
            <w:noWrap/>
            <w:vAlign w:val="center"/>
          </w:tcPr>
          <w:p w14:paraId="2337B299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549829C8" w14:textId="77777777" w:rsidR="00D82080" w:rsidRDefault="00D82080">
      <w:pPr>
        <w:spacing w:beforeLines="50" w:before="120" w:afterLines="50" w:after="120" w:line="360" w:lineRule="atLeast"/>
        <w:rPr>
          <w:rFonts w:ascii="Times New Roman" w:eastAsia="黑体" w:hAnsi="Times New Roman" w:cs="Times New Roman"/>
          <w:b/>
          <w:sz w:val="21"/>
          <w:szCs w:val="21"/>
        </w:rPr>
      </w:pPr>
    </w:p>
    <w:p w14:paraId="6C87D34B" w14:textId="77777777" w:rsidR="00D82080" w:rsidRDefault="00FA52DF">
      <w:pPr>
        <w:spacing w:beforeLines="50" w:before="120" w:afterLines="50" w:after="120" w:line="360" w:lineRule="atLeast"/>
        <w:ind w:firstLineChars="200" w:firstLine="422"/>
        <w:rPr>
          <w:rFonts w:ascii="Times New Roman" w:eastAsia="黑体" w:hAnsi="Times New Roman" w:cs="Times New Roman"/>
          <w:b/>
          <w:sz w:val="21"/>
          <w:szCs w:val="21"/>
        </w:rPr>
      </w:pPr>
      <w:r>
        <w:rPr>
          <w:rFonts w:ascii="Times New Roman" w:eastAsia="黑体" w:hAnsi="Times New Roman" w:cs="Times New Roman"/>
          <w:b/>
          <w:sz w:val="21"/>
          <w:szCs w:val="21"/>
        </w:rPr>
        <w:t>问题</w:t>
      </w:r>
      <w:r>
        <w:rPr>
          <w:rFonts w:ascii="Times New Roman" w:eastAsia="黑体" w:hAnsi="Times New Roman" w:cs="Times New Roman" w:hint="eastAsia"/>
          <w:b/>
          <w:sz w:val="21"/>
          <w:szCs w:val="21"/>
        </w:rPr>
        <w:t>三</w:t>
      </w:r>
      <w:r>
        <w:rPr>
          <w:rFonts w:ascii="Times New Roman" w:eastAsia="黑体" w:hAnsi="Times New Roman" w:cs="Times New Roman"/>
          <w:b/>
          <w:sz w:val="21"/>
          <w:szCs w:val="21"/>
        </w:rPr>
        <w:t>：</w:t>
      </w:r>
      <w:r>
        <w:rPr>
          <w:rFonts w:ascii="Times New Roman" w:eastAsia="黑体" w:hAnsi="Times New Roman" w:cs="Times New Roman" w:hint="eastAsia"/>
          <w:b/>
          <w:sz w:val="21"/>
          <w:szCs w:val="21"/>
        </w:rPr>
        <w:t>利用匹配样本构建套利策略</w:t>
      </w:r>
    </w:p>
    <w:p w14:paraId="31C1C4D4" w14:textId="77777777" w:rsidR="00D82080" w:rsidRDefault="00FA52DF">
      <w:pPr>
        <w:spacing w:after="0" w:line="360" w:lineRule="atLeast"/>
        <w:ind w:firstLineChars="200" w:firstLine="42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假定</w:t>
      </w:r>
      <w:r>
        <w:rPr>
          <w:rFonts w:ascii="Times New Roman" w:hAnsi="Times New Roman" w:cs="Times New Roman"/>
          <w:sz w:val="21"/>
          <w:szCs w:val="21"/>
        </w:rPr>
        <w:t xml:space="preserve">Marina </w:t>
      </w:r>
      <w:r>
        <w:rPr>
          <w:rFonts w:ascii="Times New Roman" w:hAnsi="Times New Roman" w:cs="Times New Roman"/>
          <w:sz w:val="21"/>
          <w:szCs w:val="21"/>
        </w:rPr>
        <w:t>对样本经过匹配分析，最终找到了</w:t>
      </w:r>
      <w:r>
        <w:rPr>
          <w:rFonts w:ascii="Times New Roman" w:hAnsi="Times New Roman" w:cs="Times New Roman" w:hint="eastAsia"/>
          <w:sz w:val="21"/>
          <w:szCs w:val="21"/>
        </w:rPr>
        <w:t>5</w:t>
      </w:r>
      <w:r>
        <w:rPr>
          <w:rFonts w:ascii="Times New Roman" w:hAnsi="Times New Roman" w:cs="Times New Roman"/>
          <w:sz w:val="21"/>
          <w:szCs w:val="21"/>
        </w:rPr>
        <w:t>对配对交易的股票（见</w:t>
      </w:r>
      <w:r>
        <w:rPr>
          <w:rFonts w:ascii="Times New Roman" w:hAnsi="Times New Roman" w:cs="Times New Roman"/>
          <w:sz w:val="21"/>
          <w:szCs w:val="21"/>
        </w:rPr>
        <w:t>Hom</w:t>
      </w:r>
      <w:r>
        <w:rPr>
          <w:rFonts w:ascii="Times New Roman" w:hAnsi="Times New Roman" w:cs="Times New Roman" w:hint="eastAsia"/>
          <w:sz w:val="21"/>
          <w:szCs w:val="21"/>
        </w:rPr>
        <w:t>e</w:t>
      </w:r>
      <w:r>
        <w:rPr>
          <w:rFonts w:ascii="Times New Roman" w:hAnsi="Times New Roman" w:cs="Times New Roman"/>
          <w:sz w:val="21"/>
          <w:szCs w:val="21"/>
        </w:rPr>
        <w:t>work_3, Q</w:t>
      </w:r>
      <w:r>
        <w:rPr>
          <w:rFonts w:ascii="Times New Roman" w:hAnsi="Times New Roman" w:cs="Times New Roman" w:hint="eastAsia"/>
          <w:sz w:val="21"/>
          <w:szCs w:val="21"/>
        </w:rPr>
        <w:t>3</w:t>
      </w:r>
      <w:r>
        <w:rPr>
          <w:rFonts w:ascii="Times New Roman" w:hAnsi="Times New Roman" w:cs="Times New Roman"/>
          <w:sz w:val="21"/>
          <w:szCs w:val="21"/>
        </w:rPr>
        <w:t>数据，表</w:t>
      </w:r>
      <w:r>
        <w:rPr>
          <w:rFonts w:ascii="Times New Roman" w:hAnsi="Times New Roman" w:cs="Times New Roman" w:hint="eastAsia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）。</w:t>
      </w:r>
      <w:r>
        <w:rPr>
          <w:rFonts w:ascii="Times New Roman" w:hAnsi="Times New Roman" w:cs="Times New Roman"/>
          <w:sz w:val="21"/>
          <w:szCs w:val="21"/>
        </w:rPr>
        <w:t xml:space="preserve">Marina </w:t>
      </w:r>
      <w:r>
        <w:rPr>
          <w:rFonts w:ascii="Times New Roman" w:hAnsi="Times New Roman" w:cs="Times New Roman"/>
          <w:sz w:val="21"/>
          <w:szCs w:val="21"/>
        </w:rPr>
        <w:t>准备买入纳入股指的股票，卖空匹配的股票进行套利，请根据（</w:t>
      </w:r>
      <w:r>
        <w:rPr>
          <w:rFonts w:ascii="Times New Roman" w:hAnsi="Times New Roman" w:cs="Times New Roman"/>
          <w:sz w:val="21"/>
          <w:szCs w:val="21"/>
        </w:rPr>
        <w:t>Hom</w:t>
      </w:r>
      <w:r>
        <w:rPr>
          <w:rFonts w:ascii="Times New Roman" w:hAnsi="Times New Roman" w:cs="Times New Roman" w:hint="eastAsia"/>
          <w:sz w:val="21"/>
          <w:szCs w:val="21"/>
        </w:rPr>
        <w:t>e</w:t>
      </w:r>
      <w:r>
        <w:rPr>
          <w:rFonts w:ascii="Times New Roman" w:hAnsi="Times New Roman" w:cs="Times New Roman"/>
          <w:sz w:val="21"/>
          <w:szCs w:val="21"/>
        </w:rPr>
        <w:t>work_3, Q</w:t>
      </w:r>
      <w:r>
        <w:rPr>
          <w:rFonts w:ascii="Times New Roman" w:hAnsi="Times New Roman" w:cs="Times New Roman" w:hint="eastAsia"/>
          <w:sz w:val="21"/>
          <w:szCs w:val="21"/>
        </w:rPr>
        <w:t>3</w:t>
      </w:r>
      <w:r>
        <w:rPr>
          <w:rFonts w:ascii="Times New Roman" w:hAnsi="Times New Roman" w:cs="Times New Roman"/>
          <w:sz w:val="21"/>
          <w:szCs w:val="21"/>
        </w:rPr>
        <w:t>数据，表</w:t>
      </w:r>
      <w:r>
        <w:rPr>
          <w:rFonts w:ascii="Times New Roman" w:hAnsi="Times New Roman" w:cs="Times New Roman" w:hint="eastAsia"/>
          <w:sz w:val="21"/>
          <w:szCs w:val="21"/>
        </w:rPr>
        <w:t>2(</w:t>
      </w: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ascii="Times New Roman" w:hAnsi="Times New Roman" w:cs="Times New Roman" w:hint="eastAsia"/>
          <w:sz w:val="21"/>
          <w:szCs w:val="21"/>
        </w:rPr>
        <w:t>(</w:t>
      </w:r>
      <w:r>
        <w:rPr>
          <w:rFonts w:ascii="Times New Roman" w:hAnsi="Times New Roman" w:cs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>）数据计算</w:t>
      </w:r>
      <w:r>
        <w:rPr>
          <w:rFonts w:ascii="Times New Roman" w:hAnsi="Times New Roman" w:cs="Times New Roman"/>
          <w:sz w:val="21"/>
          <w:szCs w:val="21"/>
        </w:rPr>
        <w:t>Marina</w:t>
      </w:r>
      <w:r>
        <w:rPr>
          <w:rFonts w:ascii="Times New Roman" w:hAnsi="Times New Roman" w:cs="Times New Roman"/>
          <w:sz w:val="21"/>
          <w:szCs w:val="21"/>
        </w:rPr>
        <w:t>套利策略</w:t>
      </w:r>
      <w:r>
        <w:rPr>
          <w:rFonts w:ascii="Times New Roman" w:hAnsi="Times New Roman" w:cs="Times New Roman" w:hint="eastAsia"/>
          <w:sz w:val="21"/>
          <w:szCs w:val="21"/>
        </w:rPr>
        <w:t>形成后</w:t>
      </w:r>
      <w:r>
        <w:rPr>
          <w:rFonts w:ascii="Times New Roman" w:hAnsi="Times New Roman" w:cs="Times New Roman"/>
          <w:sz w:val="21"/>
          <w:szCs w:val="21"/>
        </w:rPr>
        <w:t>10</w:t>
      </w:r>
      <w:r>
        <w:rPr>
          <w:rFonts w:ascii="Times New Roman" w:hAnsi="Times New Roman" w:cs="Times New Roman"/>
          <w:sz w:val="21"/>
          <w:szCs w:val="21"/>
        </w:rPr>
        <w:t>个交易日每天的</w:t>
      </w:r>
      <w:r>
        <w:rPr>
          <w:rFonts w:ascii="Times New Roman" w:hAnsi="Times New Roman" w:cs="Times New Roman"/>
          <w:b/>
          <w:sz w:val="21"/>
          <w:szCs w:val="21"/>
        </w:rPr>
        <w:t>买入并持有的收益率</w:t>
      </w:r>
      <w:r>
        <w:rPr>
          <w:rFonts w:ascii="Times New Roman" w:hAnsi="Times New Roman" w:cs="Times New Roman" w:hint="eastAsia"/>
          <w:b/>
          <w:sz w:val="21"/>
          <w:szCs w:val="21"/>
        </w:rPr>
        <w:t>(</w:t>
      </w:r>
      <w:r>
        <w:rPr>
          <w:rFonts w:ascii="Times New Roman" w:hAnsi="Times New Roman" w:cs="Times New Roman"/>
          <w:b/>
          <w:sz w:val="21"/>
          <w:szCs w:val="21"/>
        </w:rPr>
        <w:t>Buy &amp; Hold return</w:t>
      </w:r>
      <w:r>
        <w:rPr>
          <w:rFonts w:ascii="Times New Roman" w:hAnsi="Times New Roman" w:cs="Times New Roman" w:hint="eastAsia"/>
          <w:b/>
          <w:sz w:val="21"/>
          <w:szCs w:val="21"/>
        </w:rPr>
        <w:t>)</w:t>
      </w:r>
      <w:r>
        <w:rPr>
          <w:rFonts w:ascii="Times New Roman" w:hAnsi="Times New Roman" w:cs="Times New Roman"/>
          <w:b/>
          <w:sz w:val="21"/>
          <w:szCs w:val="21"/>
        </w:rPr>
        <w:t>。</w:t>
      </w:r>
    </w:p>
    <w:p w14:paraId="71A8D819" w14:textId="77777777" w:rsidR="00D82080" w:rsidRDefault="00FA52DF">
      <w:pPr>
        <w:pStyle w:val="a7"/>
        <w:numPr>
          <w:ilvl w:val="0"/>
          <w:numId w:val="3"/>
        </w:numPr>
        <w:spacing w:after="0" w:line="360" w:lineRule="atLeast"/>
        <w:ind w:left="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先计算每个配对组的收益</w:t>
      </w:r>
      <w:r>
        <w:rPr>
          <w:rFonts w:ascii="Times New Roman" w:hAnsi="Times New Roman" w:cs="Times New Roman" w:hint="eastAsia"/>
          <w:sz w:val="21"/>
          <w:szCs w:val="21"/>
        </w:rPr>
        <w:t>，再</w:t>
      </w:r>
      <w:r>
        <w:rPr>
          <w:rFonts w:ascii="Times New Roman" w:hAnsi="Times New Roman" w:cs="Times New Roman"/>
          <w:sz w:val="21"/>
          <w:szCs w:val="21"/>
        </w:rPr>
        <w:t>计算等权重交易每个配对组的资产组合的收益</w:t>
      </w:r>
      <w:r>
        <w:rPr>
          <w:rFonts w:ascii="Times New Roman" w:hAnsi="Times New Roman" w:cs="Times New Roman" w:hint="eastAsia"/>
          <w:sz w:val="21"/>
          <w:szCs w:val="21"/>
        </w:rPr>
        <w:t>，结果</w:t>
      </w:r>
      <w:r>
        <w:rPr>
          <w:rFonts w:ascii="Times New Roman" w:hAnsi="Times New Roman" w:cs="Times New Roman"/>
          <w:sz w:val="21"/>
          <w:szCs w:val="21"/>
        </w:rPr>
        <w:t>填在表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>
        <w:rPr>
          <w:rFonts w:ascii="Times New Roman" w:hAnsi="Times New Roman" w:cs="Times New Roman" w:hint="eastAsia"/>
          <w:sz w:val="21"/>
          <w:szCs w:val="21"/>
        </w:rPr>
        <w:t>中，</w:t>
      </w:r>
      <w:r>
        <w:rPr>
          <w:rFonts w:ascii="Times New Roman" w:hAnsi="Times New Roman" w:cs="Times New Roman"/>
          <w:sz w:val="21"/>
          <w:szCs w:val="21"/>
        </w:rPr>
        <w:t>并</w:t>
      </w:r>
      <w:r>
        <w:rPr>
          <w:rFonts w:ascii="Times New Roman" w:hAnsi="Times New Roman" w:cs="Times New Roman" w:hint="eastAsia"/>
          <w:sz w:val="21"/>
          <w:szCs w:val="21"/>
        </w:rPr>
        <w:t>将</w:t>
      </w:r>
      <w:r>
        <w:rPr>
          <w:rFonts w:ascii="Times New Roman" w:hAnsi="Times New Roman" w:cs="Times New Roman"/>
          <w:sz w:val="21"/>
          <w:szCs w:val="21"/>
        </w:rPr>
        <w:t>结果</w:t>
      </w:r>
      <w:r>
        <w:rPr>
          <w:rFonts w:ascii="Times New Roman" w:hAnsi="Times New Roman" w:cs="Times New Roman" w:hint="eastAsia"/>
          <w:sz w:val="21"/>
          <w:szCs w:val="21"/>
        </w:rPr>
        <w:t>画图</w:t>
      </w:r>
      <w:r>
        <w:rPr>
          <w:rFonts w:ascii="Times New Roman" w:hAnsi="Times New Roman" w:cs="Times New Roman"/>
          <w:sz w:val="21"/>
          <w:szCs w:val="21"/>
        </w:rPr>
        <w:t>表示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  <w:r>
        <w:rPr>
          <w:rFonts w:ascii="Times New Roman" w:hAnsi="Times New Roman" w:cs="Times New Roman"/>
          <w:sz w:val="21"/>
          <w:szCs w:val="21"/>
        </w:rPr>
        <w:t>（注意：当某个配对组的某个股票停牌时，配对组的收益是无法计算的，此时当天资产组合收益的计算权重需要调整）</w:t>
      </w:r>
    </w:p>
    <w:p w14:paraId="7577242D" w14:textId="77777777" w:rsidR="00D82080" w:rsidRDefault="00FA52DF">
      <w:pPr>
        <w:pStyle w:val="a7"/>
        <w:spacing w:after="0" w:line="360" w:lineRule="atLeast"/>
        <w:ind w:left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表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045"/>
        <w:gridCol w:w="821"/>
        <w:gridCol w:w="859"/>
        <w:gridCol w:w="821"/>
        <w:gridCol w:w="1093"/>
        <w:gridCol w:w="1093"/>
        <w:gridCol w:w="1093"/>
        <w:gridCol w:w="821"/>
        <w:gridCol w:w="895"/>
        <w:gridCol w:w="1035"/>
      </w:tblGrid>
      <w:tr w:rsidR="00D82080" w14:paraId="1B3E96E1" w14:textId="77777777">
        <w:trPr>
          <w:trHeight w:val="495"/>
        </w:trPr>
        <w:tc>
          <w:tcPr>
            <w:tcW w:w="545" w:type="pct"/>
            <w:noWrap/>
            <w:vAlign w:val="center"/>
          </w:tcPr>
          <w:p w14:paraId="76B3BE2B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8" w:type="pct"/>
            <w:noWrap/>
            <w:vAlign w:val="center"/>
          </w:tcPr>
          <w:p w14:paraId="68936025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8" w:type="pct"/>
            <w:noWrap/>
            <w:vAlign w:val="center"/>
          </w:tcPr>
          <w:p w14:paraId="78DC5443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8" w:type="pct"/>
            <w:noWrap/>
            <w:vAlign w:val="center"/>
          </w:tcPr>
          <w:p w14:paraId="379992F7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0" w:type="pct"/>
            <w:noWrap/>
            <w:vAlign w:val="center"/>
          </w:tcPr>
          <w:p w14:paraId="19A7D4B1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0" w:type="pct"/>
            <w:noWrap/>
            <w:vAlign w:val="center"/>
          </w:tcPr>
          <w:p w14:paraId="56973E4D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0" w:type="pct"/>
            <w:noWrap/>
            <w:vAlign w:val="center"/>
          </w:tcPr>
          <w:p w14:paraId="033DEC10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8" w:type="pct"/>
            <w:noWrap/>
            <w:vAlign w:val="center"/>
          </w:tcPr>
          <w:p w14:paraId="7995DE5A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7" w:type="pct"/>
            <w:noWrap/>
            <w:vAlign w:val="center"/>
          </w:tcPr>
          <w:p w14:paraId="058019EA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0" w:type="pct"/>
            <w:noWrap/>
            <w:vAlign w:val="center"/>
          </w:tcPr>
          <w:p w14:paraId="1E6EC9C0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82080" w14:paraId="6411981E" w14:textId="77777777">
        <w:trPr>
          <w:trHeight w:val="495"/>
        </w:trPr>
        <w:tc>
          <w:tcPr>
            <w:tcW w:w="545" w:type="pct"/>
            <w:noWrap/>
            <w:vAlign w:val="center"/>
          </w:tcPr>
          <w:p w14:paraId="4B2EFE32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pct"/>
            <w:noWrap/>
            <w:vAlign w:val="center"/>
          </w:tcPr>
          <w:p w14:paraId="64DA9070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8" w:type="pct"/>
            <w:noWrap/>
            <w:vAlign w:val="center"/>
          </w:tcPr>
          <w:p w14:paraId="2FE41572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pct"/>
            <w:noWrap/>
            <w:vAlign w:val="center"/>
          </w:tcPr>
          <w:p w14:paraId="5C177A73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0" w:type="pct"/>
            <w:noWrap/>
            <w:vAlign w:val="center"/>
          </w:tcPr>
          <w:p w14:paraId="0BC164EC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0" w:type="pct"/>
            <w:noWrap/>
            <w:vAlign w:val="center"/>
          </w:tcPr>
          <w:p w14:paraId="15496EBB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0" w:type="pct"/>
            <w:noWrap/>
            <w:vAlign w:val="center"/>
          </w:tcPr>
          <w:p w14:paraId="3D29A9DD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pct"/>
            <w:noWrap/>
            <w:vAlign w:val="center"/>
          </w:tcPr>
          <w:p w14:paraId="02666A64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" w:type="pct"/>
            <w:noWrap/>
            <w:vAlign w:val="center"/>
          </w:tcPr>
          <w:p w14:paraId="2E0C2F68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pct"/>
            <w:noWrap/>
            <w:vAlign w:val="center"/>
          </w:tcPr>
          <w:p w14:paraId="248381A7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205966F" w14:textId="77777777" w:rsidR="00D82080" w:rsidRDefault="00D82080">
      <w:pPr>
        <w:pStyle w:val="a7"/>
        <w:spacing w:after="0" w:line="360" w:lineRule="atLeast"/>
        <w:ind w:left="420"/>
        <w:rPr>
          <w:rFonts w:ascii="Times New Roman" w:hAnsi="Times New Roman" w:cs="Times New Roman"/>
          <w:sz w:val="21"/>
          <w:szCs w:val="21"/>
        </w:rPr>
      </w:pPr>
    </w:p>
    <w:p w14:paraId="7B68EA80" w14:textId="72DC45AC" w:rsidR="00D82080" w:rsidRDefault="00FA52DF">
      <w:pPr>
        <w:pStyle w:val="a7"/>
        <w:spacing w:after="0" w:line="360" w:lineRule="atLeast"/>
        <w:ind w:left="0" w:firstLineChars="200" w:firstLine="422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提示：</w:t>
      </w:r>
      <w:r>
        <w:rPr>
          <w:rFonts w:ascii="Times New Roman" w:hAnsi="Times New Roman" w:cs="Times New Roman"/>
          <w:sz w:val="21"/>
          <w:szCs w:val="21"/>
        </w:rPr>
        <w:t>计算</w:t>
      </w:r>
      <w:r>
        <w:rPr>
          <w:rFonts w:ascii="Times New Roman" w:hAnsi="Times New Roman" w:cs="Times New Roman"/>
          <w:sz w:val="21"/>
          <w:szCs w:val="21"/>
        </w:rPr>
        <w:t>B&amp;H return</w:t>
      </w:r>
      <w:r>
        <w:rPr>
          <w:rFonts w:ascii="Times New Roman" w:hAnsi="Times New Roman" w:cs="Times New Roman"/>
          <w:sz w:val="21"/>
          <w:szCs w:val="21"/>
        </w:rPr>
        <w:t>时，</w:t>
      </w:r>
      <w:r>
        <w:rPr>
          <w:rFonts w:ascii="Times New Roman" w:hAnsi="Times New Roman" w:cs="Times New Roman" w:hint="eastAsia"/>
          <w:sz w:val="21"/>
          <w:szCs w:val="21"/>
        </w:rPr>
        <w:t>假定</w:t>
      </w:r>
      <w:r>
        <w:rPr>
          <w:rFonts w:ascii="Times New Roman" w:hAnsi="Times New Roman" w:cs="Times New Roman"/>
          <w:sz w:val="21"/>
          <w:szCs w:val="21"/>
        </w:rPr>
        <w:t>以公告日当天的收盘价交易，即</w:t>
      </w:r>
      <w:r>
        <w:rPr>
          <w:rFonts w:ascii="Times New Roman" w:hAnsi="Times New Roman" w:cs="Times New Roman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25</w:t>
      </w:r>
      <w:r>
        <w:rPr>
          <w:rFonts w:ascii="Times New Roman" w:hAnsi="Times New Roman" w:cs="Times New Roman"/>
          <w:sz w:val="21"/>
          <w:szCs w:val="21"/>
        </w:rPr>
        <w:t>年</w:t>
      </w:r>
      <w:r w:rsidR="00145C7D">
        <w:rPr>
          <w:rFonts w:ascii="Times New Roman" w:hAnsi="Times New Roman" w:cs="Times New Roman" w:hint="eastAsia"/>
          <w:sz w:val="21"/>
          <w:szCs w:val="21"/>
        </w:rPr>
        <w:t>5</w:t>
      </w:r>
      <w:r>
        <w:rPr>
          <w:rFonts w:ascii="Times New Roman" w:hAnsi="Times New Roman" w:cs="Times New Roman" w:hint="eastAsia"/>
          <w:sz w:val="21"/>
          <w:szCs w:val="21"/>
        </w:rPr>
        <w:t>月</w:t>
      </w:r>
      <w:r w:rsidR="00145C7D">
        <w:rPr>
          <w:rFonts w:ascii="Times New Roman" w:hAnsi="Times New Roman" w:cs="Times New Roman" w:hint="eastAsia"/>
          <w:sz w:val="21"/>
          <w:szCs w:val="21"/>
        </w:rPr>
        <w:t>1</w:t>
      </w:r>
      <w:r w:rsidR="00145C7D">
        <w:rPr>
          <w:rFonts w:ascii="Times New Roman" w:hAnsi="Times New Roman" w:cs="Times New Roman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日以收盘价买入，</w:t>
      </w:r>
      <w:r>
        <w:rPr>
          <w:rFonts w:ascii="Times New Roman" w:hAnsi="Times New Roman" w:cs="Times New Roman" w:hint="eastAsia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25</w:t>
      </w:r>
      <w:r>
        <w:rPr>
          <w:rFonts w:ascii="Times New Roman" w:hAnsi="Times New Roman" w:cs="Times New Roman" w:hint="eastAsia"/>
          <w:sz w:val="21"/>
          <w:szCs w:val="21"/>
        </w:rPr>
        <w:t>年</w:t>
      </w:r>
      <w:r w:rsidR="00145C7D">
        <w:rPr>
          <w:rFonts w:ascii="Times New Roman" w:hAnsi="Times New Roman" w:cs="Times New Roman" w:hint="eastAsia"/>
          <w:sz w:val="21"/>
          <w:szCs w:val="21"/>
        </w:rPr>
        <w:t>5</w:t>
      </w:r>
      <w:r>
        <w:rPr>
          <w:rFonts w:ascii="Times New Roman" w:hAnsi="Times New Roman" w:cs="Times New Roman" w:hint="eastAsia"/>
          <w:sz w:val="21"/>
          <w:szCs w:val="21"/>
        </w:rPr>
        <w:t>月</w:t>
      </w:r>
      <w:r w:rsidR="00145C7D">
        <w:rPr>
          <w:rFonts w:ascii="Times New Roman" w:hAnsi="Times New Roman" w:cs="Times New Roman" w:hint="eastAsia"/>
          <w:sz w:val="21"/>
          <w:szCs w:val="21"/>
        </w:rPr>
        <w:t>1</w:t>
      </w:r>
      <w:r w:rsidR="00145C7D">
        <w:rPr>
          <w:rFonts w:ascii="Times New Roman" w:hAnsi="Times New Roman" w:cs="Times New Roman"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>日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ascii="Times New Roman" w:hAnsi="Times New Roman" w:cs="Times New Roman" w:hint="eastAsia"/>
          <w:sz w:val="21"/>
          <w:szCs w:val="21"/>
        </w:rPr>
        <w:t>持有</w:t>
      </w:r>
      <w:r>
        <w:rPr>
          <w:rFonts w:ascii="Times New Roman" w:hAnsi="Times New Roman" w:cs="Times New Roman"/>
          <w:sz w:val="21"/>
          <w:szCs w:val="21"/>
        </w:rPr>
        <w:t>的第</w:t>
      </w: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天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02F929F6" w14:textId="77777777" w:rsidR="00D82080" w:rsidRDefault="00D82080">
      <w:pPr>
        <w:spacing w:after="0" w:line="360" w:lineRule="atLeast"/>
        <w:jc w:val="both"/>
        <w:rPr>
          <w:rFonts w:ascii="Times New Roman" w:hAnsi="Times New Roman" w:cs="Times New Roman"/>
          <w:sz w:val="21"/>
          <w:szCs w:val="21"/>
        </w:rPr>
      </w:pPr>
    </w:p>
    <w:p w14:paraId="2BCB86C7" w14:textId="77777777" w:rsidR="00D82080" w:rsidRDefault="00FA52DF">
      <w:pPr>
        <w:spacing w:beforeLines="50" w:before="120" w:afterLines="50" w:after="120" w:line="360" w:lineRule="atLeast"/>
        <w:ind w:firstLineChars="200" w:firstLine="422"/>
        <w:rPr>
          <w:rFonts w:ascii="Times New Roman" w:eastAsia="黑体" w:hAnsi="Times New Roman" w:cs="Times New Roman"/>
          <w:b/>
          <w:sz w:val="21"/>
          <w:szCs w:val="21"/>
        </w:rPr>
      </w:pPr>
      <w:r>
        <w:rPr>
          <w:rFonts w:ascii="Times New Roman" w:eastAsia="黑体" w:hAnsi="Times New Roman" w:cs="Times New Roman"/>
          <w:b/>
          <w:sz w:val="21"/>
          <w:szCs w:val="21"/>
        </w:rPr>
        <w:t>问题</w:t>
      </w:r>
      <w:r>
        <w:rPr>
          <w:rFonts w:ascii="Times New Roman" w:eastAsia="黑体" w:hAnsi="Times New Roman" w:cs="Times New Roman" w:hint="eastAsia"/>
          <w:b/>
          <w:sz w:val="21"/>
          <w:szCs w:val="21"/>
        </w:rPr>
        <w:t>四</w:t>
      </w:r>
      <w:r>
        <w:rPr>
          <w:rFonts w:ascii="Times New Roman" w:eastAsia="黑体" w:hAnsi="Times New Roman" w:cs="Times New Roman"/>
          <w:b/>
          <w:sz w:val="21"/>
          <w:szCs w:val="21"/>
        </w:rPr>
        <w:t>：</w:t>
      </w:r>
      <w:r>
        <w:rPr>
          <w:rFonts w:ascii="Times New Roman" w:eastAsia="黑体" w:hAnsi="Times New Roman" w:cs="Times New Roman" w:hint="eastAsia"/>
          <w:b/>
          <w:sz w:val="21"/>
          <w:szCs w:val="21"/>
        </w:rPr>
        <w:t>套利策略在牛熊市中的稳健性检验</w:t>
      </w:r>
    </w:p>
    <w:p w14:paraId="39FE53EA" w14:textId="17AC9BB2" w:rsidR="00D82080" w:rsidRDefault="00FA52DF">
      <w:pPr>
        <w:spacing w:after="0" w:line="360" w:lineRule="atLeast"/>
        <w:ind w:firstLineChars="200" w:firstLine="42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为检验套利策略的稳定性，</w:t>
      </w:r>
      <w:r>
        <w:rPr>
          <w:rFonts w:ascii="Times New Roman" w:hAnsi="Times New Roman" w:cs="Times New Roman"/>
          <w:sz w:val="21"/>
          <w:szCs w:val="21"/>
        </w:rPr>
        <w:t xml:space="preserve">Marina </w:t>
      </w:r>
      <w:r>
        <w:rPr>
          <w:rFonts w:ascii="Times New Roman" w:hAnsi="Times New Roman" w:cs="Times New Roman"/>
          <w:sz w:val="21"/>
          <w:szCs w:val="21"/>
        </w:rPr>
        <w:t>另选了</w:t>
      </w:r>
      <w:r>
        <w:rPr>
          <w:rFonts w:ascii="Times New Roman" w:hAnsi="Times New Roman" w:cs="Times New Roman" w:hint="eastAsia"/>
          <w:sz w:val="21"/>
          <w:szCs w:val="21"/>
        </w:rPr>
        <w:t>3</w:t>
      </w:r>
      <w:r>
        <w:rPr>
          <w:rFonts w:ascii="Times New Roman" w:hAnsi="Times New Roman" w:cs="Times New Roman"/>
          <w:sz w:val="21"/>
          <w:szCs w:val="21"/>
        </w:rPr>
        <w:t>组处于</w:t>
      </w:r>
      <w:r>
        <w:rPr>
          <w:rFonts w:ascii="Times New Roman" w:hAnsi="Times New Roman" w:cs="Times New Roman" w:hint="eastAsia"/>
          <w:sz w:val="21"/>
          <w:szCs w:val="21"/>
        </w:rPr>
        <w:t>其他</w:t>
      </w:r>
      <w:r>
        <w:rPr>
          <w:rFonts w:ascii="Times New Roman" w:hAnsi="Times New Roman" w:cs="Times New Roman"/>
          <w:sz w:val="21"/>
          <w:szCs w:val="21"/>
        </w:rPr>
        <w:t>时间段的匹配样本</w:t>
      </w: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22</w:t>
      </w:r>
      <w:r>
        <w:rPr>
          <w:rFonts w:ascii="Times New Roman" w:hAnsi="Times New Roman" w:cs="Times New Roman"/>
          <w:sz w:val="21"/>
          <w:szCs w:val="21"/>
        </w:rPr>
        <w:t>年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</w:t>
      </w:r>
      <w:r>
        <w:rPr>
          <w:rFonts w:ascii="Times New Roman" w:hAnsi="Times New Roman" w:cs="Times New Roman" w:hint="eastAsia"/>
          <w:sz w:val="21"/>
          <w:szCs w:val="21"/>
        </w:rPr>
        <w:t>homework3_Q4-1</w:t>
      </w:r>
      <w:r>
        <w:rPr>
          <w:rFonts w:ascii="Times New Roman" w:hAnsi="Times New Roman" w:cs="Times New Roman" w:hint="eastAsia"/>
          <w:sz w:val="21"/>
          <w:szCs w:val="21"/>
        </w:rPr>
        <w:t>数据集、</w:t>
      </w:r>
      <w:r>
        <w:rPr>
          <w:rFonts w:ascii="Times New Roman" w:hAnsi="Times New Roman" w:cs="Times New Roman" w:hint="eastAsia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23</w:t>
      </w:r>
      <w:r>
        <w:rPr>
          <w:rFonts w:ascii="Times New Roman" w:hAnsi="Times New Roman" w:cs="Times New Roman" w:hint="eastAsia"/>
          <w:sz w:val="21"/>
          <w:szCs w:val="21"/>
        </w:rPr>
        <w:t>年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</w:t>
      </w:r>
      <w:r>
        <w:rPr>
          <w:rFonts w:ascii="Times New Roman" w:hAnsi="Times New Roman" w:cs="Times New Roman" w:hint="eastAsia"/>
          <w:sz w:val="21"/>
          <w:szCs w:val="21"/>
        </w:rPr>
        <w:t>homework3_Q4-2</w:t>
      </w:r>
      <w:r>
        <w:rPr>
          <w:rFonts w:ascii="Times New Roman" w:hAnsi="Times New Roman" w:cs="Times New Roman" w:hint="eastAsia"/>
          <w:sz w:val="21"/>
          <w:szCs w:val="21"/>
        </w:rPr>
        <w:t>数据集和</w:t>
      </w:r>
      <w:r>
        <w:rPr>
          <w:rFonts w:ascii="Times New Roman" w:hAnsi="Times New Roman" w:cs="Times New Roman" w:hint="eastAsia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24</w:t>
      </w:r>
      <w:r>
        <w:rPr>
          <w:rFonts w:ascii="Times New Roman" w:hAnsi="Times New Roman" w:cs="Times New Roman" w:hint="eastAsia"/>
          <w:sz w:val="21"/>
          <w:szCs w:val="21"/>
        </w:rPr>
        <w:t>年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</w:t>
      </w:r>
      <w:r>
        <w:rPr>
          <w:rFonts w:ascii="Times New Roman" w:hAnsi="Times New Roman" w:cs="Times New Roman" w:hint="eastAsia"/>
          <w:sz w:val="21"/>
          <w:szCs w:val="21"/>
        </w:rPr>
        <w:t>homework</w:t>
      </w:r>
      <w:r>
        <w:rPr>
          <w:rFonts w:ascii="Times New Roman" w:hAnsi="Times New Roman" w:cs="Times New Roman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_Q4-3</w:t>
      </w:r>
      <w:r>
        <w:rPr>
          <w:rFonts w:ascii="Times New Roman" w:hAnsi="Times New Roman" w:cs="Times New Roman"/>
          <w:sz w:val="21"/>
          <w:szCs w:val="21"/>
        </w:rPr>
        <w:t>）。同样，根据</w:t>
      </w:r>
      <w:r>
        <w:rPr>
          <w:rFonts w:ascii="Times New Roman" w:hAnsi="Times New Roman" w:cs="Times New Roman" w:hint="eastAsia"/>
          <w:sz w:val="21"/>
          <w:szCs w:val="21"/>
        </w:rPr>
        <w:t>问题三的方法</w:t>
      </w:r>
      <w:r>
        <w:rPr>
          <w:rFonts w:ascii="Times New Roman" w:hAnsi="Times New Roman" w:cs="Times New Roman"/>
          <w:sz w:val="21"/>
          <w:szCs w:val="21"/>
        </w:rPr>
        <w:t>重新计算套利策略</w:t>
      </w:r>
      <w:r>
        <w:rPr>
          <w:rFonts w:ascii="Times New Roman" w:hAnsi="Times New Roman" w:cs="Times New Roman" w:hint="eastAsia"/>
          <w:sz w:val="21"/>
          <w:szCs w:val="21"/>
        </w:rPr>
        <w:t>形成后</w:t>
      </w:r>
      <w:r>
        <w:rPr>
          <w:rFonts w:ascii="Times New Roman" w:hAnsi="Times New Roman" w:cs="Times New Roman"/>
          <w:sz w:val="21"/>
          <w:szCs w:val="21"/>
        </w:rPr>
        <w:t>10</w:t>
      </w:r>
      <w:r>
        <w:rPr>
          <w:rFonts w:ascii="Times New Roman" w:hAnsi="Times New Roman" w:cs="Times New Roman"/>
          <w:sz w:val="21"/>
          <w:szCs w:val="21"/>
        </w:rPr>
        <w:t>个交易日</w:t>
      </w:r>
      <w:r>
        <w:rPr>
          <w:rFonts w:ascii="Times New Roman" w:hAnsi="Times New Roman" w:cs="Times New Roman"/>
          <w:b/>
          <w:sz w:val="21"/>
          <w:szCs w:val="21"/>
        </w:rPr>
        <w:t>每天的</w:t>
      </w:r>
      <w:r>
        <w:rPr>
          <w:rFonts w:ascii="Times New Roman" w:hAnsi="Times New Roman" w:cs="Times New Roman"/>
          <w:b/>
          <w:sz w:val="21"/>
          <w:szCs w:val="21"/>
        </w:rPr>
        <w:t>Buy &amp; Hold return</w:t>
      </w:r>
      <w:r>
        <w:rPr>
          <w:rFonts w:ascii="Times New Roman" w:hAnsi="Times New Roman" w:cs="Times New Roman" w:hint="eastAsia"/>
          <w:b/>
          <w:sz w:val="21"/>
          <w:szCs w:val="21"/>
        </w:rPr>
        <w:t>。</w:t>
      </w:r>
    </w:p>
    <w:p w14:paraId="6CE61DC2" w14:textId="256C29F8" w:rsidR="00D82080" w:rsidRDefault="00FA52DF">
      <w:pPr>
        <w:pStyle w:val="a7"/>
        <w:numPr>
          <w:ilvl w:val="0"/>
          <w:numId w:val="4"/>
        </w:numPr>
        <w:spacing w:after="0" w:line="360" w:lineRule="atLeas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计算</w:t>
      </w:r>
      <w:r>
        <w:rPr>
          <w:rFonts w:ascii="Times New Roman" w:hAnsi="Times New Roman" w:cs="Times New Roman" w:hint="eastAsia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22</w:t>
      </w:r>
      <w:r>
        <w:rPr>
          <w:rFonts w:ascii="Times New Roman" w:hAnsi="Times New Roman" w:cs="Times New Roman" w:hint="eastAsia"/>
          <w:sz w:val="21"/>
          <w:szCs w:val="21"/>
        </w:rPr>
        <w:t>年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月（牛市）</w:t>
      </w:r>
      <w:r>
        <w:rPr>
          <w:rFonts w:ascii="Times New Roman" w:hAnsi="Times New Roman" w:cs="Times New Roman"/>
          <w:sz w:val="21"/>
          <w:szCs w:val="21"/>
        </w:rPr>
        <w:t>配对组每天的</w:t>
      </w:r>
      <w:r>
        <w:rPr>
          <w:rFonts w:ascii="Times New Roman" w:hAnsi="Times New Roman" w:cs="Times New Roman"/>
          <w:sz w:val="21"/>
          <w:szCs w:val="21"/>
        </w:rPr>
        <w:t>Buy &amp; Hold return</w:t>
      </w:r>
      <w:r>
        <w:rPr>
          <w:rFonts w:ascii="Times New Roman" w:hAnsi="Times New Roman" w:cs="Times New Roman" w:hint="eastAsia"/>
          <w:sz w:val="21"/>
          <w:szCs w:val="21"/>
        </w:rPr>
        <w:t>，结果</w:t>
      </w:r>
      <w:r>
        <w:rPr>
          <w:rFonts w:ascii="Times New Roman" w:hAnsi="Times New Roman" w:cs="Times New Roman"/>
          <w:sz w:val="21"/>
          <w:szCs w:val="21"/>
        </w:rPr>
        <w:t>填在表</w:t>
      </w:r>
      <w:r>
        <w:rPr>
          <w:rFonts w:ascii="Times New Roman" w:hAnsi="Times New Roman" w:cs="Times New Roman" w:hint="eastAsia"/>
          <w:sz w:val="21"/>
          <w:szCs w:val="21"/>
        </w:rPr>
        <w:t>5</w:t>
      </w:r>
      <w:r>
        <w:rPr>
          <w:rFonts w:ascii="Times New Roman" w:hAnsi="Times New Roman" w:cs="Times New Roman" w:hint="eastAsia"/>
          <w:sz w:val="21"/>
          <w:szCs w:val="21"/>
        </w:rPr>
        <w:t>中，</w:t>
      </w:r>
      <w:r>
        <w:rPr>
          <w:rFonts w:ascii="Times New Roman" w:hAnsi="Times New Roman" w:cs="Times New Roman"/>
          <w:sz w:val="21"/>
          <w:szCs w:val="21"/>
        </w:rPr>
        <w:t>并</w:t>
      </w:r>
      <w:r>
        <w:rPr>
          <w:rFonts w:ascii="Times New Roman" w:hAnsi="Times New Roman" w:cs="Times New Roman" w:hint="eastAsia"/>
          <w:sz w:val="21"/>
          <w:szCs w:val="21"/>
        </w:rPr>
        <w:t>将</w:t>
      </w:r>
      <w:r>
        <w:rPr>
          <w:rFonts w:ascii="Times New Roman" w:hAnsi="Times New Roman" w:cs="Times New Roman"/>
          <w:sz w:val="21"/>
          <w:szCs w:val="21"/>
        </w:rPr>
        <w:t>结果</w:t>
      </w:r>
      <w:r>
        <w:rPr>
          <w:rFonts w:ascii="Times New Roman" w:hAnsi="Times New Roman" w:cs="Times New Roman" w:hint="eastAsia"/>
          <w:sz w:val="21"/>
          <w:szCs w:val="21"/>
        </w:rPr>
        <w:t>画图</w:t>
      </w:r>
      <w:r>
        <w:rPr>
          <w:rFonts w:ascii="Times New Roman" w:hAnsi="Times New Roman" w:cs="Times New Roman"/>
          <w:sz w:val="21"/>
          <w:szCs w:val="21"/>
        </w:rPr>
        <w:t>表示。</w:t>
      </w:r>
    </w:p>
    <w:p w14:paraId="53108EF1" w14:textId="77777777" w:rsidR="00D82080" w:rsidRDefault="00FA52DF">
      <w:pPr>
        <w:pStyle w:val="a7"/>
        <w:spacing w:after="0" w:line="360" w:lineRule="atLeast"/>
        <w:ind w:left="42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表</w:t>
      </w:r>
      <w:r>
        <w:rPr>
          <w:rFonts w:ascii="Times New Roman" w:hAnsi="Times New Roman" w:cs="Times New Roman" w:hint="eastAsia"/>
          <w:sz w:val="21"/>
          <w:szCs w:val="21"/>
        </w:rPr>
        <w:t>5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tbl>
      <w:tblPr>
        <w:tblStyle w:val="a5"/>
        <w:tblW w:w="5092" w:type="pct"/>
        <w:tblLook w:val="04A0" w:firstRow="1" w:lastRow="0" w:firstColumn="1" w:lastColumn="0" w:noHBand="0" w:noVBand="1"/>
      </w:tblPr>
      <w:tblGrid>
        <w:gridCol w:w="1005"/>
        <w:gridCol w:w="1005"/>
        <w:gridCol w:w="1005"/>
        <w:gridCol w:w="1005"/>
        <w:gridCol w:w="1005"/>
        <w:gridCol w:w="931"/>
        <w:gridCol w:w="1005"/>
        <w:gridCol w:w="931"/>
        <w:gridCol w:w="930"/>
        <w:gridCol w:w="930"/>
      </w:tblGrid>
      <w:tr w:rsidR="00D82080" w14:paraId="41C41671" w14:textId="77777777">
        <w:trPr>
          <w:trHeight w:val="446"/>
        </w:trPr>
        <w:tc>
          <w:tcPr>
            <w:tcW w:w="515" w:type="pct"/>
            <w:noWrap/>
            <w:vAlign w:val="center"/>
          </w:tcPr>
          <w:p w14:paraId="3D4889F2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5" w:type="pct"/>
            <w:noWrap/>
            <w:vAlign w:val="center"/>
          </w:tcPr>
          <w:p w14:paraId="22E0CCF3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5" w:type="pct"/>
            <w:noWrap/>
            <w:vAlign w:val="center"/>
          </w:tcPr>
          <w:p w14:paraId="25235D6C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15" w:type="pct"/>
            <w:noWrap/>
            <w:vAlign w:val="center"/>
          </w:tcPr>
          <w:p w14:paraId="58C3B53A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15" w:type="pct"/>
            <w:noWrap/>
            <w:vAlign w:val="center"/>
          </w:tcPr>
          <w:p w14:paraId="670C465D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" w:type="pct"/>
            <w:noWrap/>
            <w:vAlign w:val="center"/>
          </w:tcPr>
          <w:p w14:paraId="5CF444E3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15" w:type="pct"/>
            <w:noWrap/>
            <w:vAlign w:val="center"/>
          </w:tcPr>
          <w:p w14:paraId="22038FE9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" w:type="pct"/>
            <w:noWrap/>
            <w:vAlign w:val="center"/>
          </w:tcPr>
          <w:p w14:paraId="7DB49025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" w:type="pct"/>
            <w:noWrap/>
            <w:vAlign w:val="center"/>
          </w:tcPr>
          <w:p w14:paraId="130AC59E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" w:type="pct"/>
            <w:noWrap/>
            <w:vAlign w:val="center"/>
          </w:tcPr>
          <w:p w14:paraId="1F4C00B6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82080" w14:paraId="11A51957" w14:textId="77777777">
        <w:trPr>
          <w:trHeight w:val="446"/>
        </w:trPr>
        <w:tc>
          <w:tcPr>
            <w:tcW w:w="515" w:type="pct"/>
            <w:noWrap/>
            <w:vAlign w:val="center"/>
          </w:tcPr>
          <w:p w14:paraId="1A9DBC1A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noWrap/>
            <w:vAlign w:val="center"/>
          </w:tcPr>
          <w:p w14:paraId="3045FD20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noWrap/>
            <w:vAlign w:val="center"/>
          </w:tcPr>
          <w:p w14:paraId="080C79A3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noWrap/>
            <w:vAlign w:val="center"/>
          </w:tcPr>
          <w:p w14:paraId="61A320DA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noWrap/>
            <w:vAlign w:val="center"/>
          </w:tcPr>
          <w:p w14:paraId="4A3045B4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  <w:noWrap/>
            <w:vAlign w:val="center"/>
          </w:tcPr>
          <w:p w14:paraId="38EEE38E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noWrap/>
            <w:vAlign w:val="center"/>
          </w:tcPr>
          <w:p w14:paraId="3F9C9E45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  <w:noWrap/>
            <w:vAlign w:val="center"/>
          </w:tcPr>
          <w:p w14:paraId="7670952E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  <w:noWrap/>
            <w:vAlign w:val="center"/>
          </w:tcPr>
          <w:p w14:paraId="5817F6ED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  <w:noWrap/>
            <w:vAlign w:val="center"/>
          </w:tcPr>
          <w:p w14:paraId="2A68CD9F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5C9EA83" w14:textId="77777777" w:rsidR="00D82080" w:rsidRDefault="00D82080">
      <w:pPr>
        <w:pStyle w:val="a7"/>
        <w:spacing w:after="0" w:line="360" w:lineRule="atLeast"/>
        <w:ind w:left="0"/>
        <w:jc w:val="both"/>
        <w:rPr>
          <w:rFonts w:ascii="Times New Roman" w:hAnsi="Times New Roman"/>
        </w:rPr>
      </w:pPr>
    </w:p>
    <w:p w14:paraId="2E365724" w14:textId="733F3763" w:rsidR="00D82080" w:rsidRDefault="00FA52DF">
      <w:pPr>
        <w:pStyle w:val="a7"/>
        <w:numPr>
          <w:ilvl w:val="0"/>
          <w:numId w:val="4"/>
        </w:numPr>
        <w:spacing w:after="0" w:line="360" w:lineRule="atLeas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计算</w:t>
      </w:r>
      <w:r>
        <w:rPr>
          <w:rFonts w:ascii="Times New Roman" w:hAnsi="Times New Roman" w:cs="Times New Roman" w:hint="eastAsia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23</w:t>
      </w:r>
      <w:r>
        <w:rPr>
          <w:rFonts w:ascii="Times New Roman" w:hAnsi="Times New Roman" w:cs="Times New Roman" w:hint="eastAsia"/>
          <w:sz w:val="21"/>
          <w:szCs w:val="21"/>
        </w:rPr>
        <w:t>年</w:t>
      </w:r>
      <w:r>
        <w:rPr>
          <w:rFonts w:ascii="Times New Roman" w:hAnsi="Times New Roman" w:cs="Times New Roman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月（非牛熊市）</w:t>
      </w:r>
      <w:r>
        <w:rPr>
          <w:rFonts w:ascii="Times New Roman" w:hAnsi="Times New Roman" w:cs="Times New Roman"/>
          <w:sz w:val="21"/>
          <w:szCs w:val="21"/>
        </w:rPr>
        <w:t>配对组每天的</w:t>
      </w:r>
      <w:r>
        <w:rPr>
          <w:rFonts w:ascii="Times New Roman" w:hAnsi="Times New Roman" w:cs="Times New Roman"/>
          <w:sz w:val="21"/>
          <w:szCs w:val="21"/>
        </w:rPr>
        <w:t>Buy &amp; Hold return</w:t>
      </w:r>
      <w:r>
        <w:rPr>
          <w:rFonts w:ascii="Times New Roman" w:hAnsi="Times New Roman" w:cs="Times New Roman" w:hint="eastAsia"/>
          <w:sz w:val="21"/>
          <w:szCs w:val="21"/>
        </w:rPr>
        <w:t>，结果</w:t>
      </w:r>
      <w:r>
        <w:rPr>
          <w:rFonts w:ascii="Times New Roman" w:hAnsi="Times New Roman" w:cs="Times New Roman"/>
          <w:sz w:val="21"/>
          <w:szCs w:val="21"/>
        </w:rPr>
        <w:t>填在表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中，</w:t>
      </w:r>
      <w:r>
        <w:rPr>
          <w:rFonts w:ascii="Times New Roman" w:hAnsi="Times New Roman" w:cs="Times New Roman"/>
          <w:sz w:val="21"/>
          <w:szCs w:val="21"/>
        </w:rPr>
        <w:t>并</w:t>
      </w:r>
      <w:r>
        <w:rPr>
          <w:rFonts w:ascii="Times New Roman" w:hAnsi="Times New Roman" w:cs="Times New Roman" w:hint="eastAsia"/>
          <w:sz w:val="21"/>
          <w:szCs w:val="21"/>
        </w:rPr>
        <w:t>将</w:t>
      </w:r>
      <w:r>
        <w:rPr>
          <w:rFonts w:ascii="Times New Roman" w:hAnsi="Times New Roman" w:cs="Times New Roman"/>
          <w:sz w:val="21"/>
          <w:szCs w:val="21"/>
        </w:rPr>
        <w:t>结果</w:t>
      </w:r>
      <w:r>
        <w:rPr>
          <w:rFonts w:ascii="Times New Roman" w:hAnsi="Times New Roman" w:cs="Times New Roman" w:hint="eastAsia"/>
          <w:sz w:val="21"/>
          <w:szCs w:val="21"/>
        </w:rPr>
        <w:t>画图</w:t>
      </w:r>
      <w:r>
        <w:rPr>
          <w:rFonts w:ascii="Times New Roman" w:hAnsi="Times New Roman" w:cs="Times New Roman"/>
          <w:sz w:val="21"/>
          <w:szCs w:val="21"/>
        </w:rPr>
        <w:t>表示。</w:t>
      </w:r>
    </w:p>
    <w:p w14:paraId="75B9D8B7" w14:textId="77777777" w:rsidR="00D82080" w:rsidRDefault="00FA52DF">
      <w:pPr>
        <w:spacing w:after="0" w:line="360" w:lineRule="atLeast"/>
        <w:ind w:left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表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tbl>
      <w:tblPr>
        <w:tblStyle w:val="a5"/>
        <w:tblW w:w="5049" w:type="pct"/>
        <w:tblLook w:val="04A0" w:firstRow="1" w:lastRow="0" w:firstColumn="1" w:lastColumn="0" w:noHBand="0" w:noVBand="1"/>
      </w:tblPr>
      <w:tblGrid>
        <w:gridCol w:w="933"/>
        <w:gridCol w:w="1049"/>
        <w:gridCol w:w="931"/>
        <w:gridCol w:w="931"/>
        <w:gridCol w:w="1051"/>
        <w:gridCol w:w="1051"/>
        <w:gridCol w:w="930"/>
        <w:gridCol w:w="930"/>
        <w:gridCol w:w="934"/>
        <w:gridCol w:w="930"/>
      </w:tblGrid>
      <w:tr w:rsidR="00D82080" w14:paraId="6A867CFC" w14:textId="77777777">
        <w:trPr>
          <w:trHeight w:val="446"/>
        </w:trPr>
        <w:tc>
          <w:tcPr>
            <w:tcW w:w="482" w:type="pct"/>
            <w:noWrap/>
            <w:vAlign w:val="center"/>
          </w:tcPr>
          <w:p w14:paraId="75BBE01C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1" w:type="pct"/>
            <w:noWrap/>
            <w:vAlign w:val="center"/>
          </w:tcPr>
          <w:p w14:paraId="43918749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" w:type="pct"/>
            <w:noWrap/>
            <w:vAlign w:val="center"/>
          </w:tcPr>
          <w:p w14:paraId="40FFD1C3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1" w:type="pct"/>
            <w:noWrap/>
            <w:vAlign w:val="center"/>
          </w:tcPr>
          <w:p w14:paraId="311F024D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2" w:type="pct"/>
            <w:noWrap/>
            <w:vAlign w:val="center"/>
          </w:tcPr>
          <w:p w14:paraId="0DA8235C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2" w:type="pct"/>
            <w:noWrap/>
            <w:vAlign w:val="center"/>
          </w:tcPr>
          <w:p w14:paraId="06613CAB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1" w:type="pct"/>
            <w:noWrap/>
            <w:vAlign w:val="center"/>
          </w:tcPr>
          <w:p w14:paraId="5B612118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1" w:type="pct"/>
            <w:noWrap/>
            <w:vAlign w:val="center"/>
          </w:tcPr>
          <w:p w14:paraId="383F7FAB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3" w:type="pct"/>
            <w:noWrap/>
            <w:vAlign w:val="center"/>
          </w:tcPr>
          <w:p w14:paraId="771196D0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1" w:type="pct"/>
            <w:noWrap/>
            <w:vAlign w:val="center"/>
          </w:tcPr>
          <w:p w14:paraId="78D3A5A4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82080" w14:paraId="3A62F999" w14:textId="77777777">
        <w:trPr>
          <w:trHeight w:val="446"/>
        </w:trPr>
        <w:tc>
          <w:tcPr>
            <w:tcW w:w="482" w:type="pct"/>
            <w:noWrap/>
            <w:vAlign w:val="center"/>
          </w:tcPr>
          <w:p w14:paraId="4475CBDA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1" w:type="pct"/>
            <w:noWrap/>
            <w:vAlign w:val="center"/>
          </w:tcPr>
          <w:p w14:paraId="761A5125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6AA7E84F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4687FFE2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2" w:type="pct"/>
            <w:noWrap/>
            <w:vAlign w:val="center"/>
          </w:tcPr>
          <w:p w14:paraId="6A704B21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2" w:type="pct"/>
            <w:noWrap/>
            <w:vAlign w:val="center"/>
          </w:tcPr>
          <w:p w14:paraId="70FF1C82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05F59A2C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3A282FAD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3" w:type="pct"/>
            <w:noWrap/>
            <w:vAlign w:val="center"/>
          </w:tcPr>
          <w:p w14:paraId="32B9C156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1B3AD0A5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20E2A25" w14:textId="77777777" w:rsidR="00D82080" w:rsidRDefault="00D82080">
      <w:pPr>
        <w:spacing w:after="0" w:line="360" w:lineRule="atLeast"/>
        <w:rPr>
          <w:rFonts w:ascii="Times New Roman" w:hAnsi="Times New Roman" w:cs="Times New Roman"/>
          <w:sz w:val="21"/>
          <w:szCs w:val="21"/>
        </w:rPr>
      </w:pPr>
    </w:p>
    <w:p w14:paraId="74736C75" w14:textId="33D964F4" w:rsidR="00D82080" w:rsidRDefault="00FA52DF">
      <w:pPr>
        <w:pStyle w:val="a7"/>
        <w:numPr>
          <w:ilvl w:val="0"/>
          <w:numId w:val="4"/>
        </w:numPr>
        <w:spacing w:after="0" w:line="360" w:lineRule="atLeas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计算</w:t>
      </w:r>
      <w:r>
        <w:rPr>
          <w:rFonts w:ascii="Times New Roman" w:hAnsi="Times New Roman" w:cs="Times New Roman" w:hint="eastAsia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24</w:t>
      </w:r>
      <w:r>
        <w:rPr>
          <w:rFonts w:ascii="Times New Roman" w:hAnsi="Times New Roman" w:cs="Times New Roman" w:hint="eastAsia"/>
          <w:sz w:val="21"/>
          <w:szCs w:val="21"/>
        </w:rPr>
        <w:t>年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月（熊市）</w:t>
      </w:r>
      <w:r>
        <w:rPr>
          <w:rFonts w:ascii="Times New Roman" w:hAnsi="Times New Roman" w:cs="Times New Roman"/>
          <w:sz w:val="21"/>
          <w:szCs w:val="21"/>
        </w:rPr>
        <w:t>配对组每天的</w:t>
      </w:r>
      <w:r>
        <w:rPr>
          <w:rFonts w:ascii="Times New Roman" w:hAnsi="Times New Roman" w:cs="Times New Roman"/>
          <w:sz w:val="21"/>
          <w:szCs w:val="21"/>
        </w:rPr>
        <w:t>Buy &amp; Hold return</w:t>
      </w:r>
      <w:r>
        <w:rPr>
          <w:rFonts w:ascii="Times New Roman" w:hAnsi="Times New Roman" w:cs="Times New Roman" w:hint="eastAsia"/>
          <w:sz w:val="21"/>
          <w:szCs w:val="21"/>
        </w:rPr>
        <w:t>，结果</w:t>
      </w:r>
      <w:r>
        <w:rPr>
          <w:rFonts w:ascii="Times New Roman" w:hAnsi="Times New Roman" w:cs="Times New Roman"/>
          <w:sz w:val="21"/>
          <w:szCs w:val="21"/>
        </w:rPr>
        <w:t>填在表</w:t>
      </w:r>
      <w:r>
        <w:rPr>
          <w:rFonts w:ascii="Times New Roman" w:hAnsi="Times New Roman" w:cs="Times New Roman" w:hint="eastAsia"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>中，</w:t>
      </w:r>
      <w:r>
        <w:rPr>
          <w:rFonts w:ascii="Times New Roman" w:hAnsi="Times New Roman" w:cs="Times New Roman"/>
          <w:sz w:val="21"/>
          <w:szCs w:val="21"/>
        </w:rPr>
        <w:t>并</w:t>
      </w:r>
      <w:r>
        <w:rPr>
          <w:rFonts w:ascii="Times New Roman" w:hAnsi="Times New Roman" w:cs="Times New Roman" w:hint="eastAsia"/>
          <w:sz w:val="21"/>
          <w:szCs w:val="21"/>
        </w:rPr>
        <w:t>将</w:t>
      </w:r>
      <w:r>
        <w:rPr>
          <w:rFonts w:ascii="Times New Roman" w:hAnsi="Times New Roman" w:cs="Times New Roman"/>
          <w:sz w:val="21"/>
          <w:szCs w:val="21"/>
        </w:rPr>
        <w:t>结果</w:t>
      </w:r>
      <w:r>
        <w:rPr>
          <w:rFonts w:ascii="Times New Roman" w:hAnsi="Times New Roman" w:cs="Times New Roman" w:hint="eastAsia"/>
          <w:sz w:val="21"/>
          <w:szCs w:val="21"/>
        </w:rPr>
        <w:t>画图</w:t>
      </w:r>
      <w:r>
        <w:rPr>
          <w:rFonts w:ascii="Times New Roman" w:hAnsi="Times New Roman" w:cs="Times New Roman"/>
          <w:sz w:val="21"/>
          <w:szCs w:val="21"/>
        </w:rPr>
        <w:t>表示。</w:t>
      </w:r>
    </w:p>
    <w:p w14:paraId="0B14CC5B" w14:textId="77777777" w:rsidR="00D82080" w:rsidRDefault="00FA52DF">
      <w:pPr>
        <w:spacing w:after="0" w:line="360" w:lineRule="atLeast"/>
        <w:ind w:left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表</w:t>
      </w:r>
      <w:r>
        <w:rPr>
          <w:rFonts w:ascii="Times New Roman" w:hAnsi="Times New Roman" w:cs="Times New Roman" w:hint="eastAsia"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tbl>
      <w:tblPr>
        <w:tblStyle w:val="a5"/>
        <w:tblW w:w="5049" w:type="pct"/>
        <w:tblLook w:val="04A0" w:firstRow="1" w:lastRow="0" w:firstColumn="1" w:lastColumn="0" w:noHBand="0" w:noVBand="1"/>
      </w:tblPr>
      <w:tblGrid>
        <w:gridCol w:w="933"/>
        <w:gridCol w:w="1049"/>
        <w:gridCol w:w="931"/>
        <w:gridCol w:w="931"/>
        <w:gridCol w:w="1051"/>
        <w:gridCol w:w="1051"/>
        <w:gridCol w:w="930"/>
        <w:gridCol w:w="930"/>
        <w:gridCol w:w="934"/>
        <w:gridCol w:w="930"/>
      </w:tblGrid>
      <w:tr w:rsidR="00D82080" w14:paraId="41CB53F6" w14:textId="77777777">
        <w:trPr>
          <w:trHeight w:val="446"/>
        </w:trPr>
        <w:tc>
          <w:tcPr>
            <w:tcW w:w="482" w:type="pct"/>
            <w:noWrap/>
            <w:vAlign w:val="center"/>
          </w:tcPr>
          <w:p w14:paraId="37F06F3D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541" w:type="pct"/>
            <w:noWrap/>
            <w:vAlign w:val="center"/>
          </w:tcPr>
          <w:p w14:paraId="1DE84922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" w:type="pct"/>
            <w:noWrap/>
            <w:vAlign w:val="center"/>
          </w:tcPr>
          <w:p w14:paraId="734A6C40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1" w:type="pct"/>
            <w:noWrap/>
            <w:vAlign w:val="center"/>
          </w:tcPr>
          <w:p w14:paraId="0927B75C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2" w:type="pct"/>
            <w:noWrap/>
            <w:vAlign w:val="center"/>
          </w:tcPr>
          <w:p w14:paraId="53B1EB4F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2" w:type="pct"/>
            <w:noWrap/>
            <w:vAlign w:val="center"/>
          </w:tcPr>
          <w:p w14:paraId="6B9D19F3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1" w:type="pct"/>
            <w:noWrap/>
            <w:vAlign w:val="center"/>
          </w:tcPr>
          <w:p w14:paraId="04F980D5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1" w:type="pct"/>
            <w:noWrap/>
            <w:vAlign w:val="center"/>
          </w:tcPr>
          <w:p w14:paraId="72D0211A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3" w:type="pct"/>
            <w:noWrap/>
            <w:vAlign w:val="center"/>
          </w:tcPr>
          <w:p w14:paraId="3592C55A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1" w:type="pct"/>
            <w:noWrap/>
            <w:vAlign w:val="center"/>
          </w:tcPr>
          <w:p w14:paraId="5AA9DE8B" w14:textId="77777777" w:rsidR="00D82080" w:rsidRDefault="00FA5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82080" w14:paraId="717CAF80" w14:textId="77777777">
        <w:trPr>
          <w:trHeight w:val="446"/>
        </w:trPr>
        <w:tc>
          <w:tcPr>
            <w:tcW w:w="482" w:type="pct"/>
            <w:noWrap/>
            <w:vAlign w:val="center"/>
          </w:tcPr>
          <w:p w14:paraId="3060D990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1" w:type="pct"/>
            <w:noWrap/>
            <w:vAlign w:val="center"/>
          </w:tcPr>
          <w:p w14:paraId="0E8730F3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736D8043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4ADE8E10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2" w:type="pct"/>
            <w:noWrap/>
            <w:vAlign w:val="center"/>
          </w:tcPr>
          <w:p w14:paraId="56FCE23D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2" w:type="pct"/>
            <w:noWrap/>
            <w:vAlign w:val="center"/>
          </w:tcPr>
          <w:p w14:paraId="3E80239D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54E315A0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26C181EE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3" w:type="pct"/>
            <w:noWrap/>
            <w:vAlign w:val="center"/>
          </w:tcPr>
          <w:p w14:paraId="68A24307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" w:type="pct"/>
            <w:noWrap/>
            <w:vAlign w:val="center"/>
          </w:tcPr>
          <w:p w14:paraId="33F24CE5" w14:textId="77777777" w:rsidR="00D82080" w:rsidRDefault="00D820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765B82F" w14:textId="77777777" w:rsidR="00D82080" w:rsidRDefault="00D82080">
      <w:pPr>
        <w:spacing w:after="0" w:line="360" w:lineRule="atLeast"/>
        <w:jc w:val="both"/>
      </w:pPr>
    </w:p>
    <w:p w14:paraId="7457D87C" w14:textId="2C66E699" w:rsidR="00D82080" w:rsidRDefault="00FA52DF">
      <w:pPr>
        <w:pStyle w:val="a7"/>
        <w:numPr>
          <w:ilvl w:val="0"/>
          <w:numId w:val="4"/>
        </w:numPr>
        <w:spacing w:after="0" w:line="360" w:lineRule="atLeas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比较</w:t>
      </w:r>
      <w:r>
        <w:rPr>
          <w:rFonts w:ascii="Times New Roman" w:hAnsi="Times New Roman" w:cs="Times New Roman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22</w:t>
      </w:r>
      <w:r>
        <w:rPr>
          <w:rFonts w:ascii="Times New Roman" w:hAnsi="Times New Roman" w:cs="Times New Roman"/>
          <w:sz w:val="21"/>
          <w:szCs w:val="21"/>
        </w:rPr>
        <w:t>年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月牛市、</w:t>
      </w:r>
      <w:r>
        <w:rPr>
          <w:rFonts w:ascii="Times New Roman" w:hAnsi="Times New Roman" w:cs="Times New Roman" w:hint="eastAsia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23</w:t>
      </w:r>
      <w:r>
        <w:rPr>
          <w:rFonts w:ascii="Times New Roman" w:hAnsi="Times New Roman" w:cs="Times New Roman"/>
          <w:sz w:val="21"/>
          <w:szCs w:val="21"/>
        </w:rPr>
        <w:t>年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月非牛熊市和</w:t>
      </w:r>
      <w:r>
        <w:rPr>
          <w:rFonts w:ascii="Times New Roman" w:hAnsi="Times New Roman" w:cs="Times New Roman" w:hint="eastAsia"/>
          <w:sz w:val="21"/>
          <w:szCs w:val="21"/>
        </w:rPr>
        <w:t>20</w:t>
      </w:r>
      <w:r w:rsidR="00145C7D">
        <w:rPr>
          <w:rFonts w:ascii="Times New Roman" w:hAnsi="Times New Roman" w:cs="Times New Roman"/>
          <w:sz w:val="21"/>
          <w:szCs w:val="21"/>
        </w:rPr>
        <w:t>24</w:t>
      </w:r>
      <w:r>
        <w:rPr>
          <w:rFonts w:ascii="Times New Roman" w:hAnsi="Times New Roman" w:cs="Times New Roman" w:hint="eastAsia"/>
          <w:sz w:val="21"/>
          <w:szCs w:val="21"/>
        </w:rPr>
        <w:t>年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月熊市环境下所得结论与</w:t>
      </w:r>
      <w:proofErr w:type="gramStart"/>
      <w:r>
        <w:rPr>
          <w:rFonts w:ascii="Times New Roman" w:hAnsi="Times New Roman" w:cs="Times New Roman"/>
          <w:sz w:val="21"/>
          <w:szCs w:val="21"/>
        </w:rPr>
        <w:t>与</w:t>
      </w:r>
      <w:proofErr w:type="gramEnd"/>
      <w:r>
        <w:rPr>
          <w:rFonts w:ascii="Times New Roman" w:hAnsi="Times New Roman" w:cs="Times New Roman"/>
          <w:sz w:val="21"/>
          <w:szCs w:val="21"/>
        </w:rPr>
        <w:t>问题</w:t>
      </w:r>
      <w:r>
        <w:rPr>
          <w:rFonts w:ascii="Times New Roman" w:hAnsi="Times New Roman" w:cs="Times New Roman" w:hint="eastAsia"/>
          <w:sz w:val="21"/>
          <w:szCs w:val="21"/>
        </w:rPr>
        <w:t>三</w:t>
      </w:r>
      <w:r>
        <w:rPr>
          <w:rFonts w:ascii="Times New Roman" w:hAnsi="Times New Roman" w:cs="Times New Roman"/>
          <w:sz w:val="21"/>
          <w:szCs w:val="21"/>
        </w:rPr>
        <w:t>结论的差别</w:t>
      </w:r>
      <w:r>
        <w:rPr>
          <w:rFonts w:ascii="Times New Roman" w:hAnsi="Times New Roman" w:cs="Times New Roman" w:hint="eastAsia"/>
          <w:sz w:val="21"/>
          <w:szCs w:val="21"/>
        </w:rPr>
        <w:t>，并对差别给出合理的解释。</w:t>
      </w:r>
    </w:p>
    <w:p w14:paraId="6918FF16" w14:textId="77777777" w:rsidR="00D82080" w:rsidRPr="00145C7D" w:rsidRDefault="00D82080">
      <w:bookmarkStart w:id="0" w:name="_GoBack"/>
      <w:bookmarkEnd w:id="0"/>
    </w:p>
    <w:sectPr w:rsidR="00D82080" w:rsidRPr="00145C7D">
      <w:headerReference w:type="default" r:id="rId8"/>
      <w:footerReference w:type="default" r:id="rId9"/>
      <w:pgSz w:w="12240" w:h="15840"/>
      <w:pgMar w:top="1276" w:right="1440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D9276" w14:textId="77777777" w:rsidR="00FA52DF" w:rsidRDefault="00FA52DF">
      <w:pPr>
        <w:spacing w:line="240" w:lineRule="auto"/>
      </w:pPr>
      <w:r>
        <w:separator/>
      </w:r>
    </w:p>
  </w:endnote>
  <w:endnote w:type="continuationSeparator" w:id="0">
    <w:p w14:paraId="4792A67A" w14:textId="77777777" w:rsidR="00FA52DF" w:rsidRDefault="00FA52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3013184"/>
    </w:sdtPr>
    <w:sdtEndPr>
      <w:rPr>
        <w:rFonts w:ascii="Verdana" w:hAnsi="Verdana"/>
      </w:rPr>
    </w:sdtEndPr>
    <w:sdtContent>
      <w:sdt>
        <w:sdtPr>
          <w:id w:val="1728636285"/>
        </w:sdtPr>
        <w:sdtEndPr>
          <w:rPr>
            <w:rFonts w:ascii="Verdana" w:hAnsi="Verdana"/>
          </w:rPr>
        </w:sdtEndPr>
        <w:sdtContent>
          <w:p w14:paraId="69B3F526" w14:textId="77777777" w:rsidR="00D82080" w:rsidRDefault="00FA52DF">
            <w:pPr>
              <w:pStyle w:val="a3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Verdana" w:hAnsi="Verdana"/>
                <w:b/>
                <w:bCs/>
              </w:rPr>
              <w:instrText>PAGE</w:instrText>
            </w:r>
            <w:r>
              <w:rPr>
                <w:rFonts w:ascii="Verdana" w:hAnsi="Verdan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Verdana" w:hAnsi="Verdana"/>
                <w:b/>
                <w:bCs/>
              </w:rPr>
              <w:t>6</w:t>
            </w:r>
            <w:r>
              <w:rPr>
                <w:rFonts w:ascii="Verdana" w:hAnsi="Verdana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Verdana" w:hAnsi="Verdana"/>
                <w:lang w:val="zh-CN"/>
              </w:rPr>
              <w:t xml:space="preserve">/ </w:t>
            </w:r>
            <w:r>
              <w:rPr>
                <w:rFonts w:ascii="Verdana" w:hAnsi="Verdan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Verdana" w:hAnsi="Verdana"/>
                <w:b/>
                <w:bCs/>
              </w:rPr>
              <w:instrText>NUMPAGES</w:instrText>
            </w:r>
            <w:r>
              <w:rPr>
                <w:rFonts w:ascii="Verdana" w:hAnsi="Verdan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Verdana" w:hAnsi="Verdana"/>
                <w:b/>
                <w:bCs/>
              </w:rPr>
              <w:t>6</w:t>
            </w:r>
            <w:r>
              <w:rPr>
                <w:rFonts w:ascii="Verdana" w:hAnsi="Verdan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D0A91E" w14:textId="77777777" w:rsidR="00D82080" w:rsidRDefault="00D8208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DBDD62" w14:textId="77777777" w:rsidR="00FA52DF" w:rsidRDefault="00FA52DF">
      <w:pPr>
        <w:spacing w:after="0"/>
      </w:pPr>
      <w:r>
        <w:separator/>
      </w:r>
    </w:p>
  </w:footnote>
  <w:footnote w:type="continuationSeparator" w:id="0">
    <w:p w14:paraId="197C174F" w14:textId="77777777" w:rsidR="00FA52DF" w:rsidRDefault="00FA52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E1732E" w14:textId="77777777" w:rsidR="00D82080" w:rsidRDefault="00D82080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B1B5D"/>
    <w:multiLevelType w:val="multilevel"/>
    <w:tmpl w:val="0E8B1B5D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8B63305"/>
    <w:multiLevelType w:val="multilevel"/>
    <w:tmpl w:val="48B63305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6E373D"/>
    <w:multiLevelType w:val="multilevel"/>
    <w:tmpl w:val="636E373D"/>
    <w:lvl w:ilvl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9972252"/>
    <w:multiLevelType w:val="multilevel"/>
    <w:tmpl w:val="6997225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E2851BB"/>
    <w:rsid w:val="00145C7D"/>
    <w:rsid w:val="002942C4"/>
    <w:rsid w:val="002F0080"/>
    <w:rsid w:val="00397F7B"/>
    <w:rsid w:val="00541E6B"/>
    <w:rsid w:val="008222E0"/>
    <w:rsid w:val="00C679F0"/>
    <w:rsid w:val="00D82080"/>
    <w:rsid w:val="00FA52DF"/>
    <w:rsid w:val="32F46B00"/>
    <w:rsid w:val="40C62273"/>
    <w:rsid w:val="5E28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0D349F"/>
  <w15:docId w15:val="{E8920A99-26CA-4642-A419-092E0DA9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FollowedHyperlink"/>
    <w:basedOn w:val="a0"/>
    <w:rsid w:val="002942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sennia7</dc:creator>
  <cp:lastModifiedBy>cauchy_wei</cp:lastModifiedBy>
  <cp:revision>4</cp:revision>
  <dcterms:created xsi:type="dcterms:W3CDTF">2020-10-20T15:20:00Z</dcterms:created>
  <dcterms:modified xsi:type="dcterms:W3CDTF">2025-10-03T09:21:00Z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2D3126296EAA465C99D90CC9221A6C68</vt:lpwstr>
  </property>
</Properties>
</file>