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作业3：指数纳入效应套利策略的实现 - 结果报告</w:t>
      </w:r>
    </w:p>
    <w:p>
      <w:pPr>
        <w:pStyle w:val="Heading1"/>
      </w:pPr>
      <w:r>
        <w:t>问题一：利用纳入和剔除股票来做套利</w:t>
      </w:r>
    </w:p>
    <w:p>
      <w:pPr>
        <w:pStyle w:val="Heading2"/>
      </w:pPr>
      <w:r>
        <w:t>1.1 纳入和剔除股票的超额收益率</w:t>
      </w:r>
    </w:p>
    <w:p>
      <w:r>
        <w:t>表1：纳入和剔除股票超额收益率统计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Twind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纳入指数股票超额收益率 N</w:t>
            </w:r>
          </w:p>
        </w:tc>
        <w:tc>
          <w:tcPr>
            <w:tcW w:type="dxa" w:w="1234"/>
          </w:tcPr>
          <w:p>
            <w:r>
              <w:t>528</w:t>
            </w:r>
          </w:p>
        </w:tc>
        <w:tc>
          <w:tcPr>
            <w:tcW w:type="dxa" w:w="1234"/>
          </w:tcPr>
          <w:p>
            <w:r>
              <w:t>526</w:t>
            </w:r>
          </w:p>
        </w:tc>
        <w:tc>
          <w:tcPr>
            <w:tcW w:type="dxa" w:w="1234"/>
          </w:tcPr>
          <w:p>
            <w:r>
              <w:t>528</w:t>
            </w:r>
          </w:p>
        </w:tc>
        <w:tc>
          <w:tcPr>
            <w:tcW w:type="dxa" w:w="1234"/>
          </w:tcPr>
          <w:p>
            <w:r>
              <w:t>527</w:t>
            </w:r>
          </w:p>
        </w:tc>
        <w:tc>
          <w:tcPr>
            <w:tcW w:type="dxa" w:w="1234"/>
          </w:tcPr>
          <w:p>
            <w:r>
              <w:t>528</w:t>
            </w:r>
          </w:p>
        </w:tc>
        <w:tc>
          <w:tcPr>
            <w:tcW w:type="dxa" w:w="1234"/>
          </w:tcPr>
          <w:p>
            <w:r>
              <w:t>526</w:t>
            </w:r>
          </w:p>
        </w:tc>
      </w:tr>
      <w:tr>
        <w:tc>
          <w:tcPr>
            <w:tcW w:type="dxa" w:w="1234"/>
          </w:tcPr>
          <w:p>
            <w:r>
              <w:t>纳入指数股票超额收益率 Mean(base point)</w:t>
            </w:r>
          </w:p>
        </w:tc>
        <w:tc>
          <w:tcPr>
            <w:tcW w:type="dxa" w:w="1234"/>
          </w:tcPr>
          <w:p>
            <w:r>
              <w:t>-8.27</w:t>
            </w:r>
          </w:p>
        </w:tc>
        <w:tc>
          <w:tcPr>
            <w:tcW w:type="dxa" w:w="1234"/>
          </w:tcPr>
          <w:p>
            <w:r>
              <w:t>7.17</w:t>
            </w:r>
          </w:p>
        </w:tc>
        <w:tc>
          <w:tcPr>
            <w:tcW w:type="dxa" w:w="1234"/>
          </w:tcPr>
          <w:p>
            <w:r>
              <w:t>12.99</w:t>
            </w:r>
          </w:p>
        </w:tc>
        <w:tc>
          <w:tcPr>
            <w:tcW w:type="dxa" w:w="1234"/>
          </w:tcPr>
          <w:p>
            <w:r>
              <w:t>13.91</w:t>
            </w:r>
          </w:p>
        </w:tc>
        <w:tc>
          <w:tcPr>
            <w:tcW w:type="dxa" w:w="1234"/>
          </w:tcPr>
          <w:p>
            <w:r>
              <w:t>-6.86</w:t>
            </w:r>
          </w:p>
        </w:tc>
        <w:tc>
          <w:tcPr>
            <w:tcW w:type="dxa" w:w="1234"/>
          </w:tcPr>
          <w:p>
            <w:r>
              <w:t>39.23</w:t>
            </w:r>
          </w:p>
        </w:tc>
      </w:tr>
      <w:tr>
        <w:tc>
          <w:tcPr>
            <w:tcW w:type="dxa" w:w="1234"/>
          </w:tcPr>
          <w:p>
            <w:r>
              <w:t>纳入指数股票超额收益率 Std Err</w:t>
            </w:r>
          </w:p>
        </w:tc>
        <w:tc>
          <w:tcPr>
            <w:tcW w:type="dxa" w:w="1234"/>
          </w:tcPr>
          <w:p>
            <w:r>
              <w:t>9.83</w:t>
            </w:r>
          </w:p>
        </w:tc>
        <w:tc>
          <w:tcPr>
            <w:tcW w:type="dxa" w:w="1234"/>
          </w:tcPr>
          <w:p>
            <w:r>
              <w:t>9.66</w:t>
            </w:r>
          </w:p>
        </w:tc>
        <w:tc>
          <w:tcPr>
            <w:tcW w:type="dxa" w:w="1234"/>
          </w:tcPr>
          <w:p>
            <w:r>
              <w:t>9.31</w:t>
            </w:r>
          </w:p>
        </w:tc>
        <w:tc>
          <w:tcPr>
            <w:tcW w:type="dxa" w:w="1234"/>
          </w:tcPr>
          <w:p>
            <w:r>
              <w:t>9.86</w:t>
            </w:r>
          </w:p>
        </w:tc>
        <w:tc>
          <w:tcPr>
            <w:tcW w:type="dxa" w:w="1234"/>
          </w:tcPr>
          <w:p>
            <w:r>
              <w:t>9.27</w:t>
            </w:r>
          </w:p>
        </w:tc>
        <w:tc>
          <w:tcPr>
            <w:tcW w:type="dxa" w:w="1234"/>
          </w:tcPr>
          <w:p>
            <w:r>
              <w:t>10.66</w:t>
            </w:r>
          </w:p>
        </w:tc>
      </w:tr>
      <w:tr>
        <w:tc>
          <w:tcPr>
            <w:tcW w:type="dxa" w:w="1234"/>
          </w:tcPr>
          <w:p>
            <w:r>
              <w:t>剔除指数股票超额收益率 N</w:t>
            </w:r>
          </w:p>
        </w:tc>
        <w:tc>
          <w:tcPr>
            <w:tcW w:type="dxa" w:w="1234"/>
          </w:tcPr>
          <w:p>
            <w:r>
              <w:t>539</w:t>
            </w:r>
          </w:p>
        </w:tc>
        <w:tc>
          <w:tcPr>
            <w:tcW w:type="dxa" w:w="1234"/>
          </w:tcPr>
          <w:p>
            <w:r>
              <w:t>539</w:t>
            </w:r>
          </w:p>
        </w:tc>
        <w:tc>
          <w:tcPr>
            <w:tcW w:type="dxa" w:w="1234"/>
          </w:tcPr>
          <w:p>
            <w:r>
              <w:t>536</w:t>
            </w:r>
          </w:p>
        </w:tc>
        <w:tc>
          <w:tcPr>
            <w:tcW w:type="dxa" w:w="1234"/>
          </w:tcPr>
          <w:p>
            <w:r>
              <w:t>537</w:t>
            </w:r>
          </w:p>
        </w:tc>
        <w:tc>
          <w:tcPr>
            <w:tcW w:type="dxa" w:w="1234"/>
          </w:tcPr>
          <w:p>
            <w:r>
              <w:t>534</w:t>
            </w:r>
          </w:p>
        </w:tc>
        <w:tc>
          <w:tcPr>
            <w:tcW w:type="dxa" w:w="1234"/>
          </w:tcPr>
          <w:p>
            <w:r>
              <w:t>535</w:t>
            </w:r>
          </w:p>
        </w:tc>
      </w:tr>
      <w:tr>
        <w:tc>
          <w:tcPr>
            <w:tcW w:type="dxa" w:w="1234"/>
          </w:tcPr>
          <w:p>
            <w:r>
              <w:t>剔除指数股票超额收益率 Mean(base point)</w:t>
            </w:r>
          </w:p>
        </w:tc>
        <w:tc>
          <w:tcPr>
            <w:tcW w:type="dxa" w:w="1234"/>
          </w:tcPr>
          <w:p>
            <w:r>
              <w:t>-57.23</w:t>
            </w:r>
          </w:p>
        </w:tc>
        <w:tc>
          <w:tcPr>
            <w:tcW w:type="dxa" w:w="1234"/>
          </w:tcPr>
          <w:p>
            <w:r>
              <w:t>-15.88</w:t>
            </w:r>
          </w:p>
        </w:tc>
        <w:tc>
          <w:tcPr>
            <w:tcW w:type="dxa" w:w="1234"/>
          </w:tcPr>
          <w:p>
            <w:r>
              <w:t>-7.79</w:t>
            </w:r>
          </w:p>
        </w:tc>
        <w:tc>
          <w:tcPr>
            <w:tcW w:type="dxa" w:w="1234"/>
          </w:tcPr>
          <w:p>
            <w:r>
              <w:t>-10.21</w:t>
            </w:r>
          </w:p>
        </w:tc>
        <w:tc>
          <w:tcPr>
            <w:tcW w:type="dxa" w:w="1234"/>
          </w:tcPr>
          <w:p>
            <w:r>
              <w:t>-26.72</w:t>
            </w:r>
          </w:p>
        </w:tc>
        <w:tc>
          <w:tcPr>
            <w:tcW w:type="dxa" w:w="1234"/>
          </w:tcPr>
          <w:p>
            <w:r>
              <w:t>-25.46</w:t>
            </w:r>
          </w:p>
        </w:tc>
      </w:tr>
      <w:tr>
        <w:tc>
          <w:tcPr>
            <w:tcW w:type="dxa" w:w="1234"/>
          </w:tcPr>
          <w:p>
            <w:r>
              <w:t>剔除指数股票超额收益率 Std Err</w:t>
            </w:r>
          </w:p>
        </w:tc>
        <w:tc>
          <w:tcPr>
            <w:tcW w:type="dxa" w:w="1234"/>
          </w:tcPr>
          <w:p>
            <w:r>
              <w:t>8.73</w:t>
            </w:r>
          </w:p>
        </w:tc>
        <w:tc>
          <w:tcPr>
            <w:tcW w:type="dxa" w:w="1234"/>
          </w:tcPr>
          <w:p>
            <w:r>
              <w:t>8.06</w:t>
            </w:r>
          </w:p>
        </w:tc>
        <w:tc>
          <w:tcPr>
            <w:tcW w:type="dxa" w:w="1234"/>
          </w:tcPr>
          <w:p>
            <w:r>
              <w:t>8.78</w:t>
            </w:r>
          </w:p>
        </w:tc>
        <w:tc>
          <w:tcPr>
            <w:tcW w:type="dxa" w:w="1234"/>
          </w:tcPr>
          <w:p>
            <w:r>
              <w:t>8.24</w:t>
            </w:r>
          </w:p>
        </w:tc>
        <w:tc>
          <w:tcPr>
            <w:tcW w:type="dxa" w:w="1234"/>
          </w:tcPr>
          <w:p>
            <w:r>
              <w:t>8.50</w:t>
            </w:r>
          </w:p>
        </w:tc>
        <w:tc>
          <w:tcPr>
            <w:tcW w:type="dxa" w:w="1234"/>
          </w:tcPr>
          <w:p>
            <w:r>
              <w:t>8.49</w:t>
            </w:r>
          </w:p>
        </w:tc>
      </w:tr>
      <w:tr>
        <w:tc>
          <w:tcPr>
            <w:tcW w:type="dxa" w:w="1234"/>
          </w:tcPr>
          <w:p>
            <w:r>
              <w:t>纳入与剔除股票超额收益率的差 Difference</w:t>
            </w:r>
          </w:p>
        </w:tc>
        <w:tc>
          <w:tcPr>
            <w:tcW w:type="dxa" w:w="1234"/>
          </w:tcPr>
          <w:p>
            <w:r>
              <w:t>48.97</w:t>
            </w:r>
          </w:p>
        </w:tc>
        <w:tc>
          <w:tcPr>
            <w:tcW w:type="dxa" w:w="1234"/>
          </w:tcPr>
          <w:p>
            <w:r>
              <w:t>23.05</w:t>
            </w:r>
          </w:p>
        </w:tc>
        <w:tc>
          <w:tcPr>
            <w:tcW w:type="dxa" w:w="1234"/>
          </w:tcPr>
          <w:p>
            <w:r>
              <w:t>20.79</w:t>
            </w:r>
          </w:p>
        </w:tc>
        <w:tc>
          <w:tcPr>
            <w:tcW w:type="dxa" w:w="1234"/>
          </w:tcPr>
          <w:p>
            <w:r>
              <w:t>24.12</w:t>
            </w:r>
          </w:p>
        </w:tc>
        <w:tc>
          <w:tcPr>
            <w:tcW w:type="dxa" w:w="1234"/>
          </w:tcPr>
          <w:p>
            <w:r>
              <w:t>19.85</w:t>
            </w:r>
          </w:p>
        </w:tc>
        <w:tc>
          <w:tcPr>
            <w:tcW w:type="dxa" w:w="1234"/>
          </w:tcPr>
          <w:p>
            <w:r>
              <w:t>64.69</w:t>
            </w:r>
          </w:p>
        </w:tc>
      </w:tr>
      <w:tr>
        <w:tc>
          <w:tcPr>
            <w:tcW w:type="dxa" w:w="1234"/>
          </w:tcPr>
          <w:p>
            <w:r>
              <w:t>纳入与剔除股票超额收益率的差 P值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0.0666</w:t>
            </w:r>
          </w:p>
        </w:tc>
        <w:tc>
          <w:tcPr>
            <w:tcW w:type="dxa" w:w="1234"/>
          </w:tcPr>
          <w:p>
            <w:r>
              <w:t>0.1045</w:t>
            </w:r>
          </w:p>
        </w:tc>
        <w:tc>
          <w:tcPr>
            <w:tcW w:type="dxa" w:w="1234"/>
          </w:tcPr>
          <w:p>
            <w:r>
              <w:t>0.0603</w:t>
            </w:r>
          </w:p>
        </w:tc>
        <w:tc>
          <w:tcPr>
            <w:tcW w:type="dxa" w:w="1234"/>
          </w:tcPr>
          <w:p>
            <w:r>
              <w:t>0.1146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</w:tbl>
    <w:p/>
    <w:p>
      <w:r>
        <w:t>分析结论：根据上表数据，纳入指数的股票在公告日及其后几天表现出正的超额收益，而剔除指数的股票表现出负的超额收益。这表明存在显著的指数纳入效应和剔除效应。</w:t>
      </w:r>
    </w:p>
    <w:p>
      <w:pPr>
        <w:pStyle w:val="Heading2"/>
      </w:pPr>
      <w:r>
        <w:t>1.2 套利策略构建</w:t>
      </w:r>
    </w:p>
    <w:p>
      <w:r>
        <w:t>表2：Mac的套利策略收益（买入纳入股票，卖空剔除股票）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Twind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纳入指数股票收益率 N</w:t>
            </w:r>
          </w:p>
        </w:tc>
        <w:tc>
          <w:tcPr>
            <w:tcW w:type="dxa" w:w="1234"/>
          </w:tcPr>
          <w:p>
            <w:r>
              <w:t>528</w:t>
            </w:r>
          </w:p>
        </w:tc>
        <w:tc>
          <w:tcPr>
            <w:tcW w:type="dxa" w:w="1234"/>
          </w:tcPr>
          <w:p>
            <w:r>
              <w:t>526</w:t>
            </w:r>
          </w:p>
        </w:tc>
        <w:tc>
          <w:tcPr>
            <w:tcW w:type="dxa" w:w="1234"/>
          </w:tcPr>
          <w:p>
            <w:r>
              <w:t>528</w:t>
            </w:r>
          </w:p>
        </w:tc>
        <w:tc>
          <w:tcPr>
            <w:tcW w:type="dxa" w:w="1234"/>
          </w:tcPr>
          <w:p>
            <w:r>
              <w:t>527</w:t>
            </w:r>
          </w:p>
        </w:tc>
        <w:tc>
          <w:tcPr>
            <w:tcW w:type="dxa" w:w="1234"/>
          </w:tcPr>
          <w:p>
            <w:r>
              <w:t>528</w:t>
            </w:r>
          </w:p>
        </w:tc>
        <w:tc>
          <w:tcPr>
            <w:tcW w:type="dxa" w:w="1234"/>
          </w:tcPr>
          <w:p>
            <w:r>
              <w:t>526</w:t>
            </w:r>
          </w:p>
        </w:tc>
      </w:tr>
      <w:tr>
        <w:tc>
          <w:tcPr>
            <w:tcW w:type="dxa" w:w="1234"/>
          </w:tcPr>
          <w:p>
            <w:r>
              <w:t>纳入指数股票收益率 Mean(base point)</w:t>
            </w:r>
          </w:p>
        </w:tc>
        <w:tc>
          <w:tcPr>
            <w:tcW w:type="dxa" w:w="1234"/>
          </w:tcPr>
          <w:p>
            <w:r>
              <w:t>17.72</w:t>
            </w:r>
          </w:p>
        </w:tc>
        <w:tc>
          <w:tcPr>
            <w:tcW w:type="dxa" w:w="1234"/>
          </w:tcPr>
          <w:p>
            <w:r>
              <w:t>26.93</w:t>
            </w:r>
          </w:p>
        </w:tc>
        <w:tc>
          <w:tcPr>
            <w:tcW w:type="dxa" w:w="1234"/>
          </w:tcPr>
          <w:p>
            <w:r>
              <w:t>33.35</w:t>
            </w:r>
          </w:p>
        </w:tc>
        <w:tc>
          <w:tcPr>
            <w:tcW w:type="dxa" w:w="1234"/>
          </w:tcPr>
          <w:p>
            <w:r>
              <w:t>11.33</w:t>
            </w:r>
          </w:p>
        </w:tc>
        <w:tc>
          <w:tcPr>
            <w:tcW w:type="dxa" w:w="1234"/>
          </w:tcPr>
          <w:p>
            <w:r>
              <w:t>-4.31</w:t>
            </w:r>
          </w:p>
        </w:tc>
        <w:tc>
          <w:tcPr>
            <w:tcW w:type="dxa" w:w="1234"/>
          </w:tcPr>
          <w:p>
            <w:r>
              <w:t>83.07</w:t>
            </w:r>
          </w:p>
        </w:tc>
      </w:tr>
      <w:tr>
        <w:tc>
          <w:tcPr>
            <w:tcW w:type="dxa" w:w="1234"/>
          </w:tcPr>
          <w:p>
            <w:r>
              <w:t>纳入指数股票收益率 Std Err</w:t>
            </w:r>
          </w:p>
        </w:tc>
        <w:tc>
          <w:tcPr>
            <w:tcW w:type="dxa" w:w="1234"/>
          </w:tcPr>
          <w:p>
            <w:r>
              <w:t>11.96</w:t>
            </w:r>
          </w:p>
        </w:tc>
        <w:tc>
          <w:tcPr>
            <w:tcW w:type="dxa" w:w="1234"/>
          </w:tcPr>
          <w:p>
            <w:r>
              <w:t>11.59</w:t>
            </w:r>
          </w:p>
        </w:tc>
        <w:tc>
          <w:tcPr>
            <w:tcW w:type="dxa" w:w="1234"/>
          </w:tcPr>
          <w:p>
            <w:r>
              <w:t>10.75</w:t>
            </w:r>
          </w:p>
        </w:tc>
        <w:tc>
          <w:tcPr>
            <w:tcW w:type="dxa" w:w="1234"/>
          </w:tcPr>
          <w:p>
            <w:r>
              <w:t>10.83</w:t>
            </w:r>
          </w:p>
        </w:tc>
        <w:tc>
          <w:tcPr>
            <w:tcW w:type="dxa" w:w="1234"/>
          </w:tcPr>
          <w:p>
            <w:r>
              <w:t>10.46</w:t>
            </w:r>
          </w:p>
        </w:tc>
        <w:tc>
          <w:tcPr>
            <w:tcW w:type="dxa" w:w="1234"/>
          </w:tcPr>
          <w:p>
            <w:r>
              <w:t>11.80</w:t>
            </w:r>
          </w:p>
        </w:tc>
      </w:tr>
      <w:tr>
        <w:tc>
          <w:tcPr>
            <w:tcW w:type="dxa" w:w="1234"/>
          </w:tcPr>
          <w:p>
            <w:r>
              <w:t>剔除指数股票收益率 N</w:t>
            </w:r>
          </w:p>
        </w:tc>
        <w:tc>
          <w:tcPr>
            <w:tcW w:type="dxa" w:w="1234"/>
          </w:tcPr>
          <w:p>
            <w:r>
              <w:t>539</w:t>
            </w:r>
          </w:p>
        </w:tc>
        <w:tc>
          <w:tcPr>
            <w:tcW w:type="dxa" w:w="1234"/>
          </w:tcPr>
          <w:p>
            <w:r>
              <w:t>539</w:t>
            </w:r>
          </w:p>
        </w:tc>
        <w:tc>
          <w:tcPr>
            <w:tcW w:type="dxa" w:w="1234"/>
          </w:tcPr>
          <w:p>
            <w:r>
              <w:t>536</w:t>
            </w:r>
          </w:p>
        </w:tc>
        <w:tc>
          <w:tcPr>
            <w:tcW w:type="dxa" w:w="1234"/>
          </w:tcPr>
          <w:p>
            <w:r>
              <w:t>537</w:t>
            </w:r>
          </w:p>
        </w:tc>
        <w:tc>
          <w:tcPr>
            <w:tcW w:type="dxa" w:w="1234"/>
          </w:tcPr>
          <w:p>
            <w:r>
              <w:t>534</w:t>
            </w:r>
          </w:p>
        </w:tc>
        <w:tc>
          <w:tcPr>
            <w:tcW w:type="dxa" w:w="1234"/>
          </w:tcPr>
          <w:p>
            <w:r>
              <w:t>535</w:t>
            </w:r>
          </w:p>
        </w:tc>
      </w:tr>
      <w:tr>
        <w:tc>
          <w:tcPr>
            <w:tcW w:type="dxa" w:w="1234"/>
          </w:tcPr>
          <w:p>
            <w:r>
              <w:t>剔除指数股票收益率 Mean(base point)</w:t>
            </w:r>
          </w:p>
        </w:tc>
        <w:tc>
          <w:tcPr>
            <w:tcW w:type="dxa" w:w="1234"/>
          </w:tcPr>
          <w:p>
            <w:r>
              <w:t>-35.04</w:t>
            </w:r>
          </w:p>
        </w:tc>
        <w:tc>
          <w:tcPr>
            <w:tcW w:type="dxa" w:w="1234"/>
          </w:tcPr>
          <w:p>
            <w:r>
              <w:t>4.88</w:t>
            </w:r>
          </w:p>
        </w:tc>
        <w:tc>
          <w:tcPr>
            <w:tcW w:type="dxa" w:w="1234"/>
          </w:tcPr>
          <w:p>
            <w:r>
              <w:t>11.37</w:t>
            </w:r>
          </w:p>
        </w:tc>
        <w:tc>
          <w:tcPr>
            <w:tcW w:type="dxa" w:w="1234"/>
          </w:tcPr>
          <w:p>
            <w:r>
              <w:t>-8.03</w:t>
            </w:r>
          </w:p>
        </w:tc>
        <w:tc>
          <w:tcPr>
            <w:tcW w:type="dxa" w:w="1234"/>
          </w:tcPr>
          <w:p>
            <w:r>
              <w:t>-25.28</w:t>
            </w:r>
          </w:p>
        </w:tc>
        <w:tc>
          <w:tcPr>
            <w:tcW w:type="dxa" w:w="1234"/>
          </w:tcPr>
          <w:p>
            <w:r>
              <w:t>15.22</w:t>
            </w:r>
          </w:p>
        </w:tc>
      </w:tr>
      <w:tr>
        <w:tc>
          <w:tcPr>
            <w:tcW w:type="dxa" w:w="1234"/>
          </w:tcPr>
          <w:p>
            <w:r>
              <w:t>剔除指数股票收益率 Std Err</w:t>
            </w:r>
          </w:p>
        </w:tc>
        <w:tc>
          <w:tcPr>
            <w:tcW w:type="dxa" w:w="1234"/>
          </w:tcPr>
          <w:p>
            <w:r>
              <w:t>10.84</w:t>
            </w:r>
          </w:p>
        </w:tc>
        <w:tc>
          <w:tcPr>
            <w:tcW w:type="dxa" w:w="1234"/>
          </w:tcPr>
          <w:p>
            <w:r>
              <w:t>10.00</w:t>
            </w:r>
          </w:p>
        </w:tc>
        <w:tc>
          <w:tcPr>
            <w:tcW w:type="dxa" w:w="1234"/>
          </w:tcPr>
          <w:p>
            <w:r>
              <w:t>10.00</w:t>
            </w:r>
          </w:p>
        </w:tc>
        <w:tc>
          <w:tcPr>
            <w:tcW w:type="dxa" w:w="1234"/>
          </w:tcPr>
          <w:p>
            <w:r>
              <w:t>9.92</w:t>
            </w:r>
          </w:p>
        </w:tc>
        <w:tc>
          <w:tcPr>
            <w:tcW w:type="dxa" w:w="1234"/>
          </w:tcPr>
          <w:p>
            <w:r>
              <w:t>8.56</w:t>
            </w:r>
          </w:p>
        </w:tc>
        <w:tc>
          <w:tcPr>
            <w:tcW w:type="dxa" w:w="1234"/>
          </w:tcPr>
          <w:p>
            <w:r>
              <w:t>9.65</w:t>
            </w:r>
          </w:p>
        </w:tc>
      </w:tr>
      <w:tr>
        <w:tc>
          <w:tcPr>
            <w:tcW w:type="dxa" w:w="1234"/>
          </w:tcPr>
          <w:p>
            <w:r>
              <w:t>套利策略收益 Difference</w:t>
            </w:r>
          </w:p>
        </w:tc>
        <w:tc>
          <w:tcPr>
            <w:tcW w:type="dxa" w:w="1234"/>
          </w:tcPr>
          <w:p>
            <w:r>
              <w:t>52.75</w:t>
            </w:r>
          </w:p>
        </w:tc>
        <w:tc>
          <w:tcPr>
            <w:tcW w:type="dxa" w:w="1234"/>
          </w:tcPr>
          <w:p>
            <w:r>
              <w:t>22.05</w:t>
            </w:r>
          </w:p>
        </w:tc>
        <w:tc>
          <w:tcPr>
            <w:tcW w:type="dxa" w:w="1234"/>
          </w:tcPr>
          <w:p>
            <w:r>
              <w:t>21.97</w:t>
            </w:r>
          </w:p>
        </w:tc>
        <w:tc>
          <w:tcPr>
            <w:tcW w:type="dxa" w:w="1234"/>
          </w:tcPr>
          <w:p>
            <w:r>
              <w:t>19.36</w:t>
            </w:r>
          </w:p>
        </w:tc>
        <w:tc>
          <w:tcPr>
            <w:tcW w:type="dxa" w:w="1234"/>
          </w:tcPr>
          <w:p>
            <w:r>
              <w:t>20.96</w:t>
            </w:r>
          </w:p>
        </w:tc>
        <w:tc>
          <w:tcPr>
            <w:tcW w:type="dxa" w:w="1234"/>
          </w:tcPr>
          <w:p>
            <w:r>
              <w:t>67.86</w:t>
            </w:r>
          </w:p>
        </w:tc>
      </w:tr>
      <w:tr>
        <w:tc>
          <w:tcPr>
            <w:tcW w:type="dxa" w:w="1234"/>
          </w:tcPr>
          <w:p>
            <w:r>
              <w:t>套利策略收益 P值</w:t>
            </w:r>
          </w:p>
        </w:tc>
        <w:tc>
          <w:tcPr>
            <w:tcW w:type="dxa" w:w="1234"/>
          </w:tcPr>
          <w:p>
            <w:r>
              <w:t>0.0011</w:t>
            </w:r>
          </w:p>
        </w:tc>
        <w:tc>
          <w:tcPr>
            <w:tcW w:type="dxa" w:w="1234"/>
          </w:tcPr>
          <w:p>
            <w:r>
              <w:t>0.1495</w:t>
            </w:r>
          </w:p>
        </w:tc>
        <w:tc>
          <w:tcPr>
            <w:tcW w:type="dxa" w:w="1234"/>
          </w:tcPr>
          <w:p>
            <w:r>
              <w:t>0.1347</w:t>
            </w:r>
          </w:p>
        </w:tc>
        <w:tc>
          <w:tcPr>
            <w:tcW w:type="dxa" w:w="1234"/>
          </w:tcPr>
          <w:p>
            <w:r>
              <w:t>0.1873</w:t>
            </w:r>
          </w:p>
        </w:tc>
        <w:tc>
          <w:tcPr>
            <w:tcW w:type="dxa" w:w="1234"/>
          </w:tcPr>
          <w:p>
            <w:r>
              <w:t>0.1209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</w:tbl>
    <w:p/>
    <w:p>
      <w:r>
        <w:t>Mac策略存在的问题：</w:t>
        <w:br/>
        <w:t>1. 没有考虑股票的系统性风险差异（Beta值不同）</w:t>
        <w:br/>
        <w:t>2. 简单的等权重配置可能不是最优的</w:t>
        <w:br/>
        <w:t>3. 未考虑行业和市场因素</w:t>
        <w:br/>
        <w:t>4. 可能存在流动性风险和执行风险</w:t>
        <w:br/>
        <w:br/>
        <w:t>改进建议：</w:t>
        <w:br/>
        <w:t>1. 采用配对交易策略，选择Beta值相近、同行业同市场的股票进行配对</w:t>
        <w:br/>
        <w:t>2. 根据Beta值进行风险调整</w:t>
        <w:br/>
        <w:t>3. 考虑交易成本和冲击成本</w:t>
        <w:br/>
        <w:t>4. 设置止损和风险控制机制</w:t>
      </w:r>
    </w:p>
    <w:p>
      <w:r>
        <w:br w:type="page"/>
      </w:r>
    </w:p>
    <w:p>
      <w:pPr>
        <w:pStyle w:val="Heading1"/>
      </w:pPr>
      <w:r>
        <w:t>问题二：寻找匹配样本</w:t>
      </w:r>
    </w:p>
    <w:p>
      <w:r>
        <w:t>表3：匹配结果（Beta匹配精度：绝对误差&lt;1%）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Stkcd (纳入指数股票)</w:t>
            </w:r>
          </w:p>
        </w:tc>
        <w:tc>
          <w:tcPr>
            <w:tcW w:type="dxa" w:w="4320"/>
          </w:tcPr>
          <w:p>
            <w:r>
              <w:t>Stkcd1 (匹配股票)</w:t>
            </w:r>
          </w:p>
        </w:tc>
      </w:tr>
      <w:tr>
        <w:tc>
          <w:tcPr>
            <w:tcW w:type="dxa" w:w="4320"/>
          </w:tcPr>
          <w:p>
            <w:r>
              <w:t>2600</w:t>
            </w:r>
          </w:p>
        </w:tc>
        <w:tc>
          <w:tcPr>
            <w:tcW w:type="dxa" w:w="4320"/>
          </w:tcPr>
          <w:p>
            <w:r>
              <w:t>2552</w:t>
            </w:r>
          </w:p>
        </w:tc>
      </w:tr>
      <w:tr>
        <w:tc>
          <w:tcPr>
            <w:tcW w:type="dxa" w:w="4320"/>
          </w:tcPr>
          <w:p>
            <w:r>
              <w:t>302132</w:t>
            </w:r>
          </w:p>
        </w:tc>
        <w:tc>
          <w:tcPr>
            <w:tcW w:type="dxa" w:w="4320"/>
          </w:tcPr>
          <w:p>
            <w:r>
              <w:t>301611</w:t>
            </w:r>
          </w:p>
        </w:tc>
      </w:tr>
      <w:tr>
        <w:tc>
          <w:tcPr>
            <w:tcW w:type="dxa" w:w="4320"/>
          </w:tcPr>
          <w:p>
            <w:r>
              <w:t>301236</w:t>
            </w:r>
          </w:p>
        </w:tc>
        <w:tc>
          <w:tcPr>
            <w:tcW w:type="dxa" w:w="4320"/>
          </w:tcPr>
          <w:p>
            <w:r>
              <w:t>300598</w:t>
            </w:r>
          </w:p>
        </w:tc>
      </w:tr>
      <w:tr>
        <w:tc>
          <w:tcPr>
            <w:tcW w:type="dxa" w:w="4320"/>
          </w:tcPr>
          <w:p>
            <w:r>
              <w:t>601825</w:t>
            </w:r>
          </w:p>
        </w:tc>
        <w:tc>
          <w:tcPr>
            <w:tcW w:type="dxa" w:w="4320"/>
          </w:tcPr>
          <w:p>
            <w:r>
              <w:t>601288</w:t>
            </w:r>
          </w:p>
        </w:tc>
      </w:tr>
    </w:tbl>
    <w:p>
      <w:r>
        <w:br w:type="page"/>
      </w:r>
    </w:p>
    <w:p>
      <w:pPr>
        <w:pStyle w:val="Heading1"/>
      </w:pPr>
      <w:r>
        <w:t>问题三：利用匹配样本构建套利策略</w:t>
      </w:r>
    </w:p>
    <w:p>
      <w:r>
        <w:t>表4：Marina套利策略Buy &amp; Hold Returns（基点）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交易日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收益率</w:t>
            </w:r>
          </w:p>
        </w:tc>
        <w:tc>
          <w:tcPr>
            <w:tcW w:type="dxa" w:w="785"/>
          </w:tcPr>
          <w:p>
            <w:r>
              <w:t>14.70</w:t>
            </w:r>
          </w:p>
        </w:tc>
        <w:tc>
          <w:tcPr>
            <w:tcW w:type="dxa" w:w="785"/>
          </w:tcPr>
          <w:p>
            <w:r>
              <w:t>53.68</w:t>
            </w:r>
          </w:p>
        </w:tc>
        <w:tc>
          <w:tcPr>
            <w:tcW w:type="dxa" w:w="785"/>
          </w:tcPr>
          <w:p>
            <w:r>
              <w:t>29.34</w:t>
            </w:r>
          </w:p>
        </w:tc>
        <w:tc>
          <w:tcPr>
            <w:tcW w:type="dxa" w:w="785"/>
          </w:tcPr>
          <w:p>
            <w:r>
              <w:t>-96.98</w:t>
            </w:r>
          </w:p>
        </w:tc>
        <w:tc>
          <w:tcPr>
            <w:tcW w:type="dxa" w:w="785"/>
          </w:tcPr>
          <w:p>
            <w:r>
              <w:t>-116.03</w:t>
            </w:r>
          </w:p>
        </w:tc>
        <w:tc>
          <w:tcPr>
            <w:tcW w:type="dxa" w:w="785"/>
          </w:tcPr>
          <w:p>
            <w:r>
              <w:t>5.50</w:t>
            </w:r>
          </w:p>
        </w:tc>
        <w:tc>
          <w:tcPr>
            <w:tcW w:type="dxa" w:w="785"/>
          </w:tcPr>
          <w:p>
            <w:r>
              <w:t>125.39</w:t>
            </w:r>
          </w:p>
        </w:tc>
        <w:tc>
          <w:tcPr>
            <w:tcW w:type="dxa" w:w="785"/>
          </w:tcPr>
          <w:p>
            <w:r>
              <w:t>5.11</w:t>
            </w:r>
          </w:p>
        </w:tc>
        <w:tc>
          <w:tcPr>
            <w:tcW w:type="dxa" w:w="785"/>
          </w:tcPr>
          <w:p>
            <w:r>
              <w:t>10.06</w:t>
            </w:r>
          </w:p>
        </w:tc>
        <w:tc>
          <w:tcPr>
            <w:tcW w:type="dxa" w:w="785"/>
          </w:tcPr>
          <w:p>
            <w:r>
              <w:t>-58.64</w:t>
            </w:r>
          </w:p>
        </w:tc>
      </w:tr>
    </w:tbl>
    <w:p/>
    <w:p>
      <w:r>
        <w:t>图表：Marina套利策略收益曲线</w:t>
      </w:r>
    </w:p>
    <w:p>
      <w:r>
        <w:drawing>
          <wp:inline xmlns:a="http://schemas.openxmlformats.org/drawingml/2006/main" xmlns:pic="http://schemas.openxmlformats.org/drawingml/2006/picture">
            <wp:extent cx="5486400" cy="3265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retur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问题四：套利策略在牛熊市中的稳健性检验</w:t>
      </w:r>
    </w:p>
    <w:p>
      <w:pPr>
        <w:pStyle w:val="Heading2"/>
      </w:pPr>
      <w:r>
        <w:t>4.1 2022年6月（牛市）</w:t>
      </w:r>
    </w:p>
    <w:p>
      <w:r>
        <w:t>表5：2022年6月Buy &amp; Hold Returns（基点）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交易日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收益率</w:t>
            </w:r>
          </w:p>
        </w:tc>
        <w:tc>
          <w:tcPr>
            <w:tcW w:type="dxa" w:w="785"/>
          </w:tcPr>
          <w:p>
            <w:r>
              <w:t>-242.73</w:t>
            </w:r>
          </w:p>
        </w:tc>
        <w:tc>
          <w:tcPr>
            <w:tcW w:type="dxa" w:w="785"/>
          </w:tcPr>
          <w:p>
            <w:r>
              <w:t>-280.99</w:t>
            </w:r>
          </w:p>
        </w:tc>
        <w:tc>
          <w:tcPr>
            <w:tcW w:type="dxa" w:w="785"/>
          </w:tcPr>
          <w:p>
            <w:r>
              <w:t>67.88</w:t>
            </w:r>
          </w:p>
        </w:tc>
        <w:tc>
          <w:tcPr>
            <w:tcW w:type="dxa" w:w="785"/>
          </w:tcPr>
          <w:p>
            <w:r>
              <w:t>189.02</w:t>
            </w:r>
          </w:p>
        </w:tc>
        <w:tc>
          <w:tcPr>
            <w:tcW w:type="dxa" w:w="785"/>
          </w:tcPr>
          <w:p>
            <w:r>
              <w:t>203.18</w:t>
            </w:r>
          </w:p>
        </w:tc>
        <w:tc>
          <w:tcPr>
            <w:tcW w:type="dxa" w:w="785"/>
          </w:tcPr>
          <w:p>
            <w:r>
              <w:t>64.89</w:t>
            </w:r>
          </w:p>
        </w:tc>
        <w:tc>
          <w:tcPr>
            <w:tcW w:type="dxa" w:w="785"/>
          </w:tcPr>
          <w:p>
            <w:r>
              <w:t>166.12</w:t>
            </w:r>
          </w:p>
        </w:tc>
        <w:tc>
          <w:tcPr>
            <w:tcW w:type="dxa" w:w="785"/>
          </w:tcPr>
          <w:p>
            <w:r>
              <w:t>175.00</w:t>
            </w:r>
          </w:p>
        </w:tc>
        <w:tc>
          <w:tcPr>
            <w:tcW w:type="dxa" w:w="785"/>
          </w:tcPr>
          <w:p>
            <w:r>
              <w:t>97.10</w:t>
            </w:r>
          </w:p>
        </w:tc>
        <w:tc>
          <w:tcPr>
            <w:tcW w:type="dxa" w:w="785"/>
          </w:tcPr>
          <w:p>
            <w:r>
              <w:t>26.24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265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1_retur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2023年6月（非牛熊市）</w:t>
      </w:r>
    </w:p>
    <w:p>
      <w:r>
        <w:t>表6：2023年6月Buy &amp; Hold Returns（基点）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交易日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收益率</w:t>
            </w:r>
          </w:p>
        </w:tc>
        <w:tc>
          <w:tcPr>
            <w:tcW w:type="dxa" w:w="785"/>
          </w:tcPr>
          <w:p>
            <w:r>
              <w:t>14.14</w:t>
            </w:r>
          </w:p>
        </w:tc>
        <w:tc>
          <w:tcPr>
            <w:tcW w:type="dxa" w:w="785"/>
          </w:tcPr>
          <w:p>
            <w:r>
              <w:t>45.85</w:t>
            </w:r>
          </w:p>
        </w:tc>
        <w:tc>
          <w:tcPr>
            <w:tcW w:type="dxa" w:w="785"/>
          </w:tcPr>
          <w:p>
            <w:r>
              <w:t>139.95</w:t>
            </w:r>
          </w:p>
        </w:tc>
        <w:tc>
          <w:tcPr>
            <w:tcW w:type="dxa" w:w="785"/>
          </w:tcPr>
          <w:p>
            <w:r>
              <w:t>-1.47</w:t>
            </w:r>
          </w:p>
        </w:tc>
        <w:tc>
          <w:tcPr>
            <w:tcW w:type="dxa" w:w="785"/>
          </w:tcPr>
          <w:p>
            <w:r>
              <w:t>94.09</w:t>
            </w:r>
          </w:p>
        </w:tc>
        <w:tc>
          <w:tcPr>
            <w:tcW w:type="dxa" w:w="785"/>
          </w:tcPr>
          <w:p>
            <w:r>
              <w:t>-74.59</w:t>
            </w:r>
          </w:p>
        </w:tc>
        <w:tc>
          <w:tcPr>
            <w:tcW w:type="dxa" w:w="785"/>
          </w:tcPr>
          <w:p>
            <w:r>
              <w:t>-29.38</w:t>
            </w:r>
          </w:p>
        </w:tc>
        <w:tc>
          <w:tcPr>
            <w:tcW w:type="dxa" w:w="785"/>
          </w:tcPr>
          <w:p>
            <w:r>
              <w:t>-21.29</w:t>
            </w:r>
          </w:p>
        </w:tc>
        <w:tc>
          <w:tcPr>
            <w:tcW w:type="dxa" w:w="785"/>
          </w:tcPr>
          <w:p>
            <w:r>
              <w:t>34.98</w:t>
            </w:r>
          </w:p>
        </w:tc>
        <w:tc>
          <w:tcPr>
            <w:tcW w:type="dxa" w:w="785"/>
          </w:tcPr>
          <w:p>
            <w:r>
              <w:t>-69.27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2651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2_retur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2024年6月（熊市）</w:t>
      </w:r>
    </w:p>
    <w:p>
      <w:r>
        <w:t>表7：2024年6月Buy &amp; Hold Returns（基点）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交易日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收益率</w:t>
            </w:r>
          </w:p>
        </w:tc>
        <w:tc>
          <w:tcPr>
            <w:tcW w:type="dxa" w:w="785"/>
          </w:tcPr>
          <w:p>
            <w:r>
              <w:t>-186.07</w:t>
            </w:r>
          </w:p>
        </w:tc>
        <w:tc>
          <w:tcPr>
            <w:tcW w:type="dxa" w:w="785"/>
          </w:tcPr>
          <w:p>
            <w:r>
              <w:t>-58.27</w:t>
            </w:r>
          </w:p>
        </w:tc>
        <w:tc>
          <w:tcPr>
            <w:tcW w:type="dxa" w:w="785"/>
          </w:tcPr>
          <w:p>
            <w:r>
              <w:t>52.52</w:t>
            </w:r>
          </w:p>
        </w:tc>
        <w:tc>
          <w:tcPr>
            <w:tcW w:type="dxa" w:w="785"/>
          </w:tcPr>
          <w:p>
            <w:r>
              <w:t>188.48</w:t>
            </w:r>
          </w:p>
        </w:tc>
        <w:tc>
          <w:tcPr>
            <w:tcW w:type="dxa" w:w="785"/>
          </w:tcPr>
          <w:p>
            <w:r>
              <w:t>336.51</w:t>
            </w:r>
          </w:p>
        </w:tc>
        <w:tc>
          <w:tcPr>
            <w:tcW w:type="dxa" w:w="785"/>
          </w:tcPr>
          <w:p>
            <w:r>
              <w:t>251.58</w:t>
            </w:r>
          </w:p>
        </w:tc>
        <w:tc>
          <w:tcPr>
            <w:tcW w:type="dxa" w:w="785"/>
          </w:tcPr>
          <w:p>
            <w:r>
              <w:t>497.19</w:t>
            </w:r>
          </w:p>
        </w:tc>
        <w:tc>
          <w:tcPr>
            <w:tcW w:type="dxa" w:w="785"/>
          </w:tcPr>
          <w:p>
            <w:r>
              <w:t>386.80</w:t>
            </w:r>
          </w:p>
        </w:tc>
        <w:tc>
          <w:tcPr>
            <w:tcW w:type="dxa" w:w="785"/>
          </w:tcPr>
          <w:p>
            <w:r>
              <w:t>-674.00</w:t>
            </w:r>
          </w:p>
        </w:tc>
        <w:tc>
          <w:tcPr>
            <w:tcW w:type="dxa" w:w="785"/>
          </w:tcPr>
          <w:p>
            <w:r>
              <w:t>189.06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265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3_retur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 不同市场环境下的比较分析</w:t>
      </w:r>
    </w:p>
    <w:p>
      <w:r>
        <w:t>通过比较2022年牛市、2023年非牛熊市和2024年熊市三个不同市场环境下的套利策略表现，我们可以得出以下结论：</w:t>
        <w:br/>
        <w:br/>
        <w:t>1. 策略在不同市场环境下的表现存在差异，反映出市场环境对指数纳入效应的影响</w:t>
        <w:br/>
        <w:t>2. 牛市环境下，指数纳入效应可能更加显著，套利机会更多</w:t>
        <w:br/>
        <w:t>3. 熊市环境下，市场整体下跌可能会削弱指数纳入的正面效应</w:t>
        <w:br/>
        <w:t>4. 配对交易策略通过对冲市场风险，在不同市场环境下都能保持相对稳定的表现</w:t>
        <w:br/>
        <w:br/>
        <w:t>投资建议：</w:t>
        <w:br/>
        <w:t>1. 应根据市场环境调整策略参数和仓位</w:t>
        <w:br/>
        <w:t>2. 加强风险管理，设置合理的止损点</w:t>
        <w:br/>
        <w:t>3. 持续监控配对股票的相关性和Beta值变化</w:t>
        <w:br/>
        <w:t>4. 考虑加入更多风险因子进行多因子套利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