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作业3：指数纳入效应套利策略的实现 - 结果报告</w:t>
      </w:r>
    </w:p>
    <w:p>
      <w:pPr>
        <w:pStyle w:val="Heading1"/>
      </w:pPr>
      <w:r>
        <w:t>计算方法与公式推导</w:t>
      </w:r>
    </w:p>
    <w:p>
      <w:pPr>
        <w:pStyle w:val="Heading2"/>
      </w:pPr>
      <w:r>
        <w:t>一、理论基础</w:t>
      </w:r>
    </w:p>
    <w:p>
      <w:r>
        <w:t>本研究基于资本资产定价模型（CAPM）和指数纳入效应理论：</w:t>
        <w:br/>
        <w:br/>
        <w:t>1. CAPM模型：E(Ri) = Rf + βi × [E(Rm) - Rf]</w:t>
        <w:br/>
        <w:t xml:space="preserve">   其中：E(Ri)为股票i的预期收益率，Rf为无风险利率，βi为股票i的Beta系数，E(Rm)为市场组合预期收益率</w:t>
        <w:br/>
        <w:br/>
        <w:t>2. 指数纳入效应：当股票被纳入主要指数时，由于被动型指数基金必须购买该股票以复制指数，会产生额外的买盘压力，导致股价短期上涨。</w:t>
      </w:r>
    </w:p>
    <w:p>
      <w:pPr>
        <w:pStyle w:val="Heading2"/>
      </w:pPr>
      <w:r>
        <w:t>二、超额收益率计算</w:t>
      </w:r>
    </w:p>
    <w:p>
      <w:r>
        <w:t>超额收益率（Abnormal Return）定义为股票实际收益率超出CAPM模型预期收益率的部分：</w:t>
        <w:br/>
        <w:br/>
        <w:t>公式1：Abret(i,t) = Dretwd(i,t) - β(i) × Dretwdos(t)</w:t>
        <w:br/>
        <w:br/>
        <w:t>其中：</w:t>
        <w:br/>
        <w:t>• Abret(i,t)：股票i在时间t的超额收益率</w:t>
        <w:br/>
        <w:t>• Dretwd(i,t)：股票i在时间t的实际收益率（考虑现金红利再投资）</w:t>
        <w:br/>
        <w:t>• β(i)：股票i的Beta系数，衡量其相对于市场的系统性风险</w:t>
        <w:br/>
        <w:t>• Dretwdos(t)：市场在时间t的收益率（考虑现金红利再投资）</w:t>
        <w:br/>
        <w:br/>
        <w:t>说明：该公式将股票收益率分解为两部分：</w:t>
        <w:br/>
        <w:t>1. β(i) × Dretwdos(t)：由市场因素解释的收益（系统性收益）</w:t>
        <w:br/>
        <w:t>2. Abret(i,t)：超出市场因素解释的收益（非系统性收益）</w:t>
        <w:br/>
        <w:br/>
        <w:t>指数纳入效应体现在Abret中，因为它是股票特有的事件，不能由市场整体走势解释。</w:t>
      </w:r>
    </w:p>
    <w:p>
      <w:pPr>
        <w:pStyle w:val="Heading2"/>
      </w:pPr>
      <w:r>
        <w:t>三、统计检验方法</w:t>
      </w:r>
    </w:p>
    <w:p>
      <w:r>
        <w:t>使用独立样本T检验比较纳入股票和剔除股票的超额收益差异：</w:t>
        <w:br/>
        <w:br/>
        <w:t>零假设H₀：μ₁ = μ₂（纳入股票和剔除股票的平均超额收益无显著差异）</w:t>
        <w:br/>
        <w:t>备择假设H₁：μ₁ ≠ μ₂（两组股票的平均超额收益存在显著差异）</w:t>
        <w:br/>
        <w:br/>
        <w:t>T统计量计算公式：</w:t>
        <w:br/>
        <w:t>t = (X̄₁ - X̄₂) / √(s₁²/n₁ + s₂²/n₂)</w:t>
        <w:br/>
        <w:br/>
        <w:t>其中：</w:t>
        <w:br/>
        <w:t>• X̄₁, X̄₂：两组样本的平均超额收益率</w:t>
        <w:br/>
        <w:t>• s₁², s₂²：两组样本的方差</w:t>
        <w:br/>
        <w:t>• n₁, n₂：两组样本的数量</w:t>
        <w:br/>
        <w:br/>
        <w:t>显著性水平：α = 0.05（p &lt; 0.05认为差异显著）</w:t>
      </w:r>
    </w:p>
    <w:p>
      <w:pPr>
        <w:pStyle w:val="Heading2"/>
      </w:pPr>
      <w:r>
        <w:t>四、配对交易收益计算</w:t>
      </w:r>
    </w:p>
    <w:p>
      <w:r>
        <w:t>对于每一对匹配的股票（纳入股票i与匹配股票j），在时间t的配对收益率为：</w:t>
        <w:br/>
        <w:br/>
        <w:t>公式2：Pair_Return(i,j,t) = Dretwd(i,t) - Dretwd(j,t)</w:t>
        <w:br/>
        <w:br/>
        <w:t>组合日收益率采用等权重方法：</w:t>
        <w:br/>
        <w:br/>
        <w:t>公式3：Portfolio_Return(t) = (1/N) × Σ Pair_Return(i,j,t)</w:t>
        <w:br/>
        <w:br/>
        <w:t>其中N为当日有效配对的数量。</w:t>
        <w:br/>
        <w:br/>
        <w:t>Buy &amp; Hold累计收益率：</w:t>
        <w:br/>
        <w:br/>
        <w:t>公式4：Cumulative_Return = Σ Portfolio_Return(t), t=1 to 10</w:t>
        <w:br/>
        <w:br/>
        <w:t>说明：收益率单位转换为基点（basis points）：1bp = 0.01% = 0.0001</w:t>
      </w:r>
    </w:p>
    <w:p>
      <w:pPr>
        <w:pStyle w:val="Heading2"/>
      </w:pPr>
      <w:r>
        <w:t>五、Beta匹配算法</w:t>
      </w:r>
    </w:p>
    <w:p>
      <w:r>
        <w:t>匹配股票的选择标准：</w:t>
        <w:br/>
        <w:br/>
        <w:t>1. 同行业约束：Nnindcd(i) = Nnindcd(j)</w:t>
        <w:br/>
        <w:t>2. 同市场约束：Markettype(i) = Markettype(j)</w:t>
        <w:br/>
        <w:t>3. Beta相近约束：|β(i) - β(j)| &lt; 0.01</w:t>
        <w:br/>
        <w:br/>
        <w:t>匹配目标函数：</w:t>
        <w:br/>
        <w:br/>
        <w:t>公式5：j* = argmin |β(i) - β(j)|</w:t>
        <w:br/>
        <w:t xml:space="preserve">       subject to: |β(i) - β(j)| &lt; 0.01, 同行业, 同市场</w:t>
        <w:br/>
        <w:br/>
        <w:t>理论依据：</w:t>
        <w:br/>
        <w:t>• Beta匹配确保两只股票对市场波动的敏感度相同</w:t>
        <w:br/>
        <w:t>• 做多纳入股票、做空匹配股票可以对冲市场系统性风险</w:t>
        <w:br/>
        <w:t>• 保留的收益主要来自指数纳入这一股票特有事件</w:t>
      </w:r>
    </w:p>
    <w:p>
      <w:r>
        <w:br w:type="page"/>
      </w:r>
    </w:p>
    <w:p>
      <w:pPr>
        <w:pStyle w:val="Heading1"/>
      </w:pPr>
      <w:r>
        <w:t>问题一：利用纳入和剔除股票来做套利</w:t>
      </w:r>
    </w:p>
    <w:p>
      <w:pPr>
        <w:pStyle w:val="Heading2"/>
      </w:pPr>
      <w:r>
        <w:t>1.0 计算过程说明</w:t>
      </w:r>
    </w:p>
    <w:p>
      <w:r>
        <w:t>数据来源：Q1数据表，包含沪深300指数2011-2024年所有纳入和剔除股票的收益率数据</w:t>
        <w:br/>
        <w:br/>
        <w:t>关键变量：</w:t>
        <w:br/>
        <w:t>• Chgsmp04：1=纳入指数，2=剔除指数</w:t>
        <w:br/>
        <w:t>• twind：时间窗口（0-5天，0为公告日）</w:t>
        <w:br/>
        <w:t>• Dretwd：个股日收益率</w:t>
        <w:br/>
        <w:t>• Dretwdos：市场收益率</w:t>
        <w:br/>
        <w:t>• Beta：股票的系统性风险系数</w:t>
        <w:br/>
        <w:br/>
        <w:t>计算步骤：</w:t>
        <w:br/>
        <w:t>步骤1：使用公式1计算每只股票在每个时间窗口的超额收益率Abret</w:t>
        <w:br/>
        <w:t>步骤2：按Chgsmp04分组，分别计算纳入股票和剔除股票的平均超额收益</w:t>
        <w:br/>
        <w:t>步骤3：使用T检验评估两组股票超额收益的差异是否显著</w:t>
        <w:br/>
        <w:t>步骤4：构建Mac套利策略：买入纳入股票组合，卖空剔除股票组合</w:t>
        <w:br/>
        <w:t>步骤5：计算套利策略收益 = 纳入股票平均收益 - 剔除股票平均收益</w:t>
      </w:r>
    </w:p>
    <w:p>
      <w:pPr>
        <w:pStyle w:val="Heading2"/>
      </w:pPr>
      <w:r>
        <w:t>1.1 纳入和剔除股票的超额收益率</w:t>
      </w:r>
    </w:p>
    <w:p>
      <w:r>
        <w:t>表1：纳入和剔除股票超额收益率统计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Twind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  <w:tr>
        <w:tc>
          <w:tcPr>
            <w:tcW w:type="dxa" w:w="1234"/>
          </w:tcPr>
          <w:p>
            <w:r>
              <w:t>纳入指数股票超额收益率 N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527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</w:tr>
      <w:tr>
        <w:tc>
          <w:tcPr>
            <w:tcW w:type="dxa" w:w="1234"/>
          </w:tcPr>
          <w:p>
            <w:r>
              <w:t>纳入指数股票超额收益率 Mean(base point)</w:t>
            </w:r>
          </w:p>
        </w:tc>
        <w:tc>
          <w:tcPr>
            <w:tcW w:type="dxa" w:w="1234"/>
          </w:tcPr>
          <w:p>
            <w:r>
              <w:t>-8.27</w:t>
            </w:r>
          </w:p>
        </w:tc>
        <w:tc>
          <w:tcPr>
            <w:tcW w:type="dxa" w:w="1234"/>
          </w:tcPr>
          <w:p>
            <w:r>
              <w:t>7.17</w:t>
            </w:r>
          </w:p>
        </w:tc>
        <w:tc>
          <w:tcPr>
            <w:tcW w:type="dxa" w:w="1234"/>
          </w:tcPr>
          <w:p>
            <w:r>
              <w:t>12.99</w:t>
            </w:r>
          </w:p>
        </w:tc>
        <w:tc>
          <w:tcPr>
            <w:tcW w:type="dxa" w:w="1234"/>
          </w:tcPr>
          <w:p>
            <w:r>
              <w:t>13.91</w:t>
            </w:r>
          </w:p>
        </w:tc>
        <w:tc>
          <w:tcPr>
            <w:tcW w:type="dxa" w:w="1234"/>
          </w:tcPr>
          <w:p>
            <w:r>
              <w:t>-6.86</w:t>
            </w:r>
          </w:p>
        </w:tc>
        <w:tc>
          <w:tcPr>
            <w:tcW w:type="dxa" w:w="1234"/>
          </w:tcPr>
          <w:p>
            <w:r>
              <w:t>39.23</w:t>
            </w:r>
          </w:p>
        </w:tc>
      </w:tr>
      <w:tr>
        <w:tc>
          <w:tcPr>
            <w:tcW w:type="dxa" w:w="1234"/>
          </w:tcPr>
          <w:p>
            <w:r>
              <w:t>纳入指数股票超额收益率 Std Err</w:t>
            </w:r>
          </w:p>
        </w:tc>
        <w:tc>
          <w:tcPr>
            <w:tcW w:type="dxa" w:w="1234"/>
          </w:tcPr>
          <w:p>
            <w:r>
              <w:t>9.83</w:t>
            </w:r>
          </w:p>
        </w:tc>
        <w:tc>
          <w:tcPr>
            <w:tcW w:type="dxa" w:w="1234"/>
          </w:tcPr>
          <w:p>
            <w:r>
              <w:t>9.66</w:t>
            </w:r>
          </w:p>
        </w:tc>
        <w:tc>
          <w:tcPr>
            <w:tcW w:type="dxa" w:w="1234"/>
          </w:tcPr>
          <w:p>
            <w:r>
              <w:t>9.31</w:t>
            </w:r>
          </w:p>
        </w:tc>
        <w:tc>
          <w:tcPr>
            <w:tcW w:type="dxa" w:w="1234"/>
          </w:tcPr>
          <w:p>
            <w:r>
              <w:t>9.86</w:t>
            </w:r>
          </w:p>
        </w:tc>
        <w:tc>
          <w:tcPr>
            <w:tcW w:type="dxa" w:w="1234"/>
          </w:tcPr>
          <w:p>
            <w:r>
              <w:t>9.27</w:t>
            </w:r>
          </w:p>
        </w:tc>
        <w:tc>
          <w:tcPr>
            <w:tcW w:type="dxa" w:w="1234"/>
          </w:tcPr>
          <w:p>
            <w:r>
              <w:t>10.66</w:t>
            </w:r>
          </w:p>
        </w:tc>
      </w:tr>
      <w:tr>
        <w:tc>
          <w:tcPr>
            <w:tcW w:type="dxa" w:w="1234"/>
          </w:tcPr>
          <w:p>
            <w:r>
              <w:t>剔除指数股票超额收益率 N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536</w:t>
            </w:r>
          </w:p>
        </w:tc>
        <w:tc>
          <w:tcPr>
            <w:tcW w:type="dxa" w:w="1234"/>
          </w:tcPr>
          <w:p>
            <w:r>
              <w:t>537</w:t>
            </w:r>
          </w:p>
        </w:tc>
        <w:tc>
          <w:tcPr>
            <w:tcW w:type="dxa" w:w="1234"/>
          </w:tcPr>
          <w:p>
            <w:r>
              <w:t>534</w:t>
            </w:r>
          </w:p>
        </w:tc>
        <w:tc>
          <w:tcPr>
            <w:tcW w:type="dxa" w:w="1234"/>
          </w:tcPr>
          <w:p>
            <w:r>
              <w:t>535</w:t>
            </w:r>
          </w:p>
        </w:tc>
      </w:tr>
      <w:tr>
        <w:tc>
          <w:tcPr>
            <w:tcW w:type="dxa" w:w="1234"/>
          </w:tcPr>
          <w:p>
            <w:r>
              <w:t>剔除指数股票超额收益率 Mean(base point)</w:t>
            </w:r>
          </w:p>
        </w:tc>
        <w:tc>
          <w:tcPr>
            <w:tcW w:type="dxa" w:w="1234"/>
          </w:tcPr>
          <w:p>
            <w:r>
              <w:t>-57.23</w:t>
            </w:r>
          </w:p>
        </w:tc>
        <w:tc>
          <w:tcPr>
            <w:tcW w:type="dxa" w:w="1234"/>
          </w:tcPr>
          <w:p>
            <w:r>
              <w:t>-15.88</w:t>
            </w:r>
          </w:p>
        </w:tc>
        <w:tc>
          <w:tcPr>
            <w:tcW w:type="dxa" w:w="1234"/>
          </w:tcPr>
          <w:p>
            <w:r>
              <w:t>-7.79</w:t>
            </w:r>
          </w:p>
        </w:tc>
        <w:tc>
          <w:tcPr>
            <w:tcW w:type="dxa" w:w="1234"/>
          </w:tcPr>
          <w:p>
            <w:r>
              <w:t>-10.21</w:t>
            </w:r>
          </w:p>
        </w:tc>
        <w:tc>
          <w:tcPr>
            <w:tcW w:type="dxa" w:w="1234"/>
          </w:tcPr>
          <w:p>
            <w:r>
              <w:t>-26.72</w:t>
            </w:r>
          </w:p>
        </w:tc>
        <w:tc>
          <w:tcPr>
            <w:tcW w:type="dxa" w:w="1234"/>
          </w:tcPr>
          <w:p>
            <w:r>
              <w:t>-25.46</w:t>
            </w:r>
          </w:p>
        </w:tc>
      </w:tr>
      <w:tr>
        <w:tc>
          <w:tcPr>
            <w:tcW w:type="dxa" w:w="1234"/>
          </w:tcPr>
          <w:p>
            <w:r>
              <w:t>剔除指数股票超额收益率 Std Err</w:t>
            </w:r>
          </w:p>
        </w:tc>
        <w:tc>
          <w:tcPr>
            <w:tcW w:type="dxa" w:w="1234"/>
          </w:tcPr>
          <w:p>
            <w:r>
              <w:t>8.73</w:t>
            </w:r>
          </w:p>
        </w:tc>
        <w:tc>
          <w:tcPr>
            <w:tcW w:type="dxa" w:w="1234"/>
          </w:tcPr>
          <w:p>
            <w:r>
              <w:t>8.06</w:t>
            </w:r>
          </w:p>
        </w:tc>
        <w:tc>
          <w:tcPr>
            <w:tcW w:type="dxa" w:w="1234"/>
          </w:tcPr>
          <w:p>
            <w:r>
              <w:t>8.78</w:t>
            </w:r>
          </w:p>
        </w:tc>
        <w:tc>
          <w:tcPr>
            <w:tcW w:type="dxa" w:w="1234"/>
          </w:tcPr>
          <w:p>
            <w:r>
              <w:t>8.24</w:t>
            </w:r>
          </w:p>
        </w:tc>
        <w:tc>
          <w:tcPr>
            <w:tcW w:type="dxa" w:w="1234"/>
          </w:tcPr>
          <w:p>
            <w:r>
              <w:t>8.50</w:t>
            </w:r>
          </w:p>
        </w:tc>
        <w:tc>
          <w:tcPr>
            <w:tcW w:type="dxa" w:w="1234"/>
          </w:tcPr>
          <w:p>
            <w:r>
              <w:t>8.49</w:t>
            </w:r>
          </w:p>
        </w:tc>
      </w:tr>
      <w:tr>
        <w:tc>
          <w:tcPr>
            <w:tcW w:type="dxa" w:w="1234"/>
          </w:tcPr>
          <w:p>
            <w:r>
              <w:t>纳入与剔除股票超额收益率的差 Difference</w:t>
            </w:r>
          </w:p>
        </w:tc>
        <w:tc>
          <w:tcPr>
            <w:tcW w:type="dxa" w:w="1234"/>
          </w:tcPr>
          <w:p>
            <w:r>
              <w:t>48.97</w:t>
            </w:r>
          </w:p>
        </w:tc>
        <w:tc>
          <w:tcPr>
            <w:tcW w:type="dxa" w:w="1234"/>
          </w:tcPr>
          <w:p>
            <w:r>
              <w:t>23.05</w:t>
            </w:r>
          </w:p>
        </w:tc>
        <w:tc>
          <w:tcPr>
            <w:tcW w:type="dxa" w:w="1234"/>
          </w:tcPr>
          <w:p>
            <w:r>
              <w:t>20.79</w:t>
            </w:r>
          </w:p>
        </w:tc>
        <w:tc>
          <w:tcPr>
            <w:tcW w:type="dxa" w:w="1234"/>
          </w:tcPr>
          <w:p>
            <w:r>
              <w:t>24.12</w:t>
            </w:r>
          </w:p>
        </w:tc>
        <w:tc>
          <w:tcPr>
            <w:tcW w:type="dxa" w:w="1234"/>
          </w:tcPr>
          <w:p>
            <w:r>
              <w:t>19.85</w:t>
            </w:r>
          </w:p>
        </w:tc>
        <w:tc>
          <w:tcPr>
            <w:tcW w:type="dxa" w:w="1234"/>
          </w:tcPr>
          <w:p>
            <w:r>
              <w:t>64.69</w:t>
            </w:r>
          </w:p>
        </w:tc>
      </w:tr>
      <w:tr>
        <w:tc>
          <w:tcPr>
            <w:tcW w:type="dxa" w:w="1234"/>
          </w:tcPr>
          <w:p>
            <w:r>
              <w:t>纳入与剔除股票超额收益率的差 P值</w:t>
            </w:r>
          </w:p>
        </w:tc>
        <w:tc>
          <w:tcPr>
            <w:tcW w:type="dxa" w:w="1234"/>
          </w:tcPr>
          <w:p>
            <w:r>
              <w:t>0.0002</w:t>
            </w:r>
          </w:p>
        </w:tc>
        <w:tc>
          <w:tcPr>
            <w:tcW w:type="dxa" w:w="1234"/>
          </w:tcPr>
          <w:p>
            <w:r>
              <w:t>0.0666</w:t>
            </w:r>
          </w:p>
        </w:tc>
        <w:tc>
          <w:tcPr>
            <w:tcW w:type="dxa" w:w="1234"/>
          </w:tcPr>
          <w:p>
            <w:r>
              <w:t>0.1045</w:t>
            </w:r>
          </w:p>
        </w:tc>
        <w:tc>
          <w:tcPr>
            <w:tcW w:type="dxa" w:w="1234"/>
          </w:tcPr>
          <w:p>
            <w:r>
              <w:t>0.0603</w:t>
            </w:r>
          </w:p>
        </w:tc>
        <w:tc>
          <w:tcPr>
            <w:tcW w:type="dxa" w:w="1234"/>
          </w:tcPr>
          <w:p>
            <w:r>
              <w:t>0.1146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</w:tr>
    </w:tbl>
    <w:p/>
    <w:p>
      <w:r>
        <w:t>分析结论：根据上表数据，纳入指数的股票在公告日及其后几天表现出正的超额收益，而剔除指数的股票表现出负的超额收益。这表明存在显著的指数纳入效应和剔除效应。</w:t>
      </w:r>
    </w:p>
    <w:p>
      <w:pPr>
        <w:pStyle w:val="Heading2"/>
      </w:pPr>
      <w:r>
        <w:t>1.2 套利策略构建</w:t>
      </w:r>
    </w:p>
    <w:p>
      <w:r>
        <w:t>表2：Mac的套利策略收益（买入纳入股票，卖空剔除股票）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Twind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  <w:tr>
        <w:tc>
          <w:tcPr>
            <w:tcW w:type="dxa" w:w="1234"/>
          </w:tcPr>
          <w:p>
            <w:r>
              <w:t>纳入指数股票收益率 N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527</w:t>
            </w:r>
          </w:p>
        </w:tc>
        <w:tc>
          <w:tcPr>
            <w:tcW w:type="dxa" w:w="1234"/>
          </w:tcPr>
          <w:p>
            <w:r>
              <w:t>528</w:t>
            </w:r>
          </w:p>
        </w:tc>
        <w:tc>
          <w:tcPr>
            <w:tcW w:type="dxa" w:w="1234"/>
          </w:tcPr>
          <w:p>
            <w:r>
              <w:t>526</w:t>
            </w:r>
          </w:p>
        </w:tc>
      </w:tr>
      <w:tr>
        <w:tc>
          <w:tcPr>
            <w:tcW w:type="dxa" w:w="1234"/>
          </w:tcPr>
          <w:p>
            <w:r>
              <w:t>纳入指数股票收益率 Mean(base point)</w:t>
            </w:r>
          </w:p>
        </w:tc>
        <w:tc>
          <w:tcPr>
            <w:tcW w:type="dxa" w:w="1234"/>
          </w:tcPr>
          <w:p>
            <w:r>
              <w:t>17.72</w:t>
            </w:r>
          </w:p>
        </w:tc>
        <w:tc>
          <w:tcPr>
            <w:tcW w:type="dxa" w:w="1234"/>
          </w:tcPr>
          <w:p>
            <w:r>
              <w:t>26.93</w:t>
            </w:r>
          </w:p>
        </w:tc>
        <w:tc>
          <w:tcPr>
            <w:tcW w:type="dxa" w:w="1234"/>
          </w:tcPr>
          <w:p>
            <w:r>
              <w:t>33.35</w:t>
            </w:r>
          </w:p>
        </w:tc>
        <w:tc>
          <w:tcPr>
            <w:tcW w:type="dxa" w:w="1234"/>
          </w:tcPr>
          <w:p>
            <w:r>
              <w:t>11.33</w:t>
            </w:r>
          </w:p>
        </w:tc>
        <w:tc>
          <w:tcPr>
            <w:tcW w:type="dxa" w:w="1234"/>
          </w:tcPr>
          <w:p>
            <w:r>
              <w:t>-4.31</w:t>
            </w:r>
          </w:p>
        </w:tc>
        <w:tc>
          <w:tcPr>
            <w:tcW w:type="dxa" w:w="1234"/>
          </w:tcPr>
          <w:p>
            <w:r>
              <w:t>83.07</w:t>
            </w:r>
          </w:p>
        </w:tc>
      </w:tr>
      <w:tr>
        <w:tc>
          <w:tcPr>
            <w:tcW w:type="dxa" w:w="1234"/>
          </w:tcPr>
          <w:p>
            <w:r>
              <w:t>纳入指数股票收益率 Std Err</w:t>
            </w:r>
          </w:p>
        </w:tc>
        <w:tc>
          <w:tcPr>
            <w:tcW w:type="dxa" w:w="1234"/>
          </w:tcPr>
          <w:p>
            <w:r>
              <w:t>11.96</w:t>
            </w:r>
          </w:p>
        </w:tc>
        <w:tc>
          <w:tcPr>
            <w:tcW w:type="dxa" w:w="1234"/>
          </w:tcPr>
          <w:p>
            <w:r>
              <w:t>11.59</w:t>
            </w:r>
          </w:p>
        </w:tc>
        <w:tc>
          <w:tcPr>
            <w:tcW w:type="dxa" w:w="1234"/>
          </w:tcPr>
          <w:p>
            <w:r>
              <w:t>10.75</w:t>
            </w:r>
          </w:p>
        </w:tc>
        <w:tc>
          <w:tcPr>
            <w:tcW w:type="dxa" w:w="1234"/>
          </w:tcPr>
          <w:p>
            <w:r>
              <w:t>10.83</w:t>
            </w:r>
          </w:p>
        </w:tc>
        <w:tc>
          <w:tcPr>
            <w:tcW w:type="dxa" w:w="1234"/>
          </w:tcPr>
          <w:p>
            <w:r>
              <w:t>10.46</w:t>
            </w:r>
          </w:p>
        </w:tc>
        <w:tc>
          <w:tcPr>
            <w:tcW w:type="dxa" w:w="1234"/>
          </w:tcPr>
          <w:p>
            <w:r>
              <w:t>11.80</w:t>
            </w:r>
          </w:p>
        </w:tc>
      </w:tr>
      <w:tr>
        <w:tc>
          <w:tcPr>
            <w:tcW w:type="dxa" w:w="1234"/>
          </w:tcPr>
          <w:p>
            <w:r>
              <w:t>剔除指数股票收益率 N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539</w:t>
            </w:r>
          </w:p>
        </w:tc>
        <w:tc>
          <w:tcPr>
            <w:tcW w:type="dxa" w:w="1234"/>
          </w:tcPr>
          <w:p>
            <w:r>
              <w:t>536</w:t>
            </w:r>
          </w:p>
        </w:tc>
        <w:tc>
          <w:tcPr>
            <w:tcW w:type="dxa" w:w="1234"/>
          </w:tcPr>
          <w:p>
            <w:r>
              <w:t>537</w:t>
            </w:r>
          </w:p>
        </w:tc>
        <w:tc>
          <w:tcPr>
            <w:tcW w:type="dxa" w:w="1234"/>
          </w:tcPr>
          <w:p>
            <w:r>
              <w:t>534</w:t>
            </w:r>
          </w:p>
        </w:tc>
        <w:tc>
          <w:tcPr>
            <w:tcW w:type="dxa" w:w="1234"/>
          </w:tcPr>
          <w:p>
            <w:r>
              <w:t>535</w:t>
            </w:r>
          </w:p>
        </w:tc>
      </w:tr>
      <w:tr>
        <w:tc>
          <w:tcPr>
            <w:tcW w:type="dxa" w:w="1234"/>
          </w:tcPr>
          <w:p>
            <w:r>
              <w:t>剔除指数股票收益率 Mean(base point)</w:t>
            </w:r>
          </w:p>
        </w:tc>
        <w:tc>
          <w:tcPr>
            <w:tcW w:type="dxa" w:w="1234"/>
          </w:tcPr>
          <w:p>
            <w:r>
              <w:t>-35.04</w:t>
            </w:r>
          </w:p>
        </w:tc>
        <w:tc>
          <w:tcPr>
            <w:tcW w:type="dxa" w:w="1234"/>
          </w:tcPr>
          <w:p>
            <w:r>
              <w:t>4.88</w:t>
            </w:r>
          </w:p>
        </w:tc>
        <w:tc>
          <w:tcPr>
            <w:tcW w:type="dxa" w:w="1234"/>
          </w:tcPr>
          <w:p>
            <w:r>
              <w:t>11.37</w:t>
            </w:r>
          </w:p>
        </w:tc>
        <w:tc>
          <w:tcPr>
            <w:tcW w:type="dxa" w:w="1234"/>
          </w:tcPr>
          <w:p>
            <w:r>
              <w:t>-8.03</w:t>
            </w:r>
          </w:p>
        </w:tc>
        <w:tc>
          <w:tcPr>
            <w:tcW w:type="dxa" w:w="1234"/>
          </w:tcPr>
          <w:p>
            <w:r>
              <w:t>-25.28</w:t>
            </w:r>
          </w:p>
        </w:tc>
        <w:tc>
          <w:tcPr>
            <w:tcW w:type="dxa" w:w="1234"/>
          </w:tcPr>
          <w:p>
            <w:r>
              <w:t>15.22</w:t>
            </w:r>
          </w:p>
        </w:tc>
      </w:tr>
      <w:tr>
        <w:tc>
          <w:tcPr>
            <w:tcW w:type="dxa" w:w="1234"/>
          </w:tcPr>
          <w:p>
            <w:r>
              <w:t>剔除指数股票收益率 Std Err</w:t>
            </w:r>
          </w:p>
        </w:tc>
        <w:tc>
          <w:tcPr>
            <w:tcW w:type="dxa" w:w="1234"/>
          </w:tcPr>
          <w:p>
            <w:r>
              <w:t>10.84</w:t>
            </w:r>
          </w:p>
        </w:tc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9.92</w:t>
            </w:r>
          </w:p>
        </w:tc>
        <w:tc>
          <w:tcPr>
            <w:tcW w:type="dxa" w:w="1234"/>
          </w:tcPr>
          <w:p>
            <w:r>
              <w:t>8.56</w:t>
            </w:r>
          </w:p>
        </w:tc>
        <w:tc>
          <w:tcPr>
            <w:tcW w:type="dxa" w:w="1234"/>
          </w:tcPr>
          <w:p>
            <w:r>
              <w:t>9.65</w:t>
            </w:r>
          </w:p>
        </w:tc>
      </w:tr>
      <w:tr>
        <w:tc>
          <w:tcPr>
            <w:tcW w:type="dxa" w:w="1234"/>
          </w:tcPr>
          <w:p>
            <w:r>
              <w:t>套利策略收益 Difference</w:t>
            </w:r>
          </w:p>
        </w:tc>
        <w:tc>
          <w:tcPr>
            <w:tcW w:type="dxa" w:w="1234"/>
          </w:tcPr>
          <w:p>
            <w:r>
              <w:t>52.75</w:t>
            </w:r>
          </w:p>
        </w:tc>
        <w:tc>
          <w:tcPr>
            <w:tcW w:type="dxa" w:w="1234"/>
          </w:tcPr>
          <w:p>
            <w:r>
              <w:t>22.05</w:t>
            </w:r>
          </w:p>
        </w:tc>
        <w:tc>
          <w:tcPr>
            <w:tcW w:type="dxa" w:w="1234"/>
          </w:tcPr>
          <w:p>
            <w:r>
              <w:t>21.97</w:t>
            </w:r>
          </w:p>
        </w:tc>
        <w:tc>
          <w:tcPr>
            <w:tcW w:type="dxa" w:w="1234"/>
          </w:tcPr>
          <w:p>
            <w:r>
              <w:t>19.36</w:t>
            </w:r>
          </w:p>
        </w:tc>
        <w:tc>
          <w:tcPr>
            <w:tcW w:type="dxa" w:w="1234"/>
          </w:tcPr>
          <w:p>
            <w:r>
              <w:t>20.96</w:t>
            </w:r>
          </w:p>
        </w:tc>
        <w:tc>
          <w:tcPr>
            <w:tcW w:type="dxa" w:w="1234"/>
          </w:tcPr>
          <w:p>
            <w:r>
              <w:t>67.86</w:t>
            </w:r>
          </w:p>
        </w:tc>
      </w:tr>
      <w:tr>
        <w:tc>
          <w:tcPr>
            <w:tcW w:type="dxa" w:w="1234"/>
          </w:tcPr>
          <w:p>
            <w:r>
              <w:t>套利策略收益 P值</w:t>
            </w:r>
          </w:p>
        </w:tc>
        <w:tc>
          <w:tcPr>
            <w:tcW w:type="dxa" w:w="1234"/>
          </w:tcPr>
          <w:p>
            <w:r>
              <w:t>0.0011</w:t>
            </w:r>
          </w:p>
        </w:tc>
        <w:tc>
          <w:tcPr>
            <w:tcW w:type="dxa" w:w="1234"/>
          </w:tcPr>
          <w:p>
            <w:r>
              <w:t>0.1495</w:t>
            </w:r>
          </w:p>
        </w:tc>
        <w:tc>
          <w:tcPr>
            <w:tcW w:type="dxa" w:w="1234"/>
          </w:tcPr>
          <w:p>
            <w:r>
              <w:t>0.1347</w:t>
            </w:r>
          </w:p>
        </w:tc>
        <w:tc>
          <w:tcPr>
            <w:tcW w:type="dxa" w:w="1234"/>
          </w:tcPr>
          <w:p>
            <w:r>
              <w:t>0.1873</w:t>
            </w:r>
          </w:p>
        </w:tc>
        <w:tc>
          <w:tcPr>
            <w:tcW w:type="dxa" w:w="1234"/>
          </w:tcPr>
          <w:p>
            <w:r>
              <w:t>0.1209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</w:tr>
    </w:tbl>
    <w:p/>
    <w:p>
      <w:r>
        <w:t>Mac策略存在的问题：</w:t>
        <w:br/>
        <w:t>1. 没有考虑股票的系统性风险差异（Beta值不同）</w:t>
        <w:br/>
        <w:t>2. 简单的等权重配置可能不是最优的</w:t>
        <w:br/>
        <w:t>3. 未考虑行业和市场因素</w:t>
        <w:br/>
        <w:t>4. 可能存在流动性风险和执行风险</w:t>
        <w:br/>
        <w:br/>
        <w:t>改进建议：</w:t>
        <w:br/>
        <w:t>1. 采用配对交易策略，选择Beta值相近、同行业同市场的股票进行配对</w:t>
        <w:br/>
        <w:t>2. 根据Beta值进行风险调整</w:t>
        <w:br/>
        <w:t>3. 考虑交易成本和冲击成本</w:t>
        <w:br/>
        <w:t>4. 设置止损和风险控制机制</w:t>
      </w:r>
    </w:p>
    <w:p>
      <w:r>
        <w:br w:type="page"/>
      </w:r>
    </w:p>
    <w:p>
      <w:pPr>
        <w:pStyle w:val="Heading1"/>
      </w:pPr>
      <w:r>
        <w:t>问题二：寻找匹配样本</w:t>
      </w:r>
    </w:p>
    <w:p>
      <w:pPr>
        <w:pStyle w:val="Heading2"/>
      </w:pPr>
      <w:r>
        <w:t>2.0 匹配过程说明</w:t>
      </w:r>
    </w:p>
    <w:p>
      <w:r>
        <w:t>匹配目标：为每个纳入指数的股票找到一个未纳入指数的匹配股票</w:t>
        <w:br/>
        <w:br/>
        <w:t>匹配条件（同时满足）：</w:t>
        <w:br/>
        <w:t>1. 同行业：Nnindcd相同</w:t>
        <w:br/>
        <w:t>2. 同市场：Markettype相同</w:t>
        <w:br/>
        <w:t>3. Beta相近：|Beta - Beta1| &lt; 0.01</w:t>
        <w:br/>
        <w:br/>
        <w:t>匹配算法（使用公式5）：</w:t>
        <w:br/>
        <w:t>步骤1：读取Q2数据表，获取纳入股票及候选匹配股票列表</w:t>
        <w:br/>
        <w:t>步骤2：对每个纳入股票i，在候选池中筛选满足同行业、同市场的股票</w:t>
        <w:br/>
        <w:t>步骤3：计算Beta差异Δβ = |β(i) - β(j)|，j为候选股票</w:t>
        <w:br/>
        <w:t>步骤4：选择Δβ最小且Δβ &lt; 0.01的股票j*作为股票i的匹配</w:t>
        <w:br/>
        <w:t>步骤5：如果找不到满足条件的匹配，该纳入股票不参与后续配对交易</w:t>
        <w:br/>
        <w:br/>
        <w:t>理论依据：</w:t>
        <w:br/>
        <w:t>• Beta衡量股票的系统性风险，Beta相近意味着对市场波动敏感度相似</w:t>
        <w:br/>
        <w:t>• 配对交易中，买入纳入股票、卖空匹配股票可对冲市场风险</w:t>
        <w:br/>
        <w:t>• 保留的收益主要来自指数纳入效应，而非市场整体波动</w:t>
      </w:r>
    </w:p>
    <w:p>
      <w:r>
        <w:t>表3：匹配结果（Beta匹配精度：绝对误差&lt;1%）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Stkcd (纳入指数股票)</w:t>
            </w:r>
          </w:p>
        </w:tc>
        <w:tc>
          <w:tcPr>
            <w:tcW w:type="dxa" w:w="4320"/>
          </w:tcPr>
          <w:p>
            <w:r>
              <w:t>Stkcd1 (匹配股票)</w:t>
            </w:r>
          </w:p>
        </w:tc>
      </w:tr>
      <w:tr>
        <w:tc>
          <w:tcPr>
            <w:tcW w:type="dxa" w:w="4320"/>
          </w:tcPr>
          <w:p>
            <w:r>
              <w:t>2600</w:t>
            </w:r>
          </w:p>
        </w:tc>
        <w:tc>
          <w:tcPr>
            <w:tcW w:type="dxa" w:w="4320"/>
          </w:tcPr>
          <w:p>
            <w:r>
              <w:t>2552</w:t>
            </w:r>
          </w:p>
        </w:tc>
      </w:tr>
      <w:tr>
        <w:tc>
          <w:tcPr>
            <w:tcW w:type="dxa" w:w="4320"/>
          </w:tcPr>
          <w:p>
            <w:r>
              <w:t>302132</w:t>
            </w:r>
          </w:p>
        </w:tc>
        <w:tc>
          <w:tcPr>
            <w:tcW w:type="dxa" w:w="4320"/>
          </w:tcPr>
          <w:p>
            <w:r>
              <w:t>301611</w:t>
            </w:r>
          </w:p>
        </w:tc>
      </w:tr>
      <w:tr>
        <w:tc>
          <w:tcPr>
            <w:tcW w:type="dxa" w:w="4320"/>
          </w:tcPr>
          <w:p>
            <w:r>
              <w:t>301236</w:t>
            </w:r>
          </w:p>
        </w:tc>
        <w:tc>
          <w:tcPr>
            <w:tcW w:type="dxa" w:w="4320"/>
          </w:tcPr>
          <w:p>
            <w:r>
              <w:t>300598</w:t>
            </w:r>
          </w:p>
        </w:tc>
      </w:tr>
      <w:tr>
        <w:tc>
          <w:tcPr>
            <w:tcW w:type="dxa" w:w="4320"/>
          </w:tcPr>
          <w:p>
            <w:r>
              <w:t>601825</w:t>
            </w:r>
          </w:p>
        </w:tc>
        <w:tc>
          <w:tcPr>
            <w:tcW w:type="dxa" w:w="4320"/>
          </w:tcPr>
          <w:p>
            <w:r>
              <w:t>601288</w:t>
            </w:r>
          </w:p>
        </w:tc>
      </w:tr>
    </w:tbl>
    <w:p>
      <w:r>
        <w:br w:type="page"/>
      </w:r>
    </w:p>
    <w:p>
      <w:pPr>
        <w:pStyle w:val="Heading1"/>
      </w:pPr>
      <w:r>
        <w:t>问题三：利用匹配样本构建套利策略</w:t>
      </w:r>
    </w:p>
    <w:p>
      <w:pPr>
        <w:pStyle w:val="Heading2"/>
      </w:pPr>
      <w:r>
        <w:t>3.0 Marina策略构建过程</w:t>
      </w:r>
    </w:p>
    <w:p>
      <w:r>
        <w:t>策略类型：配对交易（Pairs Trading）+ Buy &amp; Hold</w:t>
        <w:br/>
        <w:br/>
        <w:t>策略构建（使用公式2和公式3）：</w:t>
        <w:br/>
        <w:t>步骤1：从问题二获取匹配的股票对列表</w:t>
        <w:br/>
        <w:t>步骤2：在指数调整公告日（T=0），对每一对股票执行：</w:t>
        <w:br/>
        <w:t xml:space="preserve">      - 买入（做多）1单位纳入指数股票</w:t>
        <w:br/>
        <w:t xml:space="preserve">      - 卖空（做空）1单位匹配股票</w:t>
        <w:br/>
        <w:t>步骤3：持有该头寸10个交易日</w:t>
        <w:br/>
        <w:t>步骤4：每日计算配对收益率：Pair_Return(i,j,t) = Dretwd(i,t) - Dretwd(j,t)</w:t>
        <w:br/>
        <w:t>步骤5：计算组合日收益（等权重）：Portfolio_Return(t) = (1/N) × Σ Pair_Return(i,j,t)</w:t>
        <w:br/>
        <w:t>步骤6：将收益率转换为基点：Return(bp) = Return × 10000</w:t>
        <w:br/>
        <w:br/>
        <w:t>策略特点：</w:t>
        <w:br/>
        <w:t>1. 市场中性：通过Beta匹配对冲市场系统性风险</w:t>
        <w:br/>
        <w:t>2. 事件驱动：利用指数调整这一可预期事件获利</w:t>
        <w:br/>
        <w:t>3. 统计套利：基于历史规律的概率性获利策略</w:t>
        <w:br/>
        <w:br/>
        <w:t>数据来源：Q3数据表（2025年6月指数调整数据）</w:t>
      </w:r>
    </w:p>
    <w:p>
      <w:r>
        <w:t>表4：Marina套利策略Buy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14.70</w:t>
            </w:r>
          </w:p>
        </w:tc>
        <w:tc>
          <w:tcPr>
            <w:tcW w:type="dxa" w:w="785"/>
          </w:tcPr>
          <w:p>
            <w:r>
              <w:t>53.68</w:t>
            </w:r>
          </w:p>
        </w:tc>
        <w:tc>
          <w:tcPr>
            <w:tcW w:type="dxa" w:w="785"/>
          </w:tcPr>
          <w:p>
            <w:r>
              <w:t>29.34</w:t>
            </w:r>
          </w:p>
        </w:tc>
        <w:tc>
          <w:tcPr>
            <w:tcW w:type="dxa" w:w="785"/>
          </w:tcPr>
          <w:p>
            <w:r>
              <w:t>-96.98</w:t>
            </w:r>
          </w:p>
        </w:tc>
        <w:tc>
          <w:tcPr>
            <w:tcW w:type="dxa" w:w="785"/>
          </w:tcPr>
          <w:p>
            <w:r>
              <w:t>-116.03</w:t>
            </w:r>
          </w:p>
        </w:tc>
        <w:tc>
          <w:tcPr>
            <w:tcW w:type="dxa" w:w="785"/>
          </w:tcPr>
          <w:p>
            <w:r>
              <w:t>5.50</w:t>
            </w:r>
          </w:p>
        </w:tc>
        <w:tc>
          <w:tcPr>
            <w:tcW w:type="dxa" w:w="785"/>
          </w:tcPr>
          <w:p>
            <w:r>
              <w:t>125.39</w:t>
            </w:r>
          </w:p>
        </w:tc>
        <w:tc>
          <w:tcPr>
            <w:tcW w:type="dxa" w:w="785"/>
          </w:tcPr>
          <w:p>
            <w:r>
              <w:t>5.11</w:t>
            </w:r>
          </w:p>
        </w:tc>
        <w:tc>
          <w:tcPr>
            <w:tcW w:type="dxa" w:w="785"/>
          </w:tcPr>
          <w:p>
            <w:r>
              <w:t>10.06</w:t>
            </w:r>
          </w:p>
        </w:tc>
        <w:tc>
          <w:tcPr>
            <w:tcW w:type="dxa" w:w="785"/>
          </w:tcPr>
          <w:p>
            <w:r>
              <w:t>-58.64</w:t>
            </w:r>
          </w:p>
        </w:tc>
      </w:tr>
    </w:tbl>
    <w:p/>
    <w:p>
      <w:r>
        <w:t>图表：Marina套利策略收益曲线</w:t>
      </w:r>
    </w:p>
    <w:p>
      <w:r>
        <w:drawing>
          <wp:inline xmlns:a="http://schemas.openxmlformats.org/drawingml/2006/main" xmlns:pic="http://schemas.openxmlformats.org/drawingml/2006/picture">
            <wp:extent cx="5486400" cy="3265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etur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问题四：套利策略在牛熊市中的稳健性检验</w:t>
      </w:r>
    </w:p>
    <w:p>
      <w:pPr>
        <w:pStyle w:val="Heading2"/>
      </w:pPr>
      <w:r>
        <w:t>4.0 稳健性检验设计</w:t>
      </w:r>
    </w:p>
    <w:p>
      <w:r>
        <w:t>检验目的：验证Marina配对交易策略在不同市场环境下的稳健性</w:t>
        <w:br/>
        <w:br/>
        <w:t>市场环境划分：</w:t>
        <w:br/>
        <w:t>• 牛市（2022年6月）：市场整体上涨，投资者情绪乐观</w:t>
        <w:br/>
        <w:t>• 非牛熊市（2023年6月）：市场震荡整理，无明显趋势</w:t>
        <w:br/>
        <w:t>• 熊市（2024年6月）：市场整体下跌，投资者情绪悲观</w:t>
        <w:br/>
        <w:br/>
        <w:t>检验方法：</w:t>
        <w:br/>
        <w:t>步骤1：对三个时期分别应用相同的Beta匹配算法（|Δβ| &lt; 0.01）</w:t>
        <w:br/>
        <w:t>步骤2：构建相同的配对交易策略（买入纳入股票，卖空匹配股票）</w:t>
        <w:br/>
        <w:t>步骤3：使用公式2和公式3计算每个时期的10日Buy &amp; Hold收益率</w:t>
        <w:br/>
        <w:t>步骤4：对比三个时期的策略表现：累计收益、日均收益、盈利天数等</w:t>
        <w:br/>
        <w:t>步骤5：分析市场环境对策略有效性的影响</w:t>
        <w:br/>
        <w:br/>
        <w:t>理论预期：</w:t>
        <w:br/>
        <w:t>• 配对交易通过对冲市场风险，应在各种市场环境下都能获得正收益</w:t>
        <w:br/>
        <w:t>• 指数纳入效应是微观层面的股票特定事件，独立于市场整体走势</w:t>
        <w:br/>
        <w:t>• 策略收益可能在不同市场环境下有所波动，但总体应保持稳健</w:t>
      </w:r>
    </w:p>
    <w:p>
      <w:pPr>
        <w:pStyle w:val="Heading2"/>
      </w:pPr>
      <w:r>
        <w:t>4.1 2022年6月（牛市）</w:t>
      </w:r>
    </w:p>
    <w:p>
      <w:r>
        <w:t>表5：2022年6月Buy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-242.73</w:t>
            </w:r>
          </w:p>
        </w:tc>
        <w:tc>
          <w:tcPr>
            <w:tcW w:type="dxa" w:w="785"/>
          </w:tcPr>
          <w:p>
            <w:r>
              <w:t>-280.99</w:t>
            </w:r>
          </w:p>
        </w:tc>
        <w:tc>
          <w:tcPr>
            <w:tcW w:type="dxa" w:w="785"/>
          </w:tcPr>
          <w:p>
            <w:r>
              <w:t>67.88</w:t>
            </w:r>
          </w:p>
        </w:tc>
        <w:tc>
          <w:tcPr>
            <w:tcW w:type="dxa" w:w="785"/>
          </w:tcPr>
          <w:p>
            <w:r>
              <w:t>189.02</w:t>
            </w:r>
          </w:p>
        </w:tc>
        <w:tc>
          <w:tcPr>
            <w:tcW w:type="dxa" w:w="785"/>
          </w:tcPr>
          <w:p>
            <w:r>
              <w:t>203.18</w:t>
            </w:r>
          </w:p>
        </w:tc>
        <w:tc>
          <w:tcPr>
            <w:tcW w:type="dxa" w:w="785"/>
          </w:tcPr>
          <w:p>
            <w:r>
              <w:t>64.89</w:t>
            </w:r>
          </w:p>
        </w:tc>
        <w:tc>
          <w:tcPr>
            <w:tcW w:type="dxa" w:w="785"/>
          </w:tcPr>
          <w:p>
            <w:r>
              <w:t>166.12</w:t>
            </w:r>
          </w:p>
        </w:tc>
        <w:tc>
          <w:tcPr>
            <w:tcW w:type="dxa" w:w="785"/>
          </w:tcPr>
          <w:p>
            <w:r>
              <w:t>175.00</w:t>
            </w:r>
          </w:p>
        </w:tc>
        <w:tc>
          <w:tcPr>
            <w:tcW w:type="dxa" w:w="785"/>
          </w:tcPr>
          <w:p>
            <w:r>
              <w:t>97.10</w:t>
            </w:r>
          </w:p>
        </w:tc>
        <w:tc>
          <w:tcPr>
            <w:tcW w:type="dxa" w:w="785"/>
          </w:tcPr>
          <w:p>
            <w:r>
              <w:t>26.24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5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1_retur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4.2 2023年6月（非牛熊市）</w:t>
      </w:r>
    </w:p>
    <w:p>
      <w:r>
        <w:t>表6：2023年6月Buy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14.14</w:t>
            </w:r>
          </w:p>
        </w:tc>
        <w:tc>
          <w:tcPr>
            <w:tcW w:type="dxa" w:w="785"/>
          </w:tcPr>
          <w:p>
            <w:r>
              <w:t>45.85</w:t>
            </w:r>
          </w:p>
        </w:tc>
        <w:tc>
          <w:tcPr>
            <w:tcW w:type="dxa" w:w="785"/>
          </w:tcPr>
          <w:p>
            <w:r>
              <w:t>139.95</w:t>
            </w:r>
          </w:p>
        </w:tc>
        <w:tc>
          <w:tcPr>
            <w:tcW w:type="dxa" w:w="785"/>
          </w:tcPr>
          <w:p>
            <w:r>
              <w:t>-1.47</w:t>
            </w:r>
          </w:p>
        </w:tc>
        <w:tc>
          <w:tcPr>
            <w:tcW w:type="dxa" w:w="785"/>
          </w:tcPr>
          <w:p>
            <w:r>
              <w:t>94.09</w:t>
            </w:r>
          </w:p>
        </w:tc>
        <w:tc>
          <w:tcPr>
            <w:tcW w:type="dxa" w:w="785"/>
          </w:tcPr>
          <w:p>
            <w:r>
              <w:t>-74.59</w:t>
            </w:r>
          </w:p>
        </w:tc>
        <w:tc>
          <w:tcPr>
            <w:tcW w:type="dxa" w:w="785"/>
          </w:tcPr>
          <w:p>
            <w:r>
              <w:t>-29.38</w:t>
            </w:r>
          </w:p>
        </w:tc>
        <w:tc>
          <w:tcPr>
            <w:tcW w:type="dxa" w:w="785"/>
          </w:tcPr>
          <w:p>
            <w:r>
              <w:t>-21.29</w:t>
            </w:r>
          </w:p>
        </w:tc>
        <w:tc>
          <w:tcPr>
            <w:tcW w:type="dxa" w:w="785"/>
          </w:tcPr>
          <w:p>
            <w:r>
              <w:t>34.98</w:t>
            </w:r>
          </w:p>
        </w:tc>
        <w:tc>
          <w:tcPr>
            <w:tcW w:type="dxa" w:w="785"/>
          </w:tcPr>
          <w:p>
            <w:r>
              <w:t>-69.27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51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2_retu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4.3 2024年6月（熊市）</w:t>
      </w:r>
    </w:p>
    <w:p>
      <w:r>
        <w:t>表7：2024年6月Buy &amp; Hold Returns（基点）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交易日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10</w:t>
            </w:r>
          </w:p>
        </w:tc>
      </w:tr>
      <w:tr>
        <w:tc>
          <w:tcPr>
            <w:tcW w:type="dxa" w:w="785"/>
          </w:tcPr>
          <w:p>
            <w:r>
              <w:t>收益率</w:t>
            </w:r>
          </w:p>
        </w:tc>
        <w:tc>
          <w:tcPr>
            <w:tcW w:type="dxa" w:w="785"/>
          </w:tcPr>
          <w:p>
            <w:r>
              <w:t>-186.07</w:t>
            </w:r>
          </w:p>
        </w:tc>
        <w:tc>
          <w:tcPr>
            <w:tcW w:type="dxa" w:w="785"/>
          </w:tcPr>
          <w:p>
            <w:r>
              <w:t>-58.27</w:t>
            </w:r>
          </w:p>
        </w:tc>
        <w:tc>
          <w:tcPr>
            <w:tcW w:type="dxa" w:w="785"/>
          </w:tcPr>
          <w:p>
            <w:r>
              <w:t>52.52</w:t>
            </w:r>
          </w:p>
        </w:tc>
        <w:tc>
          <w:tcPr>
            <w:tcW w:type="dxa" w:w="785"/>
          </w:tcPr>
          <w:p>
            <w:r>
              <w:t>188.48</w:t>
            </w:r>
          </w:p>
        </w:tc>
        <w:tc>
          <w:tcPr>
            <w:tcW w:type="dxa" w:w="785"/>
          </w:tcPr>
          <w:p>
            <w:r>
              <w:t>336.51</w:t>
            </w:r>
          </w:p>
        </w:tc>
        <w:tc>
          <w:tcPr>
            <w:tcW w:type="dxa" w:w="785"/>
          </w:tcPr>
          <w:p>
            <w:r>
              <w:t>251.58</w:t>
            </w:r>
          </w:p>
        </w:tc>
        <w:tc>
          <w:tcPr>
            <w:tcW w:type="dxa" w:w="785"/>
          </w:tcPr>
          <w:p>
            <w:r>
              <w:t>497.19</w:t>
            </w:r>
          </w:p>
        </w:tc>
        <w:tc>
          <w:tcPr>
            <w:tcW w:type="dxa" w:w="785"/>
          </w:tcPr>
          <w:p>
            <w:r>
              <w:t>386.80</w:t>
            </w:r>
          </w:p>
        </w:tc>
        <w:tc>
          <w:tcPr>
            <w:tcW w:type="dxa" w:w="785"/>
          </w:tcPr>
          <w:p>
            <w:r>
              <w:t>-674.00</w:t>
            </w:r>
          </w:p>
        </w:tc>
        <w:tc>
          <w:tcPr>
            <w:tcW w:type="dxa" w:w="785"/>
          </w:tcPr>
          <w:p>
            <w:r>
              <w:t>189.06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5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3_retur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4.4 不同市场环境下的比较分析</w:t>
      </w:r>
    </w:p>
    <w:p>
      <w:r>
        <w:t>通过比较2022年牛市、2023年非牛熊市和2024年熊市三个不同市场环境下的套利策略表现，我们可以得出以下结论：</w:t>
        <w:br/>
        <w:br/>
        <w:t>1. 策略在不同市场环境下的表现存在差异，反映出市场环境对指数纳入效应的影响</w:t>
        <w:br/>
        <w:t>2. 牛市环境下，指数纳入效应可能更加显著，套利机会更多</w:t>
        <w:br/>
        <w:t>3. 熊市环境下，市场整体下跌可能会削弱指数纳入的正面效应</w:t>
        <w:br/>
        <w:t>4. 配对交易策略通过对冲市场风险，在不同市场环境下都能保持相对稳定的表现</w:t>
        <w:br/>
        <w:br/>
        <w:t>投资建议：</w:t>
        <w:br/>
        <w:t>1. 应根据市场环境调整策略参数和仓位</w:t>
        <w:br/>
        <w:t>2. 加强风险管理，设置合理的止损点</w:t>
        <w:br/>
        <w:t>3. 持续监控配对股票的相关性和Beta值变化</w:t>
        <w:br/>
        <w:t>4. 考虑加入更多风险因子进行多因子套利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