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作业3：指数纳入效应套利策略的实现</w:t>
      </w:r>
    </w:p>
    <w:p>
      <w:r>
        <w:t>详细计算过程与Excel实现步骤</w:t>
      </w:r>
    </w:p>
    <w:p>
      <w:r>
        <w:br/>
        <w:t>============================================================</w:t>
      </w:r>
    </w:p>
    <w:p>
      <w:pPr>
        <w:pStyle w:val="Heading1"/>
        <w:jc w:val="left"/>
      </w:pPr>
      <w:r>
        <w:t>问题一：利用纳入和剔除股票做套利</w:t>
      </w:r>
    </w:p>
    <w:p>
      <w:pPr>
        <w:pStyle w:val="Heading2"/>
        <w:jc w:val="left"/>
      </w:pPr>
      <w:r>
        <w:t>一、超额收益率的计算</w:t>
      </w:r>
    </w:p>
    <w:p>
      <w:r>
        <w:t>1. 计算公式：</w:t>
      </w:r>
    </w:p>
    <w:p>
      <w:r>
        <w:rPr>
          <w:rFonts w:ascii="Times New Roman" w:hAnsi="Times New Roman"/>
          <w:sz w:val="22"/>
        </w:rPr>
        <w:t>超额收益率（Abret）= 个股收益率（Dretwd）- Beta × 市场收益率（Dretwdos）</w:t>
      </w:r>
    </w:p>
    <w:p>
      <w:r>
        <w:br/>
        <w:t>2. 公式说明：</w:t>
      </w:r>
    </w:p>
    <w:p>
      <w:r>
        <w:t>• Dretwd：个股日收益率，已由数据提供</w:t>
      </w:r>
    </w:p>
    <w:p>
      <w:r>
        <w:t>• Beta：个股的系统风险系数，已由数据提供</w:t>
      </w:r>
    </w:p>
    <w:p>
      <w:r>
        <w:t>• Dretwdos：市场收益率（沪深300指数收益率），已由数据提供</w:t>
      </w:r>
    </w:p>
    <w:p>
      <w:r>
        <w:t>• Abret：超额收益率，即个股收益率中剔除市场收益影响后的部分</w:t>
      </w:r>
    </w:p>
    <w:p>
      <w:r>
        <w:br/>
        <w:t>3. Excel实现步骤：</w:t>
      </w:r>
    </w:p>
    <w:p>
      <w:r>
        <w:t>步骤1：在Excel中打开"Q1数据"工作表</w:t>
      </w:r>
    </w:p>
    <w:p>
      <w:r>
        <w:t>步骤2：假设Dretwd在I列，Beta在H列，Dretwdos在J列</w:t>
      </w:r>
    </w:p>
    <w:p>
      <w:r>
        <w:t>步骤3：在K列（Abret列）的第2行输入公式：=I2-H2*J2</w:t>
      </w:r>
    </w:p>
    <w:p>
      <w:r>
        <w:t>步骤4：将公式向下拖拽复制到所有数据行</w:t>
      </w:r>
    </w:p>
    <w:p>
      <w:r>
        <w:t>步骤5：这样就得到了每个股票每天的超额收益率</w:t>
      </w:r>
    </w:p>
    <w:p>
      <w:pPr>
        <w:pStyle w:val="Heading2"/>
        <w:jc w:val="left"/>
      </w:pPr>
      <w:r>
        <w:t>二、各时间窗口超额收益率统计</w:t>
      </w:r>
    </w:p>
    <w:p>
      <w:r>
        <w:br/>
        <w:t>4. 统计量计算方法：</w:t>
      </w:r>
    </w:p>
    <w:p>
      <w:r>
        <w:t>• N（样本数）：每个时间窗口内的股票观测数量</w:t>
      </w:r>
    </w:p>
    <w:p>
      <w:r>
        <w:t>• Mean（均值，基点）：超额收益率的平均值 × 10000（转换为基点，1基点=0.01%）</w:t>
      </w:r>
    </w:p>
    <w:p>
      <w:r>
        <w:t>• Std Err（标准误）：标准差 / √N × 10000</w:t>
      </w:r>
    </w:p>
    <w:p>
      <w:r>
        <w:br/>
        <w:t>5. Excel实现步骤：</w:t>
      </w:r>
    </w:p>
    <w:p>
      <w:r>
        <w:t>步骤1：筛选纳入股票（Chgsmp04=1）且Twind=0的数据</w:t>
      </w:r>
    </w:p>
    <w:p>
      <w:r>
        <w:t>步骤2：计算N：使用COUNT函数统计Abret列非空值个数</w:t>
      </w:r>
    </w:p>
    <w:p>
      <w:r>
        <w:t xml:space="preserve">       公式示例：=COUNT(K2:K500) （假设数据在K2到K500）</w:t>
      </w:r>
    </w:p>
    <w:p>
      <w:r>
        <w:t>步骤3：计算Mean：使用AVERAGE函数计算平均值，再乘以10000</w:t>
      </w:r>
    </w:p>
    <w:p>
      <w:r>
        <w:t xml:space="preserve">       公式示例：=AVERAGE(K2:K500)*10000</w:t>
      </w:r>
    </w:p>
    <w:p>
      <w:r>
        <w:t>步骤4：计算Std Err：使用STDEV.S计算标准差，除以SQRT(N)，再乘以10000</w:t>
      </w:r>
    </w:p>
    <w:p>
      <w:r>
        <w:t xml:space="preserve">       公式示例：=STDEV.S(K2:K500)/SQRT(COUNT(K2:K500))*10000</w:t>
      </w:r>
    </w:p>
    <w:p>
      <w:r>
        <w:t>步骤5：对剔除股票（Chgsmp04=2）重复上述步骤</w:t>
      </w:r>
    </w:p>
    <w:p>
      <w:r>
        <w:t>步骤6：对Twind=1,2,3,4,5分别重复上述步骤</w:t>
      </w:r>
    </w:p>
    <w:p>
      <w:pPr>
        <w:pStyle w:val="Heading3"/>
        <w:jc w:val="left"/>
      </w:pPr>
      <w:r>
        <w:t>表1：纳入和剔除股票的超额收益率统计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Twind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纳入指数股票超额收益率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528</w:t>
            </w:r>
          </w:p>
        </w:tc>
        <w:tc>
          <w:tcPr>
            <w:tcW w:type="dxa" w:w="1080"/>
          </w:tcPr>
          <w:p>
            <w:r>
              <w:t>526</w:t>
            </w:r>
          </w:p>
        </w:tc>
        <w:tc>
          <w:tcPr>
            <w:tcW w:type="dxa" w:w="1080"/>
          </w:tcPr>
          <w:p>
            <w:r>
              <w:t>528</w:t>
            </w:r>
          </w:p>
        </w:tc>
        <w:tc>
          <w:tcPr>
            <w:tcW w:type="dxa" w:w="1080"/>
          </w:tcPr>
          <w:p>
            <w:r>
              <w:t>527</w:t>
            </w:r>
          </w:p>
        </w:tc>
        <w:tc>
          <w:tcPr>
            <w:tcW w:type="dxa" w:w="1080"/>
          </w:tcPr>
          <w:p>
            <w:r>
              <w:t>528</w:t>
            </w:r>
          </w:p>
        </w:tc>
        <w:tc>
          <w:tcPr>
            <w:tcW w:type="dxa" w:w="1080"/>
          </w:tcPr>
          <w:p>
            <w:r>
              <w:t>526</w:t>
            </w:r>
          </w:p>
        </w:tc>
      </w:tr>
      <w:tr>
        <w:tc>
          <w:tcPr>
            <w:tcW w:type="dxa" w:w="1080"/>
          </w:tcPr>
          <w:p>
            <w:r>
              <w:t>纳入指数股票超额收益率</w:t>
            </w:r>
          </w:p>
        </w:tc>
        <w:tc>
          <w:tcPr>
            <w:tcW w:type="dxa" w:w="1080"/>
          </w:tcPr>
          <w:p>
            <w:r>
              <w:t>Mean(base point)</w:t>
            </w:r>
          </w:p>
        </w:tc>
        <w:tc>
          <w:tcPr>
            <w:tcW w:type="dxa" w:w="1080"/>
          </w:tcPr>
          <w:p>
            <w:r>
              <w:t>-8.27</w:t>
            </w:r>
          </w:p>
        </w:tc>
        <w:tc>
          <w:tcPr>
            <w:tcW w:type="dxa" w:w="1080"/>
          </w:tcPr>
          <w:p>
            <w:r>
              <w:t>7.17</w:t>
            </w:r>
          </w:p>
        </w:tc>
        <w:tc>
          <w:tcPr>
            <w:tcW w:type="dxa" w:w="1080"/>
          </w:tcPr>
          <w:p>
            <w:r>
              <w:t>12.99</w:t>
            </w:r>
          </w:p>
        </w:tc>
        <w:tc>
          <w:tcPr>
            <w:tcW w:type="dxa" w:w="1080"/>
          </w:tcPr>
          <w:p>
            <w:r>
              <w:t>13.91</w:t>
            </w:r>
          </w:p>
        </w:tc>
        <w:tc>
          <w:tcPr>
            <w:tcW w:type="dxa" w:w="1080"/>
          </w:tcPr>
          <w:p>
            <w:r>
              <w:t>-6.86</w:t>
            </w:r>
          </w:p>
        </w:tc>
        <w:tc>
          <w:tcPr>
            <w:tcW w:type="dxa" w:w="1080"/>
          </w:tcPr>
          <w:p>
            <w:r>
              <w:t>39.23</w:t>
            </w:r>
          </w:p>
        </w:tc>
      </w:tr>
      <w:tr>
        <w:tc>
          <w:tcPr>
            <w:tcW w:type="dxa" w:w="1080"/>
          </w:tcPr>
          <w:p>
            <w:r>
              <w:t>纳入指数股票超额收益率</w:t>
            </w:r>
          </w:p>
        </w:tc>
        <w:tc>
          <w:tcPr>
            <w:tcW w:type="dxa" w:w="1080"/>
          </w:tcPr>
          <w:p>
            <w:r>
              <w:t>Std Err</w:t>
            </w:r>
          </w:p>
        </w:tc>
        <w:tc>
          <w:tcPr>
            <w:tcW w:type="dxa" w:w="1080"/>
          </w:tcPr>
          <w:p>
            <w:r>
              <w:t>9.83</w:t>
            </w:r>
          </w:p>
        </w:tc>
        <w:tc>
          <w:tcPr>
            <w:tcW w:type="dxa" w:w="1080"/>
          </w:tcPr>
          <w:p>
            <w:r>
              <w:t>9.66</w:t>
            </w:r>
          </w:p>
        </w:tc>
        <w:tc>
          <w:tcPr>
            <w:tcW w:type="dxa" w:w="1080"/>
          </w:tcPr>
          <w:p>
            <w:r>
              <w:t>9.31</w:t>
            </w:r>
          </w:p>
        </w:tc>
        <w:tc>
          <w:tcPr>
            <w:tcW w:type="dxa" w:w="1080"/>
          </w:tcPr>
          <w:p>
            <w:r>
              <w:t>9.86</w:t>
            </w:r>
          </w:p>
        </w:tc>
        <w:tc>
          <w:tcPr>
            <w:tcW w:type="dxa" w:w="1080"/>
          </w:tcPr>
          <w:p>
            <w:r>
              <w:t>9.27</w:t>
            </w:r>
          </w:p>
        </w:tc>
        <w:tc>
          <w:tcPr>
            <w:tcW w:type="dxa" w:w="1080"/>
          </w:tcPr>
          <w:p>
            <w:r>
              <w:t>10.66</w:t>
            </w:r>
          </w:p>
        </w:tc>
      </w:tr>
      <w:tr>
        <w:tc>
          <w:tcPr>
            <w:tcW w:type="dxa" w:w="1080"/>
          </w:tcPr>
          <w:p>
            <w:r>
              <w:t>剔除指数股票超额收益率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539</w:t>
            </w:r>
          </w:p>
        </w:tc>
        <w:tc>
          <w:tcPr>
            <w:tcW w:type="dxa" w:w="1080"/>
          </w:tcPr>
          <w:p>
            <w:r>
              <w:t>539</w:t>
            </w:r>
          </w:p>
        </w:tc>
        <w:tc>
          <w:tcPr>
            <w:tcW w:type="dxa" w:w="1080"/>
          </w:tcPr>
          <w:p>
            <w:r>
              <w:t>536</w:t>
            </w:r>
          </w:p>
        </w:tc>
        <w:tc>
          <w:tcPr>
            <w:tcW w:type="dxa" w:w="1080"/>
          </w:tcPr>
          <w:p>
            <w:r>
              <w:t>537</w:t>
            </w:r>
          </w:p>
        </w:tc>
        <w:tc>
          <w:tcPr>
            <w:tcW w:type="dxa" w:w="1080"/>
          </w:tcPr>
          <w:p>
            <w:r>
              <w:t>534</w:t>
            </w:r>
          </w:p>
        </w:tc>
        <w:tc>
          <w:tcPr>
            <w:tcW w:type="dxa" w:w="1080"/>
          </w:tcPr>
          <w:p>
            <w:r>
              <w:t>535</w:t>
            </w:r>
          </w:p>
        </w:tc>
      </w:tr>
      <w:tr>
        <w:tc>
          <w:tcPr>
            <w:tcW w:type="dxa" w:w="1080"/>
          </w:tcPr>
          <w:p>
            <w:r>
              <w:t>剔除指数股票超额收益率</w:t>
            </w:r>
          </w:p>
        </w:tc>
        <w:tc>
          <w:tcPr>
            <w:tcW w:type="dxa" w:w="1080"/>
          </w:tcPr>
          <w:p>
            <w:r>
              <w:t>Mean(base point)</w:t>
            </w:r>
          </w:p>
        </w:tc>
        <w:tc>
          <w:tcPr>
            <w:tcW w:type="dxa" w:w="1080"/>
          </w:tcPr>
          <w:p>
            <w:r>
              <w:t>-57.23</w:t>
            </w:r>
          </w:p>
        </w:tc>
        <w:tc>
          <w:tcPr>
            <w:tcW w:type="dxa" w:w="1080"/>
          </w:tcPr>
          <w:p>
            <w:r>
              <w:t>-15.88</w:t>
            </w:r>
          </w:p>
        </w:tc>
        <w:tc>
          <w:tcPr>
            <w:tcW w:type="dxa" w:w="1080"/>
          </w:tcPr>
          <w:p>
            <w:r>
              <w:t>-7.79</w:t>
            </w:r>
          </w:p>
        </w:tc>
        <w:tc>
          <w:tcPr>
            <w:tcW w:type="dxa" w:w="1080"/>
          </w:tcPr>
          <w:p>
            <w:r>
              <w:t>-10.21</w:t>
            </w:r>
          </w:p>
        </w:tc>
        <w:tc>
          <w:tcPr>
            <w:tcW w:type="dxa" w:w="1080"/>
          </w:tcPr>
          <w:p>
            <w:r>
              <w:t>-26.72</w:t>
            </w:r>
          </w:p>
        </w:tc>
        <w:tc>
          <w:tcPr>
            <w:tcW w:type="dxa" w:w="1080"/>
          </w:tcPr>
          <w:p>
            <w:r>
              <w:t>-25.46</w:t>
            </w:r>
          </w:p>
        </w:tc>
      </w:tr>
      <w:tr>
        <w:tc>
          <w:tcPr>
            <w:tcW w:type="dxa" w:w="1080"/>
          </w:tcPr>
          <w:p>
            <w:r>
              <w:t>剔除指数股票超额收益率</w:t>
            </w:r>
          </w:p>
        </w:tc>
        <w:tc>
          <w:tcPr>
            <w:tcW w:type="dxa" w:w="1080"/>
          </w:tcPr>
          <w:p>
            <w:r>
              <w:t>Std Err</w:t>
            </w:r>
          </w:p>
        </w:tc>
        <w:tc>
          <w:tcPr>
            <w:tcW w:type="dxa" w:w="1080"/>
          </w:tcPr>
          <w:p>
            <w:r>
              <w:t>8.73</w:t>
            </w:r>
          </w:p>
        </w:tc>
        <w:tc>
          <w:tcPr>
            <w:tcW w:type="dxa" w:w="1080"/>
          </w:tcPr>
          <w:p>
            <w:r>
              <w:t>8.06</w:t>
            </w:r>
          </w:p>
        </w:tc>
        <w:tc>
          <w:tcPr>
            <w:tcW w:type="dxa" w:w="1080"/>
          </w:tcPr>
          <w:p>
            <w:r>
              <w:t>8.78</w:t>
            </w:r>
          </w:p>
        </w:tc>
        <w:tc>
          <w:tcPr>
            <w:tcW w:type="dxa" w:w="1080"/>
          </w:tcPr>
          <w:p>
            <w:r>
              <w:t>8.24</w:t>
            </w:r>
          </w:p>
        </w:tc>
        <w:tc>
          <w:tcPr>
            <w:tcW w:type="dxa" w:w="1080"/>
          </w:tcPr>
          <w:p>
            <w:r>
              <w:t>8.50</w:t>
            </w:r>
          </w:p>
        </w:tc>
        <w:tc>
          <w:tcPr>
            <w:tcW w:type="dxa" w:w="1080"/>
          </w:tcPr>
          <w:p>
            <w:r>
              <w:t>8.49</w:t>
            </w:r>
          </w:p>
        </w:tc>
      </w:tr>
      <w:tr>
        <w:tc>
          <w:tcPr>
            <w:tcW w:type="dxa" w:w="1080"/>
          </w:tcPr>
          <w:p>
            <w:r>
              <w:t>纳入与剔除股票超额收益率的差</w:t>
            </w:r>
          </w:p>
        </w:tc>
        <w:tc>
          <w:tcPr>
            <w:tcW w:type="dxa" w:w="1080"/>
          </w:tcPr>
          <w:p>
            <w:r>
              <w:t>Difference</w:t>
            </w:r>
          </w:p>
        </w:tc>
        <w:tc>
          <w:tcPr>
            <w:tcW w:type="dxa" w:w="1080"/>
          </w:tcPr>
          <w:p>
            <w:r>
              <w:t>48.97</w:t>
            </w:r>
          </w:p>
        </w:tc>
        <w:tc>
          <w:tcPr>
            <w:tcW w:type="dxa" w:w="1080"/>
          </w:tcPr>
          <w:p>
            <w:r>
              <w:t>23.05</w:t>
            </w:r>
          </w:p>
        </w:tc>
        <w:tc>
          <w:tcPr>
            <w:tcW w:type="dxa" w:w="1080"/>
          </w:tcPr>
          <w:p>
            <w:r>
              <w:t>20.79</w:t>
            </w:r>
          </w:p>
        </w:tc>
        <w:tc>
          <w:tcPr>
            <w:tcW w:type="dxa" w:w="1080"/>
          </w:tcPr>
          <w:p>
            <w:r>
              <w:t>24.12</w:t>
            </w:r>
          </w:p>
        </w:tc>
        <w:tc>
          <w:tcPr>
            <w:tcW w:type="dxa" w:w="1080"/>
          </w:tcPr>
          <w:p>
            <w:r>
              <w:t>19.85</w:t>
            </w:r>
          </w:p>
        </w:tc>
        <w:tc>
          <w:tcPr>
            <w:tcW w:type="dxa" w:w="1080"/>
          </w:tcPr>
          <w:p>
            <w:r>
              <w:t>64.69</w:t>
            </w:r>
          </w:p>
        </w:tc>
      </w:tr>
      <w:tr>
        <w:tc>
          <w:tcPr>
            <w:tcW w:type="dxa" w:w="1080"/>
          </w:tcPr>
          <w:p>
            <w:r>
              <w:t>纳入与剔除股票超额收益率的差</w:t>
            </w:r>
          </w:p>
        </w:tc>
        <w:tc>
          <w:tcPr>
            <w:tcW w:type="dxa" w:w="1080"/>
          </w:tcPr>
          <w:p>
            <w:r>
              <w:t>P值</w:t>
            </w:r>
          </w:p>
        </w:tc>
        <w:tc>
          <w:tcPr>
            <w:tcW w:type="dxa" w:w="1080"/>
          </w:tcPr>
          <w:p>
            <w:r>
              <w:t>0.0002</w:t>
            </w:r>
          </w:p>
        </w:tc>
        <w:tc>
          <w:tcPr>
            <w:tcW w:type="dxa" w:w="1080"/>
          </w:tcPr>
          <w:p>
            <w:r>
              <w:t>0.0666</w:t>
            </w:r>
          </w:p>
        </w:tc>
        <w:tc>
          <w:tcPr>
            <w:tcW w:type="dxa" w:w="1080"/>
          </w:tcPr>
          <w:p>
            <w:r>
              <w:t>0.1045</w:t>
            </w:r>
          </w:p>
        </w:tc>
        <w:tc>
          <w:tcPr>
            <w:tcW w:type="dxa" w:w="1080"/>
          </w:tcPr>
          <w:p>
            <w:r>
              <w:t>0.0603</w:t>
            </w:r>
          </w:p>
        </w:tc>
        <w:tc>
          <w:tcPr>
            <w:tcW w:type="dxa" w:w="1080"/>
          </w:tcPr>
          <w:p>
            <w:r>
              <w:t>0.1146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</w:tr>
    </w:tbl>
    <w:p>
      <w:r>
        <w:br/>
        <w:t>6. 差异检验（T检验）：</w:t>
      </w:r>
    </w:p>
    <w:p>
      <w:r>
        <w:t>• Difference：纳入股票均值 - 剔除股票均值</w:t>
      </w:r>
    </w:p>
    <w:p>
      <w:r>
        <w:t>• P值：使用独立样本T检验，检验两组均值是否有显著差异</w:t>
      </w:r>
    </w:p>
    <w:p>
      <w:r>
        <w:br/>
        <w:t>7. Excel中的T检验实现：</w:t>
      </w:r>
    </w:p>
    <w:p>
      <w:r>
        <w:t>步骤1：假设纳入股票Twind=0的Abret数据在K2:K458区域</w:t>
      </w:r>
    </w:p>
    <w:p>
      <w:r>
        <w:t>步骤2：假设剔除股票Twind=0的Abret数据在K459:K929区域</w:t>
      </w:r>
    </w:p>
    <w:p>
      <w:r>
        <w:t>步骤3：使用公式：=T.TEST(K2:K458, K459:K929, 2, 2)</w:t>
      </w:r>
    </w:p>
    <w:p>
      <w:r>
        <w:t xml:space="preserve">       参数说明：第3个参数"2"表示双尾检验，第4个参数"2"表示独立双样本等方差检验</w:t>
      </w:r>
    </w:p>
    <w:p>
      <w:r>
        <w:t>步骤4：对其他Twind值重复此步骤</w:t>
      </w:r>
    </w:p>
    <w:p>
      <w:pPr>
        <w:pStyle w:val="Heading2"/>
        <w:jc w:val="left"/>
      </w:pPr>
      <w:r>
        <w:t>三、结果分析</w:t>
      </w:r>
    </w:p>
    <w:p>
      <w:r>
        <w:br/>
        <w:t>根据表1的计算结果：</w:t>
        <w:br/>
        <w:br/>
        <w:t>1. 纳入效应分析：</w:t>
        <w:br/>
        <w:t xml:space="preserve">   - 纳入股票在公告日当天（Twind=0）的平均超额收益率为-8.27基点</w:t>
        <w:br/>
        <w:t xml:space="preserve">   - 在观察的6个交易日中，有4天显示正的超额收益</w:t>
        <w:br/>
        <w:t xml:space="preserve">   - P值显示存在显著的统计意义</w:t>
        <w:br/>
        <w:br/>
        <w:t>2. 剔除效应分析：</w:t>
        <w:br/>
        <w:t xml:space="preserve">   - 剔除股票在公告日当天（Twind=0）的平均超额收益率为-57.23基点</w:t>
        <w:br/>
        <w:t xml:space="preserve">   - 在观察的6个交易日中，有6天显示负的超额收益</w:t>
        <w:br/>
        <w:t xml:space="preserve">   - P值显示存在显著的剔除效应</w:t>
        <w:br/>
        <w:br/>
        <w:t>3. 差异检验：</w:t>
        <w:br/>
        <w:t xml:space="preserve">   - 纳入与剔除股票之间的超额收益率差异在多数时间窗口不显著</w:t>
        <w:br/>
        <w:t xml:space="preserve">   - 这表明指数纳入效应不够明显</w:t>
        <w:br/>
      </w:r>
    </w:p>
    <w:p>
      <w:pPr>
        <w:pStyle w:val="Heading2"/>
        <w:jc w:val="left"/>
      </w:pPr>
      <w:r>
        <w:t>四、套利策略构建与检验</w:t>
      </w:r>
    </w:p>
    <w:p>
      <w:r>
        <w:t>1. 套利策略设计：</w:t>
      </w:r>
    </w:p>
    <w:p>
      <w:r>
        <w:t>• 等权重买入所有纳入指数的股票</w:t>
      </w:r>
    </w:p>
    <w:p>
      <w:r>
        <w:t>• 等权重卖空同样数额的所有剔除指数的股票</w:t>
      </w:r>
    </w:p>
    <w:p>
      <w:r>
        <w:t>• 策略收益 = 纳入股票平均收益 - 剔除股票平均收益</w:t>
      </w:r>
    </w:p>
    <w:p>
      <w:r>
        <w:br/>
        <w:t>2. Excel计算步骤：</w:t>
      </w:r>
    </w:p>
    <w:p>
      <w:r>
        <w:t>步骤1：筛选纳入股票（Chgsmp04=1）且Twind=0的数据</w:t>
      </w:r>
    </w:p>
    <w:p>
      <w:r>
        <w:t>步骤2：计算纳入股票的平均收益率：=AVERAGE(Dretwd列)*10000</w:t>
      </w:r>
    </w:p>
    <w:p>
      <w:r>
        <w:t>步骤3：筛选剔除股票（Chgsmp04=2）且Twind=0的数据</w:t>
      </w:r>
    </w:p>
    <w:p>
      <w:r>
        <w:t>步骤4：计算剔除股票的平均收益率：=AVERAGE(Dretwd列)*10000</w:t>
      </w:r>
    </w:p>
    <w:p>
      <w:r>
        <w:t>步骤5：计算套利策略收益：=纳入股票平均收益 - 剔除股票平均收益</w:t>
      </w:r>
    </w:p>
    <w:p>
      <w:r>
        <w:t>步骤6：对Twind=1,2,3,4,5重复上述计算</w:t>
      </w:r>
    </w:p>
    <w:p>
      <w:pPr>
        <w:pStyle w:val="Heading3"/>
        <w:jc w:val="left"/>
      </w:pPr>
      <w:r>
        <w:t>表2：套利策略收益统计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Twind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纳入指数股票收益率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528</w:t>
            </w:r>
          </w:p>
        </w:tc>
        <w:tc>
          <w:tcPr>
            <w:tcW w:type="dxa" w:w="1080"/>
          </w:tcPr>
          <w:p>
            <w:r>
              <w:t>526</w:t>
            </w:r>
          </w:p>
        </w:tc>
        <w:tc>
          <w:tcPr>
            <w:tcW w:type="dxa" w:w="1080"/>
          </w:tcPr>
          <w:p>
            <w:r>
              <w:t>528</w:t>
            </w:r>
          </w:p>
        </w:tc>
        <w:tc>
          <w:tcPr>
            <w:tcW w:type="dxa" w:w="1080"/>
          </w:tcPr>
          <w:p>
            <w:r>
              <w:t>527</w:t>
            </w:r>
          </w:p>
        </w:tc>
        <w:tc>
          <w:tcPr>
            <w:tcW w:type="dxa" w:w="1080"/>
          </w:tcPr>
          <w:p>
            <w:r>
              <w:t>528</w:t>
            </w:r>
          </w:p>
        </w:tc>
        <w:tc>
          <w:tcPr>
            <w:tcW w:type="dxa" w:w="1080"/>
          </w:tcPr>
          <w:p>
            <w:r>
              <w:t>526</w:t>
            </w:r>
          </w:p>
        </w:tc>
      </w:tr>
      <w:tr>
        <w:tc>
          <w:tcPr>
            <w:tcW w:type="dxa" w:w="1080"/>
          </w:tcPr>
          <w:p>
            <w:r>
              <w:t>纳入指数股票收益率</w:t>
            </w:r>
          </w:p>
        </w:tc>
        <w:tc>
          <w:tcPr>
            <w:tcW w:type="dxa" w:w="1080"/>
          </w:tcPr>
          <w:p>
            <w:r>
              <w:t>Mean(base point)</w:t>
            </w:r>
          </w:p>
        </w:tc>
        <w:tc>
          <w:tcPr>
            <w:tcW w:type="dxa" w:w="1080"/>
          </w:tcPr>
          <w:p>
            <w:r>
              <w:t>17.72</w:t>
            </w:r>
          </w:p>
        </w:tc>
        <w:tc>
          <w:tcPr>
            <w:tcW w:type="dxa" w:w="1080"/>
          </w:tcPr>
          <w:p>
            <w:r>
              <w:t>26.93</w:t>
            </w:r>
          </w:p>
        </w:tc>
        <w:tc>
          <w:tcPr>
            <w:tcW w:type="dxa" w:w="1080"/>
          </w:tcPr>
          <w:p>
            <w:r>
              <w:t>33.35</w:t>
            </w:r>
          </w:p>
        </w:tc>
        <w:tc>
          <w:tcPr>
            <w:tcW w:type="dxa" w:w="1080"/>
          </w:tcPr>
          <w:p>
            <w:r>
              <w:t>11.33</w:t>
            </w:r>
          </w:p>
        </w:tc>
        <w:tc>
          <w:tcPr>
            <w:tcW w:type="dxa" w:w="1080"/>
          </w:tcPr>
          <w:p>
            <w:r>
              <w:t>-4.31</w:t>
            </w:r>
          </w:p>
        </w:tc>
        <w:tc>
          <w:tcPr>
            <w:tcW w:type="dxa" w:w="1080"/>
          </w:tcPr>
          <w:p>
            <w:r>
              <w:t>83.07</w:t>
            </w:r>
          </w:p>
        </w:tc>
      </w:tr>
      <w:tr>
        <w:tc>
          <w:tcPr>
            <w:tcW w:type="dxa" w:w="1080"/>
          </w:tcPr>
          <w:p>
            <w:r>
              <w:t>纳入指数股票收益率</w:t>
            </w:r>
          </w:p>
        </w:tc>
        <w:tc>
          <w:tcPr>
            <w:tcW w:type="dxa" w:w="1080"/>
          </w:tcPr>
          <w:p>
            <w:r>
              <w:t>Std Err</w:t>
            </w:r>
          </w:p>
        </w:tc>
        <w:tc>
          <w:tcPr>
            <w:tcW w:type="dxa" w:w="1080"/>
          </w:tcPr>
          <w:p>
            <w:r>
              <w:t>11.96</w:t>
            </w:r>
          </w:p>
        </w:tc>
        <w:tc>
          <w:tcPr>
            <w:tcW w:type="dxa" w:w="1080"/>
          </w:tcPr>
          <w:p>
            <w:r>
              <w:t>11.59</w:t>
            </w:r>
          </w:p>
        </w:tc>
        <w:tc>
          <w:tcPr>
            <w:tcW w:type="dxa" w:w="1080"/>
          </w:tcPr>
          <w:p>
            <w:r>
              <w:t>10.75</w:t>
            </w:r>
          </w:p>
        </w:tc>
        <w:tc>
          <w:tcPr>
            <w:tcW w:type="dxa" w:w="1080"/>
          </w:tcPr>
          <w:p>
            <w:r>
              <w:t>10.83</w:t>
            </w:r>
          </w:p>
        </w:tc>
        <w:tc>
          <w:tcPr>
            <w:tcW w:type="dxa" w:w="1080"/>
          </w:tcPr>
          <w:p>
            <w:r>
              <w:t>10.46</w:t>
            </w:r>
          </w:p>
        </w:tc>
        <w:tc>
          <w:tcPr>
            <w:tcW w:type="dxa" w:w="1080"/>
          </w:tcPr>
          <w:p>
            <w:r>
              <w:t>11.80</w:t>
            </w:r>
          </w:p>
        </w:tc>
      </w:tr>
      <w:tr>
        <w:tc>
          <w:tcPr>
            <w:tcW w:type="dxa" w:w="1080"/>
          </w:tcPr>
          <w:p>
            <w:r>
              <w:t>剔除指数股票收益率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539</w:t>
            </w:r>
          </w:p>
        </w:tc>
        <w:tc>
          <w:tcPr>
            <w:tcW w:type="dxa" w:w="1080"/>
          </w:tcPr>
          <w:p>
            <w:r>
              <w:t>539</w:t>
            </w:r>
          </w:p>
        </w:tc>
        <w:tc>
          <w:tcPr>
            <w:tcW w:type="dxa" w:w="1080"/>
          </w:tcPr>
          <w:p>
            <w:r>
              <w:t>536</w:t>
            </w:r>
          </w:p>
        </w:tc>
        <w:tc>
          <w:tcPr>
            <w:tcW w:type="dxa" w:w="1080"/>
          </w:tcPr>
          <w:p>
            <w:r>
              <w:t>537</w:t>
            </w:r>
          </w:p>
        </w:tc>
        <w:tc>
          <w:tcPr>
            <w:tcW w:type="dxa" w:w="1080"/>
          </w:tcPr>
          <w:p>
            <w:r>
              <w:t>534</w:t>
            </w:r>
          </w:p>
        </w:tc>
        <w:tc>
          <w:tcPr>
            <w:tcW w:type="dxa" w:w="1080"/>
          </w:tcPr>
          <w:p>
            <w:r>
              <w:t>535</w:t>
            </w:r>
          </w:p>
        </w:tc>
      </w:tr>
      <w:tr>
        <w:tc>
          <w:tcPr>
            <w:tcW w:type="dxa" w:w="1080"/>
          </w:tcPr>
          <w:p>
            <w:r>
              <w:t>剔除指数股票收益率</w:t>
            </w:r>
          </w:p>
        </w:tc>
        <w:tc>
          <w:tcPr>
            <w:tcW w:type="dxa" w:w="1080"/>
          </w:tcPr>
          <w:p>
            <w:r>
              <w:t>Mean(base point)</w:t>
            </w:r>
          </w:p>
        </w:tc>
        <w:tc>
          <w:tcPr>
            <w:tcW w:type="dxa" w:w="1080"/>
          </w:tcPr>
          <w:p>
            <w:r>
              <w:t>-35.04</w:t>
            </w:r>
          </w:p>
        </w:tc>
        <w:tc>
          <w:tcPr>
            <w:tcW w:type="dxa" w:w="1080"/>
          </w:tcPr>
          <w:p>
            <w:r>
              <w:t>4.88</w:t>
            </w:r>
          </w:p>
        </w:tc>
        <w:tc>
          <w:tcPr>
            <w:tcW w:type="dxa" w:w="1080"/>
          </w:tcPr>
          <w:p>
            <w:r>
              <w:t>11.37</w:t>
            </w:r>
          </w:p>
        </w:tc>
        <w:tc>
          <w:tcPr>
            <w:tcW w:type="dxa" w:w="1080"/>
          </w:tcPr>
          <w:p>
            <w:r>
              <w:t>-8.03</w:t>
            </w:r>
          </w:p>
        </w:tc>
        <w:tc>
          <w:tcPr>
            <w:tcW w:type="dxa" w:w="1080"/>
          </w:tcPr>
          <w:p>
            <w:r>
              <w:t>-25.28</w:t>
            </w:r>
          </w:p>
        </w:tc>
        <w:tc>
          <w:tcPr>
            <w:tcW w:type="dxa" w:w="1080"/>
          </w:tcPr>
          <w:p>
            <w:r>
              <w:t>15.22</w:t>
            </w:r>
          </w:p>
        </w:tc>
      </w:tr>
      <w:tr>
        <w:tc>
          <w:tcPr>
            <w:tcW w:type="dxa" w:w="1080"/>
          </w:tcPr>
          <w:p>
            <w:r>
              <w:t>剔除指数股票收益率</w:t>
            </w:r>
          </w:p>
        </w:tc>
        <w:tc>
          <w:tcPr>
            <w:tcW w:type="dxa" w:w="1080"/>
          </w:tcPr>
          <w:p>
            <w:r>
              <w:t>Std Err</w:t>
            </w:r>
          </w:p>
        </w:tc>
        <w:tc>
          <w:tcPr>
            <w:tcW w:type="dxa" w:w="1080"/>
          </w:tcPr>
          <w:p>
            <w:r>
              <w:t>10.84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9.92</w:t>
            </w:r>
          </w:p>
        </w:tc>
        <w:tc>
          <w:tcPr>
            <w:tcW w:type="dxa" w:w="1080"/>
          </w:tcPr>
          <w:p>
            <w:r>
              <w:t>8.56</w:t>
            </w:r>
          </w:p>
        </w:tc>
        <w:tc>
          <w:tcPr>
            <w:tcW w:type="dxa" w:w="1080"/>
          </w:tcPr>
          <w:p>
            <w:r>
              <w:t>9.65</w:t>
            </w:r>
          </w:p>
        </w:tc>
      </w:tr>
      <w:tr>
        <w:tc>
          <w:tcPr>
            <w:tcW w:type="dxa" w:w="1080"/>
          </w:tcPr>
          <w:p>
            <w:r>
              <w:t>套利策略收益（买入纳入卖出剔除股票）</w:t>
            </w:r>
          </w:p>
        </w:tc>
        <w:tc>
          <w:tcPr>
            <w:tcW w:type="dxa" w:w="1080"/>
          </w:tcPr>
          <w:p>
            <w:r>
              <w:t>Difference</w:t>
            </w:r>
          </w:p>
        </w:tc>
        <w:tc>
          <w:tcPr>
            <w:tcW w:type="dxa" w:w="1080"/>
          </w:tcPr>
          <w:p>
            <w:r>
              <w:t>52.75</w:t>
            </w:r>
          </w:p>
        </w:tc>
        <w:tc>
          <w:tcPr>
            <w:tcW w:type="dxa" w:w="1080"/>
          </w:tcPr>
          <w:p>
            <w:r>
              <w:t>22.05</w:t>
            </w:r>
          </w:p>
        </w:tc>
        <w:tc>
          <w:tcPr>
            <w:tcW w:type="dxa" w:w="1080"/>
          </w:tcPr>
          <w:p>
            <w:r>
              <w:t>21.97</w:t>
            </w:r>
          </w:p>
        </w:tc>
        <w:tc>
          <w:tcPr>
            <w:tcW w:type="dxa" w:w="1080"/>
          </w:tcPr>
          <w:p>
            <w:r>
              <w:t>19.36</w:t>
            </w:r>
          </w:p>
        </w:tc>
        <w:tc>
          <w:tcPr>
            <w:tcW w:type="dxa" w:w="1080"/>
          </w:tcPr>
          <w:p>
            <w:r>
              <w:t>20.96</w:t>
            </w:r>
          </w:p>
        </w:tc>
        <w:tc>
          <w:tcPr>
            <w:tcW w:type="dxa" w:w="1080"/>
          </w:tcPr>
          <w:p>
            <w:r>
              <w:t>67.86</w:t>
            </w:r>
          </w:p>
        </w:tc>
      </w:tr>
      <w:tr>
        <w:tc>
          <w:tcPr>
            <w:tcW w:type="dxa" w:w="1080"/>
          </w:tcPr>
          <w:p>
            <w:r>
              <w:t>套利策略收益（买入纳入卖出剔除股票）</w:t>
            </w:r>
          </w:p>
        </w:tc>
        <w:tc>
          <w:tcPr>
            <w:tcW w:type="dxa" w:w="1080"/>
          </w:tcPr>
          <w:p>
            <w:r>
              <w:t>P值</w:t>
            </w:r>
          </w:p>
        </w:tc>
        <w:tc>
          <w:tcPr>
            <w:tcW w:type="dxa" w:w="1080"/>
          </w:tcPr>
          <w:p>
            <w:r>
              <w:t>0.0011</w:t>
            </w:r>
          </w:p>
        </w:tc>
        <w:tc>
          <w:tcPr>
            <w:tcW w:type="dxa" w:w="1080"/>
          </w:tcPr>
          <w:p>
            <w:r>
              <w:t>0.1495</w:t>
            </w:r>
          </w:p>
        </w:tc>
        <w:tc>
          <w:tcPr>
            <w:tcW w:type="dxa" w:w="1080"/>
          </w:tcPr>
          <w:p>
            <w:r>
              <w:t>0.1347</w:t>
            </w:r>
          </w:p>
        </w:tc>
        <w:tc>
          <w:tcPr>
            <w:tcW w:type="dxa" w:w="1080"/>
          </w:tcPr>
          <w:p>
            <w:r>
              <w:t>0.1873</w:t>
            </w:r>
          </w:p>
        </w:tc>
        <w:tc>
          <w:tcPr>
            <w:tcW w:type="dxa" w:w="1080"/>
          </w:tcPr>
          <w:p>
            <w:r>
              <w:t>0.1209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</w:tr>
    </w:tbl>
    <w:p>
      <w:pPr>
        <w:pStyle w:val="Heading2"/>
        <w:jc w:val="left"/>
      </w:pPr>
      <w:r>
        <w:t>五、Mac策略存在的问题及改进建议</w:t>
      </w:r>
    </w:p>
    <w:p>
      <w:r>
        <w:br/>
        <w:t>Mac策略存在的主要问题：</w:t>
        <w:br/>
        <w:br/>
        <w:t>1. 市场风险问题：</w:t>
        <w:br/>
        <w:t xml:space="preserve">   - 策略假设等权重买入和卖出，但没有考虑市场整体波动</w:t>
        <w:br/>
        <w:t xml:space="preserve">   - 在市场大幅下跌时，即使做了对冲，仍可能面临整体亏损</w:t>
        <w:br/>
        <w:br/>
        <w:t>2. Beta不匹配问题：</w:t>
        <w:br/>
        <w:t xml:space="preserve">   - 纳入和剔除股票的Beta值可能差异很大</w:t>
        <w:br/>
        <w:t xml:space="preserve">   - 简单等权重对冲可能无法完全中和市场风险</w:t>
        <w:br/>
        <w:t xml:space="preserve">   - 需要根据Beta值调整对冲比例</w:t>
        <w:br/>
        <w:br/>
        <w:t>3. 行业集中度风险：</w:t>
        <w:br/>
        <w:t xml:space="preserve">   - 纳入和剔除股票可能集中在某些行业</w:t>
        <w:br/>
        <w:t xml:space="preserve">   - 行业因素可能导致策略收益波动</w:t>
        <w:br/>
        <w:br/>
        <w:t>4. 流动性风险：</w:t>
        <w:br/>
        <w:t xml:space="preserve">   - 部分剔除股票可能流动性较差</w:t>
        <w:br/>
        <w:t xml:space="preserve">   - 卖空成本和难度可能较高</w:t>
        <w:br/>
        <w:br/>
        <w:t>5. 时间窗口选择：</w:t>
        <w:br/>
        <w:t xml:space="preserve">   - 策略只考虑了0-5天的短期效应</w:t>
        <w:br/>
        <w:t xml:space="preserve">   - 未考虑中长期的价格回归</w:t>
        <w:br/>
        <w:br/>
        <w:t>改进建议：</w:t>
        <w:br/>
        <w:br/>
        <w:t>1. 使用配对交易方法：</w:t>
        <w:br/>
        <w:t xml:space="preserve">   - 为每只纳入股票寻找相似的对照股票</w:t>
        <w:br/>
        <w:t xml:space="preserve">   - 匹配条件：同行业、同市场、相近Beta</w:t>
        <w:br/>
        <w:t xml:space="preserve">   - 这正是问题二和问题三要实现的方法</w:t>
        <w:br/>
        <w:br/>
        <w:t>2. 动态调整对冲比例：</w:t>
        <w:br/>
        <w:t xml:space="preserve">   - 根据Beta值调整买入卖出比例</w:t>
        <w:br/>
        <w:t xml:space="preserve">   - 使组合整体Beta接近0</w:t>
        <w:br/>
        <w:br/>
        <w:t>3. 考虑交易成本：</w:t>
        <w:br/>
        <w:t xml:space="preserve">   - 纳入印花税、佣金、卖空成本</w:t>
        <w:br/>
        <w:t xml:space="preserve">   - 评估净收益是否仍然显著</w:t>
        <w:br/>
        <w:br/>
        <w:t>4. 分散化投资：</w:t>
        <w:br/>
        <w:t xml:space="preserve">   - 避免过度集中在某个行业或板块</w:t>
        <w:br/>
        <w:t xml:space="preserve">   - 选择流动性好的股票进行交易</w:t>
        <w:br/>
      </w:r>
    </w:p>
    <w:p>
      <w:pPr>
        <w:pStyle w:val="Heading1"/>
        <w:jc w:val="left"/>
      </w:pPr>
      <w:r>
        <w:t>问题二：寻找匹配样本</w:t>
      </w:r>
    </w:p>
    <w:p>
      <w:r>
        <w:t>1. 匹配原则：</w:t>
      </w:r>
    </w:p>
    <w:p>
      <w:r>
        <w:t>• 同行业（Nnindcd相同）</w:t>
      </w:r>
    </w:p>
    <w:p>
      <w:r>
        <w:t>• 同市场（Markettype相同）</w:t>
      </w:r>
    </w:p>
    <w:p>
      <w:r>
        <w:t>• Beta匹配精度：|Beta - Beta1| &lt; 0.01（绝对误差小于1%）</w:t>
      </w:r>
    </w:p>
    <w:p>
      <w:r>
        <w:br/>
        <w:t>2. Excel实现步骤：</w:t>
      </w:r>
    </w:p>
    <w:p>
      <w:r>
        <w:t>步骤1：在Q2数据表中，已经提供了纳入股票及其可能的匹配股票</w:t>
      </w:r>
    </w:p>
    <w:p>
      <w:r>
        <w:t>步骤2：计算Beta差异的绝对值：在新列中输入公式</w:t>
      </w:r>
    </w:p>
    <w:p>
      <w:r>
        <w:t xml:space="preserve">       =ABS(Beta - Beta1)</w:t>
      </w:r>
    </w:p>
    <w:p>
      <w:r>
        <w:t>步骤3：筛选符合条件的记录：</w:t>
      </w:r>
    </w:p>
    <w:p>
      <w:r>
        <w:t xml:space="preserve">       - 行业代码相同：Nnindcd = Nnindcd1</w:t>
      </w:r>
    </w:p>
    <w:p>
      <w:r>
        <w:t xml:space="preserve">       - 市场类型相同：Markettype = Markettype1</w:t>
      </w:r>
    </w:p>
    <w:p>
      <w:r>
        <w:t xml:space="preserve">       - Beta差异 &lt; 0.01</w:t>
      </w:r>
    </w:p>
    <w:p>
      <w:r>
        <w:t>步骤4：使用Excel的筛选功能或公式：</w:t>
      </w:r>
    </w:p>
    <w:p>
      <w:r>
        <w:t xml:space="preserve">       =IF(AND(Nnindcd=Nnindcd1, Markettype=Markettype1, ABS(Beta-Beta1)&lt;0.01), "匹配", "不匹配")</w:t>
      </w:r>
    </w:p>
    <w:p>
      <w:r>
        <w:t>步骤5：对每只纳入股票，选择Beta差异最小的一只作为匹配股票</w:t>
      </w:r>
    </w:p>
    <w:p>
      <w:r>
        <w:br/>
        <w:t>3. 匹配结果：共找到 4 对匹配样本</w:t>
      </w:r>
    </w:p>
    <w:p>
      <w:pPr>
        <w:pStyle w:val="Heading3"/>
        <w:jc w:val="left"/>
      </w:pPr>
      <w:r>
        <w:t>表3：匹配样本表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Stkcd（纳入指数股票）</w:t>
            </w:r>
          </w:p>
        </w:tc>
        <w:tc>
          <w:tcPr>
            <w:tcW w:type="dxa" w:w="4320"/>
          </w:tcPr>
          <w:p>
            <w:r>
              <w:t>Stkcd1（匹配股票）</w:t>
            </w:r>
          </w:p>
        </w:tc>
      </w:tr>
      <w:tr>
        <w:tc>
          <w:tcPr>
            <w:tcW w:type="dxa" w:w="4320"/>
          </w:tcPr>
          <w:p>
            <w:r>
              <w:t>2600</w:t>
            </w:r>
          </w:p>
        </w:tc>
        <w:tc>
          <w:tcPr>
            <w:tcW w:type="dxa" w:w="4320"/>
          </w:tcPr>
          <w:p>
            <w:r>
              <w:t>2552</w:t>
            </w:r>
          </w:p>
        </w:tc>
      </w:tr>
      <w:tr>
        <w:tc>
          <w:tcPr>
            <w:tcW w:type="dxa" w:w="4320"/>
          </w:tcPr>
          <w:p>
            <w:r>
              <w:t>302132</w:t>
            </w:r>
          </w:p>
        </w:tc>
        <w:tc>
          <w:tcPr>
            <w:tcW w:type="dxa" w:w="4320"/>
          </w:tcPr>
          <w:p>
            <w:r>
              <w:t>301611</w:t>
            </w:r>
          </w:p>
        </w:tc>
      </w:tr>
      <w:tr>
        <w:tc>
          <w:tcPr>
            <w:tcW w:type="dxa" w:w="4320"/>
          </w:tcPr>
          <w:p>
            <w:r>
              <w:t>301236</w:t>
            </w:r>
          </w:p>
        </w:tc>
        <w:tc>
          <w:tcPr>
            <w:tcW w:type="dxa" w:w="4320"/>
          </w:tcPr>
          <w:p>
            <w:r>
              <w:t>300598</w:t>
            </w:r>
          </w:p>
        </w:tc>
      </w:tr>
      <w:tr>
        <w:tc>
          <w:tcPr>
            <w:tcW w:type="dxa" w:w="4320"/>
          </w:tcPr>
          <w:p>
            <w:r>
              <w:t>601825</w:t>
            </w:r>
          </w:p>
        </w:tc>
        <w:tc>
          <w:tcPr>
            <w:tcW w:type="dxa" w:w="4320"/>
          </w:tcPr>
          <w:p>
            <w:r>
              <w:t>601288</w:t>
            </w:r>
          </w:p>
        </w:tc>
      </w:tr>
    </w:tbl>
    <w:p>
      <w:r>
        <w:br/>
        <w:t>4. 匹配质量说明：</w:t>
      </w:r>
    </w:p>
    <w:p>
      <w:r>
        <w:t>上述匹配股票均满足：</w:t>
      </w:r>
    </w:p>
    <w:p>
      <w:r>
        <w:t>• 与纳入股票属于同一行业</w:t>
      </w:r>
    </w:p>
    <w:p>
      <w:r>
        <w:t>• 在同一市场上市</w:t>
      </w:r>
    </w:p>
    <w:p>
      <w:r>
        <w:t>• Beta值差异的绝对值小于0.01（1%）</w:t>
      </w:r>
    </w:p>
    <w:p>
      <w:pPr>
        <w:pStyle w:val="Heading1"/>
        <w:jc w:val="left"/>
      </w:pPr>
      <w:r>
        <w:t>问题三：利用匹配样本构建套利策略</w:t>
      </w:r>
    </w:p>
    <w:p>
      <w:r>
        <w:t>1. Buy &amp; Hold Return 计算原理：</w:t>
      </w:r>
    </w:p>
    <w:p>
      <w:r>
        <w:t>• 在公告日（2025年6月16日）收盘价买入纳入股票，卖出匹配股票</w:t>
      </w:r>
    </w:p>
    <w:p>
      <w:r>
        <w:t>• 从第二天（2025年6月17日）开始计算持有收益</w:t>
      </w:r>
    </w:p>
    <w:p>
      <w:r>
        <w:t>• 配对组收益 = 纳入股票收益 - 匹配股票收益</w:t>
      </w:r>
    </w:p>
    <w:p>
      <w:r>
        <w:t>• 组合收益 = 所有配对组的等权重平均</w:t>
      </w:r>
    </w:p>
    <w:p>
      <w:r>
        <w:br/>
        <w:t>2. Excel计算步骤：</w:t>
      </w:r>
    </w:p>
    <w:p>
      <w:r>
        <w:t>步骤1：识别5对配对股票（从表1获取）</w:t>
      </w:r>
    </w:p>
    <w:p>
      <w:r>
        <w:t>步骤2：提取每对股票在10个交易日的收益率数据</w:t>
      </w:r>
    </w:p>
    <w:p>
      <w:r>
        <w:t xml:space="preserve">       - 纳入股票收益率：Dretwd</w:t>
      </w:r>
    </w:p>
    <w:p>
      <w:r>
        <w:t xml:space="preserve">       - 匹配股票收益率：Dretwd1</w:t>
      </w:r>
    </w:p>
    <w:p>
      <w:r>
        <w:t>步骤3：计算每个配对组每天的收益：</w:t>
      </w:r>
    </w:p>
    <w:p>
      <w:r>
        <w:t xml:space="preserve">       =Dretwd（纳入股票）- Dretwd1（匹配股票）</w:t>
      </w:r>
    </w:p>
    <w:p>
      <w:r>
        <w:t>步骤4：处理停牌情况：</w:t>
      </w:r>
    </w:p>
    <w:p>
      <w:r>
        <w:t xml:space="preserve">       - 如果配对中任一股票停牌（收益率为空），则该配对组当天收益为空</w:t>
      </w:r>
    </w:p>
    <w:p>
      <w:r>
        <w:t xml:space="preserve">       - 当天组合收益只计算有效配对组的等权重平均</w:t>
      </w:r>
    </w:p>
    <w:p>
      <w:r>
        <w:t>步骤5：计算等权重组合收益：</w:t>
      </w:r>
    </w:p>
    <w:p>
      <w:r>
        <w:t xml:space="preserve">       =AVERAGE(有效配对组收益) 或 =AVERAGEIF(配对组收益范围, "&lt;&gt;空值")</w:t>
      </w:r>
    </w:p>
    <w:p>
      <w:r>
        <w:br/>
        <w:t>3. 停牌权重调整说明：</w:t>
      </w:r>
    </w:p>
    <w:p>
      <w:r>
        <w:t>• 某配对组停牌时，该组不参与当天组合收益计算</w:t>
      </w:r>
    </w:p>
    <w:p>
      <w:r>
        <w:t>• 其他配对组等权重分配100%权重</w:t>
      </w:r>
    </w:p>
    <w:p>
      <w:r>
        <w:t>• 例如：5对中有1对停牌，则其余4对各占25%权重</w:t>
      </w:r>
    </w:p>
    <w:p>
      <w:pPr>
        <w:pStyle w:val="Heading3"/>
        <w:jc w:val="left"/>
      </w:pPr>
      <w:r>
        <w:t>表4：Marina策略10天Buy &amp; Hold Return（%）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10</w:t>
            </w:r>
          </w:p>
        </w:tc>
      </w:tr>
      <w:tr>
        <w:tc>
          <w:tcPr>
            <w:tcW w:type="dxa" w:w="864"/>
          </w:tcPr>
          <w:p>
            <w:r>
              <w:t>0.5758</w:t>
            </w:r>
          </w:p>
        </w:tc>
        <w:tc>
          <w:tcPr>
            <w:tcW w:type="dxa" w:w="864"/>
          </w:tcPr>
          <w:p>
            <w:r>
              <w:t>0.3154</w:t>
            </w:r>
          </w:p>
        </w:tc>
        <w:tc>
          <w:tcPr>
            <w:tcW w:type="dxa" w:w="864"/>
          </w:tcPr>
          <w:p>
            <w:r>
              <w:t>0.4319</w:t>
            </w:r>
          </w:p>
        </w:tc>
        <w:tc>
          <w:tcPr>
            <w:tcW w:type="dxa" w:w="864"/>
          </w:tcPr>
          <w:p>
            <w:r>
              <w:t>-0.6667</w:t>
            </w:r>
          </w:p>
        </w:tc>
        <w:tc>
          <w:tcPr>
            <w:tcW w:type="dxa" w:w="864"/>
          </w:tcPr>
          <w:p>
            <w:r>
              <w:t>-1.4680</w:t>
            </w:r>
          </w:p>
        </w:tc>
        <w:tc>
          <w:tcPr>
            <w:tcW w:type="dxa" w:w="864"/>
          </w:tcPr>
          <w:p>
            <w:r>
              <w:t>0.1269</w:t>
            </w:r>
          </w:p>
        </w:tc>
        <w:tc>
          <w:tcPr>
            <w:tcW w:type="dxa" w:w="864"/>
          </w:tcPr>
          <w:p>
            <w:r>
              <w:t>0.7372</w:t>
            </w:r>
          </w:p>
        </w:tc>
        <w:tc>
          <w:tcPr>
            <w:tcW w:type="dxa" w:w="864"/>
          </w:tcPr>
          <w:p>
            <w:r>
              <w:t>-0.4109</w:t>
            </w:r>
          </w:p>
        </w:tc>
        <w:tc>
          <w:tcPr>
            <w:tcW w:type="dxa" w:w="864"/>
          </w:tcPr>
          <w:p>
            <w:r>
              <w:t>0.3180</w:t>
            </w:r>
          </w:p>
        </w:tc>
        <w:tc>
          <w:tcPr>
            <w:tcW w:type="dxa" w:w="864"/>
          </w:tcPr>
          <w:p>
            <w:r>
              <w:t>-0.3533</w:t>
            </w:r>
          </w:p>
        </w:tc>
      </w:tr>
    </w:tbl>
    <w:p>
      <w:r>
        <w:br/>
        <w:t>图1：Marina策略10天收益率走势</w:t>
      </w:r>
    </w:p>
    <w:p>
      <w:r>
        <w:drawing>
          <wp:inline xmlns:a="http://schemas.openxmlformats.org/drawingml/2006/main" xmlns:pic="http://schemas.openxmlformats.org/drawingml/2006/picture">
            <wp:extent cx="5486400" cy="35382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8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4. 收益分析：</w:t>
      </w:r>
    </w:p>
    <w:p>
      <w:r>
        <w:t>• 10天累计收益率：-0.3936%</w:t>
      </w:r>
    </w:p>
    <w:p>
      <w:r>
        <w:t>• 平均日收益率：-0.0394%</w:t>
      </w:r>
    </w:p>
    <w:p>
      <w:r>
        <w:t>• 收益率标准差：0.6447%</w:t>
      </w:r>
    </w:p>
    <w:p>
      <w:r>
        <w:t>• 正收益天数：6 天</w:t>
      </w:r>
    </w:p>
    <w:p>
      <w:pPr>
        <w:pStyle w:val="Heading1"/>
        <w:jc w:val="left"/>
      </w:pPr>
      <w:r>
        <w:t>问题四：套利策略在牛熊市中的稳健性检验</w:t>
      </w:r>
    </w:p>
    <w:p>
      <w:r>
        <w:t>本问题分析套利策略在不同市场环境下的表现：</w:t>
      </w:r>
    </w:p>
    <w:p>
      <w:r>
        <w:t>• 2022年6月：牛市环境</w:t>
      </w:r>
    </w:p>
    <w:p>
      <w:r>
        <w:t>• 2023年6月：非牛熊市环境</w:t>
      </w:r>
    </w:p>
    <w:p>
      <w:r>
        <w:t>• 2024年6月：熊市环境</w:t>
      </w:r>
    </w:p>
    <w:p>
      <w:pPr>
        <w:pStyle w:val="Heading2"/>
        <w:jc w:val="left"/>
      </w:pPr>
      <w:r>
        <w:t>2022年6月（牛市）策略收益分析</w:t>
      </w:r>
    </w:p>
    <w:p>
      <w:pPr>
        <w:pStyle w:val="Heading3"/>
        <w:jc w:val="left"/>
      </w:pPr>
      <w:r>
        <w:t>表5：2022年6月（牛市）10天Buy &amp; Hold Return（%）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10</w:t>
            </w:r>
          </w:p>
        </w:tc>
      </w:tr>
      <w:tr>
        <w:tc>
          <w:tcPr>
            <w:tcW w:type="dxa" w:w="864"/>
          </w:tcPr>
          <w:p>
            <w:r>
              <w:t>-2.6569</w:t>
            </w:r>
          </w:p>
        </w:tc>
        <w:tc>
          <w:tcPr>
            <w:tcW w:type="dxa" w:w="864"/>
          </w:tcPr>
          <w:p>
            <w:r>
              <w:t>-1.9214</w:t>
            </w:r>
          </w:p>
        </w:tc>
        <w:tc>
          <w:tcPr>
            <w:tcW w:type="dxa" w:w="864"/>
          </w:tcPr>
          <w:p>
            <w:r>
              <w:t>0.6931</w:t>
            </w:r>
          </w:p>
        </w:tc>
        <w:tc>
          <w:tcPr>
            <w:tcW w:type="dxa" w:w="864"/>
          </w:tcPr>
          <w:p>
            <w:r>
              <w:t>2.1077</w:t>
            </w:r>
          </w:p>
        </w:tc>
        <w:tc>
          <w:tcPr>
            <w:tcW w:type="dxa" w:w="864"/>
          </w:tcPr>
          <w:p>
            <w:r>
              <w:t>2.4062</w:t>
            </w:r>
          </w:p>
        </w:tc>
        <w:tc>
          <w:tcPr>
            <w:tcW w:type="dxa" w:w="864"/>
          </w:tcPr>
          <w:p>
            <w:r>
              <w:t>0.9842</w:t>
            </w:r>
          </w:p>
        </w:tc>
        <w:tc>
          <w:tcPr>
            <w:tcW w:type="dxa" w:w="864"/>
          </w:tcPr>
          <w:p>
            <w:r>
              <w:t>1.8397</w:t>
            </w:r>
          </w:p>
        </w:tc>
        <w:tc>
          <w:tcPr>
            <w:tcW w:type="dxa" w:w="864"/>
          </w:tcPr>
          <w:p>
            <w:r>
              <w:t>1.5892</w:t>
            </w:r>
          </w:p>
        </w:tc>
        <w:tc>
          <w:tcPr>
            <w:tcW w:type="dxa" w:w="864"/>
          </w:tcPr>
          <w:p>
            <w:r>
              <w:t>0.9787</w:t>
            </w:r>
          </w:p>
        </w:tc>
        <w:tc>
          <w:tcPr>
            <w:tcW w:type="dxa" w:w="864"/>
          </w:tcPr>
          <w:p>
            <w:r>
              <w:t>0.4243</w:t>
            </w:r>
          </w:p>
        </w:tc>
      </w:tr>
    </w:tbl>
    <w:p>
      <w:r>
        <w:br/>
        <w:t>图：2022年6月（牛市）收益率走势</w:t>
      </w:r>
    </w:p>
    <w:p>
      <w:r>
        <w:drawing>
          <wp:inline xmlns:a="http://schemas.openxmlformats.org/drawingml/2006/main" xmlns:pic="http://schemas.openxmlformats.org/drawingml/2006/picture">
            <wp:extent cx="5486400" cy="3594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Q4_1数据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4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2022年6月（牛市）收益统计：</w:t>
      </w:r>
    </w:p>
    <w:p>
      <w:r>
        <w:t>• 累计收益率：6.4448%</w:t>
      </w:r>
    </w:p>
    <w:p>
      <w:r>
        <w:t>• 平均日收益率：0.6445%</w:t>
      </w:r>
    </w:p>
    <w:p>
      <w:r>
        <w:t>• 收益率标准差：1.5914%</w:t>
      </w:r>
    </w:p>
    <w:p>
      <w:r>
        <w:t>• 正收益天数：8 天</w:t>
      </w:r>
    </w:p>
    <w:p>
      <w:pPr>
        <w:pStyle w:val="Heading2"/>
        <w:jc w:val="left"/>
      </w:pPr>
      <w:r>
        <w:t>2023年6月（非牛熊市）策略收益分析</w:t>
      </w:r>
    </w:p>
    <w:p>
      <w:pPr>
        <w:pStyle w:val="Heading3"/>
        <w:jc w:val="left"/>
      </w:pPr>
      <w:r>
        <w:t>表6：2023年6月（非牛熊市）10天Buy &amp; Hold Return（%）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10</w:t>
            </w:r>
          </w:p>
        </w:tc>
      </w:tr>
      <w:tr>
        <w:tc>
          <w:tcPr>
            <w:tcW w:type="dxa" w:w="864"/>
          </w:tcPr>
          <w:p>
            <w:r>
              <w:t>0.1414</w:t>
            </w:r>
          </w:p>
        </w:tc>
        <w:tc>
          <w:tcPr>
            <w:tcW w:type="dxa" w:w="864"/>
          </w:tcPr>
          <w:p>
            <w:r>
              <w:t>0.4585</w:t>
            </w:r>
          </w:p>
        </w:tc>
        <w:tc>
          <w:tcPr>
            <w:tcW w:type="dxa" w:w="864"/>
          </w:tcPr>
          <w:p>
            <w:r>
              <w:t>1.3995</w:t>
            </w:r>
          </w:p>
        </w:tc>
        <w:tc>
          <w:tcPr>
            <w:tcW w:type="dxa" w:w="864"/>
          </w:tcPr>
          <w:p>
            <w:r>
              <w:t>-0.0147</w:t>
            </w:r>
          </w:p>
        </w:tc>
        <w:tc>
          <w:tcPr>
            <w:tcW w:type="dxa" w:w="864"/>
          </w:tcPr>
          <w:p>
            <w:r>
              <w:t>0.9409</w:t>
            </w:r>
          </w:p>
        </w:tc>
        <w:tc>
          <w:tcPr>
            <w:tcW w:type="dxa" w:w="864"/>
          </w:tcPr>
          <w:p>
            <w:r>
              <w:t>-0.7459</w:t>
            </w:r>
          </w:p>
        </w:tc>
        <w:tc>
          <w:tcPr>
            <w:tcW w:type="dxa" w:w="864"/>
          </w:tcPr>
          <w:p>
            <w:r>
              <w:t>-0.2938</w:t>
            </w:r>
          </w:p>
        </w:tc>
        <w:tc>
          <w:tcPr>
            <w:tcW w:type="dxa" w:w="864"/>
          </w:tcPr>
          <w:p>
            <w:r>
              <w:t>-0.2129</w:t>
            </w:r>
          </w:p>
        </w:tc>
        <w:tc>
          <w:tcPr>
            <w:tcW w:type="dxa" w:w="864"/>
          </w:tcPr>
          <w:p>
            <w:r>
              <w:t>0.3498</w:t>
            </w:r>
          </w:p>
        </w:tc>
        <w:tc>
          <w:tcPr>
            <w:tcW w:type="dxa" w:w="864"/>
          </w:tcPr>
          <w:p>
            <w:r>
              <w:t>-0.6927</w:t>
            </w:r>
          </w:p>
        </w:tc>
      </w:tr>
    </w:tbl>
    <w:p>
      <w:r>
        <w:br/>
        <w:t>图：2023年6月（非牛熊市）收益率走势</w:t>
      </w:r>
    </w:p>
    <w:p>
      <w:r>
        <w:drawing>
          <wp:inline xmlns:a="http://schemas.openxmlformats.org/drawingml/2006/main" xmlns:pic="http://schemas.openxmlformats.org/drawingml/2006/picture">
            <wp:extent cx="5486400" cy="35382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Q4_2数据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8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2023年6月（非牛熊市）收益统计：</w:t>
      </w:r>
    </w:p>
    <w:p>
      <w:r>
        <w:t>• 累计收益率：1.3300%</w:t>
      </w:r>
    </w:p>
    <w:p>
      <w:r>
        <w:t>• 平均日收益率：0.1330%</w:t>
      </w:r>
    </w:p>
    <w:p>
      <w:r>
        <w:t>• 收益率标准差：0.6471%</w:t>
      </w:r>
    </w:p>
    <w:p>
      <w:r>
        <w:t>• 正收益天数：5 天</w:t>
      </w:r>
    </w:p>
    <w:p>
      <w:pPr>
        <w:pStyle w:val="Heading2"/>
        <w:jc w:val="left"/>
      </w:pPr>
      <w:r>
        <w:t>2024年6月（熊市）策略收益分析</w:t>
      </w:r>
    </w:p>
    <w:p>
      <w:pPr>
        <w:pStyle w:val="Heading3"/>
        <w:jc w:val="left"/>
      </w:pPr>
      <w:r>
        <w:t>表7：2024年6月（熊市）10天Buy &amp; Hold Return（%）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10</w:t>
            </w:r>
          </w:p>
        </w:tc>
      </w:tr>
      <w:tr>
        <w:tc>
          <w:tcPr>
            <w:tcW w:type="dxa" w:w="864"/>
          </w:tcPr>
          <w:p>
            <w:r>
              <w:t>-1.3291</w:t>
            </w:r>
          </w:p>
        </w:tc>
        <w:tc>
          <w:tcPr>
            <w:tcW w:type="dxa" w:w="864"/>
          </w:tcPr>
          <w:p>
            <w:r>
              <w:t>-0.4734</w:t>
            </w:r>
          </w:p>
        </w:tc>
        <w:tc>
          <w:tcPr>
            <w:tcW w:type="dxa" w:w="864"/>
          </w:tcPr>
          <w:p>
            <w:r>
              <w:t>0.4472</w:t>
            </w:r>
          </w:p>
        </w:tc>
        <w:tc>
          <w:tcPr>
            <w:tcW w:type="dxa" w:w="864"/>
          </w:tcPr>
          <w:p>
            <w:r>
              <w:t>1.0161</w:t>
            </w:r>
          </w:p>
        </w:tc>
        <w:tc>
          <w:tcPr>
            <w:tcW w:type="dxa" w:w="864"/>
          </w:tcPr>
          <w:p>
            <w:r>
              <w:t>2.1549</w:t>
            </w:r>
          </w:p>
        </w:tc>
        <w:tc>
          <w:tcPr>
            <w:tcW w:type="dxa" w:w="864"/>
          </w:tcPr>
          <w:p>
            <w:r>
              <w:t>1.9098</w:t>
            </w:r>
          </w:p>
        </w:tc>
        <w:tc>
          <w:tcPr>
            <w:tcW w:type="dxa" w:w="864"/>
          </w:tcPr>
          <w:p>
            <w:r>
              <w:t>4.0115</w:t>
            </w:r>
          </w:p>
        </w:tc>
        <w:tc>
          <w:tcPr>
            <w:tcW w:type="dxa" w:w="864"/>
          </w:tcPr>
          <w:p>
            <w:r>
              <w:t>2.8519</w:t>
            </w:r>
          </w:p>
        </w:tc>
        <w:tc>
          <w:tcPr>
            <w:tcW w:type="dxa" w:w="864"/>
          </w:tcPr>
          <w:p>
            <w:r>
              <w:t>-4.7685</w:t>
            </w:r>
          </w:p>
        </w:tc>
        <w:tc>
          <w:tcPr>
            <w:tcW w:type="dxa" w:w="864"/>
          </w:tcPr>
          <w:p>
            <w:r>
              <w:t>0.7253</w:t>
            </w:r>
          </w:p>
        </w:tc>
      </w:tr>
    </w:tbl>
    <w:p>
      <w:r>
        <w:br/>
        <w:t>图：2024年6月（熊市）收益率走势</w:t>
      </w:r>
    </w:p>
    <w:p>
      <w:r>
        <w:drawing>
          <wp:inline xmlns:a="http://schemas.openxmlformats.org/drawingml/2006/main" xmlns:pic="http://schemas.openxmlformats.org/drawingml/2006/picture">
            <wp:extent cx="5486400" cy="35944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Q4_3数据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4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2024年6月（熊市）收益统计：</w:t>
      </w:r>
    </w:p>
    <w:p>
      <w:r>
        <w:t>• 累计收益率：6.5457%</w:t>
      </w:r>
    </w:p>
    <w:p>
      <w:r>
        <w:t>• 平均日收益率：0.6546%</w:t>
      </w:r>
    </w:p>
    <w:p>
      <w:r>
        <w:t>• 收益率标准差：2.3392%</w:t>
      </w:r>
    </w:p>
    <w:p>
      <w:r>
        <w:t>• 正收益天数：7 天</w:t>
      </w:r>
    </w:p>
    <w:p>
      <w:pPr>
        <w:pStyle w:val="Heading2"/>
        <w:jc w:val="left"/>
      </w:pPr>
      <w:r>
        <w:t>不同市场环境对比分析</w:t>
      </w:r>
    </w:p>
    <w:p>
      <w:r>
        <w:br/>
        <w:t>图：不同市场环境收益率对比</w:t>
      </w:r>
    </w:p>
    <w:p>
      <w:r>
        <w:drawing>
          <wp:inline xmlns:a="http://schemas.openxmlformats.org/drawingml/2006/main" xmlns:pic="http://schemas.openxmlformats.org/drawingml/2006/picture">
            <wp:extent cx="5486400" cy="30345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comparison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4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对比分析结论：</w:t>
        <w:br/>
        <w:br/>
        <w:t>1. 收益率水平差异：</w:t>
        <w:br/>
        <w:t xml:space="preserve">   - 牛市环境：套利策略可能受益于整体市场上涨，但纳入效应相对较弱</w:t>
        <w:br/>
        <w:t xml:space="preserve">   - 非牛熊市：市场相对平稳，纳入效应可能更加显著</w:t>
        <w:br/>
        <w:t xml:space="preserve">   - 熊市环境：市场下跌压力大，套利策略可能面临更大风险</w:t>
        <w:br/>
        <w:br/>
        <w:t>2. 收益稳定性差异：</w:t>
        <w:br/>
        <w:t xml:space="preserve">   - 不同市场环境下，收益率的波动程度可能有显著差异</w:t>
        <w:br/>
        <w:t xml:space="preserve">   - 熊市环境下，收益率标准差通常更大</w:t>
        <w:br/>
        <w:t xml:space="preserve">   - 牛市环境下，收益可能更加稳定</w:t>
        <w:br/>
        <w:br/>
        <w:t>3. 策略有效性：</w:t>
        <w:br/>
        <w:t xml:space="preserve">   - 配对交易策略通过同行业、同市场、相近Beta的匹配，能够较好地控制市场风险</w:t>
        <w:br/>
        <w:t xml:space="preserve">   - 在不同市场环境下，策略的风险收益特征可能发生变化</w:t>
        <w:br/>
        <w:t xml:space="preserve">   - 需要根据市场环境调整策略参数</w:t>
        <w:br/>
        <w:br/>
        <w:t>4. 与问题三的比较：</w:t>
        <w:br/>
        <w:t xml:space="preserve">   - 问题三使用2025年6月数据（具体市场环境待定）</w:t>
        <w:br/>
        <w:t xml:space="preserve">   - 通过多时期对比，可以验证策略的稳健性</w:t>
        <w:br/>
        <w:t xml:space="preserve">   - 策略在不同环境下的表现差异，反映了市场环境对指数纳入效应的影响</w:t>
        <w:br/>
        <w:br/>
        <w:t>5. 投资启示：</w:t>
        <w:br/>
        <w:t xml:space="preserve">   - 配对交易策略能够在一定程度上规避市场系统性风险</w:t>
        <w:br/>
        <w:t xml:space="preserve">   - 但仍需关注市场环境变化</w:t>
        <w:br/>
        <w:t xml:space="preserve">   - 建议结合市场判断，适时调整仓位和对冲比例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