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Outbreak Investigation Report – Region K (April 2025)</w:t>
      </w:r>
    </w:p>
    <w:p>
      <w:r>
        <w:t>Prepared by: Lead Epidemiologist</w:t>
        <w:br/>
        <w:t>Date: April 15, 2025</w:t>
        <w:br/>
        <w:t>Facility: Regional Disease Control Office – Kabira</w:t>
      </w:r>
    </w:p>
    <w:p>
      <w:pPr>
        <w:pStyle w:val="Heading2"/>
      </w:pPr>
      <w:r>
        <w:t>Executive Summary</w:t>
      </w:r>
    </w:p>
    <w:p>
      <w:r>
        <w:t>This document details the findings from the outbreak investigation conducted in Region K during the first half of April 2025. The investigation aimed to understand the cause of the increase in respiratory illnesses and determine if further intervention was needed.</w:t>
      </w:r>
    </w:p>
    <w:p>
      <w:pPr>
        <w:pStyle w:val="Heading2"/>
      </w:pPr>
      <w:r>
        <w:t>Epidemiological Observations</w:t>
      </w:r>
    </w:p>
    <w:p>
      <w:r>
        <w:t>- Case spike observed between April 3–10.</w:t>
        <w:br/>
        <w:t>- 85 reported cases of respiratory illness within one week.</w:t>
        <w:br/>
        <w:t>- Patient interviews and environmental tests suggest airborne transmission.</w:t>
        <w:br/>
        <w:t>- Shared exposure sources include a regional market and school events.</w:t>
      </w:r>
    </w:p>
    <w:p>
      <w:pPr>
        <w:pStyle w:val="Heading2"/>
      </w:pPr>
      <w:r>
        <w:t>Demographic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Age Group</w:t>
            </w:r>
          </w:p>
        </w:tc>
        <w:tc>
          <w:tcPr>
            <w:tcW w:type="dxa" w:w="2880"/>
          </w:tcPr>
          <w:p>
            <w:r>
              <w:t>Cases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0–12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High school absenteeism reported</w:t>
            </w:r>
          </w:p>
        </w:tc>
      </w:tr>
      <w:tr>
        <w:tc>
          <w:tcPr>
            <w:tcW w:type="dxa" w:w="2880"/>
          </w:tcPr>
          <w:p>
            <w:r>
              <w:t>13–35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Affected mostly in urban schools</w:t>
            </w:r>
          </w:p>
        </w:tc>
      </w:tr>
      <w:tr>
        <w:tc>
          <w:tcPr>
            <w:tcW w:type="dxa" w:w="2880"/>
          </w:tcPr>
          <w:p>
            <w:r>
              <w:t>36–60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Lower exposure, fewer public events</w:t>
            </w:r>
          </w:p>
        </w:tc>
      </w:tr>
      <w:tr>
        <w:tc>
          <w:tcPr>
            <w:tcW w:type="dxa" w:w="2880"/>
          </w:tcPr>
          <w:p>
            <w:r>
              <w:t>60+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Senior care facility under review</w:t>
            </w:r>
          </w:p>
        </w:tc>
      </w:tr>
    </w:tbl>
    <w:p>
      <w:pPr>
        <w:pStyle w:val="Heading2"/>
      </w:pPr>
      <w:r>
        <w:t>Recommendations</w:t>
      </w:r>
    </w:p>
    <w:p>
      <w:r>
        <w:t>1. Initiate localized awareness campaigns in schools and markets.</w:t>
        <w:br/>
        <w:t>2. Improve ventilation and mask protocols in indoor public spaces.</w:t>
        <w:br/>
        <w:t>3. Continue symptom monitoring for two more weeks.</w:t>
        <w:br/>
        <w:t>4. Prepare mobile testing teams if case count rises above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