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08F3" w14:textId="77777777" w:rsidR="00594CA1" w:rsidRPr="00211DA7" w:rsidRDefault="00000000">
      <w:pPr>
        <w:jc w:val="center"/>
        <w:divId w:val="1335377720"/>
        <w:rPr>
          <w:rFonts w:ascii="Times New Roman" w:eastAsia="細明體" w:hAnsi="Times New Roman" w:cs="Times New Roman"/>
          <w:b/>
          <w:bCs/>
          <w:color w:val="000000"/>
          <w:sz w:val="28"/>
          <w:szCs w:val="28"/>
        </w:rPr>
      </w:pPr>
      <w:r w:rsidRPr="00211DA7">
        <w:rPr>
          <w:rFonts w:ascii="Times New Roman" w:eastAsia="細明體" w:hAnsi="Times New Roman" w:cs="Times New Roman"/>
          <w:b/>
          <w:bCs/>
          <w:color w:val="000000"/>
          <w:sz w:val="28"/>
          <w:szCs w:val="28"/>
        </w:rPr>
        <w:t>學生專注度與異常行為分析系統專題計畫書</w:t>
      </w:r>
    </w:p>
    <w:p w14:paraId="6E43E6C2" w14:textId="3DF89930" w:rsidR="00E42853" w:rsidRPr="00211DA7" w:rsidRDefault="00000000">
      <w:pPr>
        <w:jc w:val="center"/>
        <w:divId w:val="146939886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趙俊翔</w:t>
      </w:r>
    </w:p>
    <w:p w14:paraId="1A2E28F9" w14:textId="45BC9243" w:rsidR="00594CA1" w:rsidRPr="00211DA7" w:rsidRDefault="00000000">
      <w:pPr>
        <w:jc w:val="center"/>
        <w:divId w:val="146939886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陳定宏</w:t>
      </w:r>
      <w:r w:rsidRPr="00211DA7">
        <w:rPr>
          <w:rFonts w:ascii="Times New Roman" w:eastAsia="細明體" w:hAnsi="Times New Roman" w:cs="Times New Roman"/>
          <w:color w:val="000000"/>
        </w:rPr>
        <w:br/>
      </w:r>
      <w:r w:rsidRPr="00211DA7">
        <w:rPr>
          <w:rFonts w:ascii="Times New Roman" w:eastAsia="細明體" w:hAnsi="Times New Roman" w:cs="Times New Roman"/>
          <w:color w:val="000000"/>
        </w:rPr>
        <w:t>南</w:t>
      </w:r>
      <w:proofErr w:type="gramStart"/>
      <w:r w:rsidRPr="00211DA7">
        <w:rPr>
          <w:rFonts w:ascii="Times New Roman" w:eastAsia="細明體" w:hAnsi="Times New Roman" w:cs="Times New Roman"/>
          <w:color w:val="000000"/>
        </w:rPr>
        <w:t>臺</w:t>
      </w:r>
      <w:proofErr w:type="gramEnd"/>
      <w:r w:rsidRPr="00211DA7">
        <w:rPr>
          <w:rFonts w:ascii="Times New Roman" w:eastAsia="細明體" w:hAnsi="Times New Roman" w:cs="Times New Roman"/>
          <w:color w:val="000000"/>
        </w:rPr>
        <w:t>科技大學資訊工程學系</w:t>
      </w:r>
    </w:p>
    <w:p w14:paraId="5E1A3C9C" w14:textId="77777777" w:rsidR="00E42853" w:rsidRPr="00211DA7" w:rsidRDefault="00E42853">
      <w:pPr>
        <w:spacing w:after="120"/>
        <w:jc w:val="center"/>
        <w:divId w:val="2101950485"/>
        <w:rPr>
          <w:rFonts w:ascii="Times New Roman" w:eastAsia="細明體" w:hAnsi="Times New Roman" w:cs="Times New Roman"/>
          <w:b/>
          <w:bCs/>
          <w:color w:val="000000"/>
          <w:sz w:val="22"/>
          <w:szCs w:val="22"/>
        </w:rPr>
        <w:sectPr w:rsidR="00E42853" w:rsidRPr="00211DA7" w:rsidSect="00E42853">
          <w:pgSz w:w="11906" w:h="16838"/>
          <w:pgMar w:top="1418" w:right="1418" w:bottom="1418" w:left="1418" w:header="851" w:footer="992" w:gutter="0"/>
          <w:cols w:space="425"/>
          <w:docGrid w:linePitch="360"/>
        </w:sectPr>
      </w:pPr>
    </w:p>
    <w:p w14:paraId="77E69200" w14:textId="77777777" w:rsidR="00594CA1" w:rsidRPr="00211DA7" w:rsidRDefault="00000000">
      <w:pPr>
        <w:jc w:val="center"/>
        <w:divId w:val="2101950485"/>
        <w:rPr>
          <w:rFonts w:ascii="Times New Roman" w:eastAsia="細明體" w:hAnsi="Times New Roman" w:cs="Times New Roman"/>
          <w:b/>
          <w:bCs/>
          <w:color w:val="000000"/>
          <w:sz w:val="22"/>
          <w:szCs w:val="22"/>
        </w:rPr>
      </w:pPr>
      <w:r w:rsidRPr="00211DA7">
        <w:rPr>
          <w:rFonts w:ascii="Times New Roman" w:eastAsia="細明體" w:hAnsi="Times New Roman" w:cs="Times New Roman"/>
          <w:b/>
          <w:bCs/>
          <w:color w:val="000000"/>
          <w:sz w:val="22"/>
          <w:szCs w:val="22"/>
        </w:rPr>
        <w:t>摘要</w:t>
      </w:r>
    </w:p>
    <w:p w14:paraId="637BF705" w14:textId="77777777" w:rsidR="00594CA1" w:rsidRPr="00211DA7" w:rsidRDefault="00000000">
      <w:pPr>
        <w:jc w:val="both"/>
        <w:divId w:val="146291327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本文提出一個基於邊緣視覺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AI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技術之智慧教室「學生專注度與異常行為分析系統」專題計畫。本系統架構區分為前端獨立執行之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Streamlit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即時監控儀表板，以及後端基於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FastAPI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之高速推論與數據處理核心。透過微服務行程隔離技術，避免多進程競爭本機攝影機資源。視覺運算層整合輕量化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ONNX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架構與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ByteTrack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多目標追蹤演算法，於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 FPS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節流幀率下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提取人體骨架節點，並設計動態高斯模糊層落實嚴格的隱私去識別化保護。系統核心之專注度評分引擎與連續動作過濾器（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FSM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），能有效平滑逐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幀噪訊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，精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準判定趴睡及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疑似使用手機等異常姿態，並將高頻時序資料透過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異步緩衝隊列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批次持久化寫入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MongoDB Time Series Collection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。課程結束後自動生成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ReportLab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學術級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PDF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分析報告。本研究旨在提供教師精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準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、客觀且具隱私防護之課堂質量數據分析工具，對數位教學評鑑與智慧校園之發展具有實務應用價值。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 </w:t>
      </w:r>
    </w:p>
    <w:p w14:paraId="25C05FBF" w14:textId="77777777" w:rsidR="00594CA1" w:rsidRPr="00211DA7" w:rsidRDefault="00000000">
      <w:pPr>
        <w:pStyle w:val="1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一、前言</w:t>
      </w:r>
    </w:p>
    <w:p w14:paraId="6025EF90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隨著教學現場邁向智慧化管理，如何客觀且即時地掌握課堂班級專注狀態，成為精進教學品質的關鍵指標。傳統課堂多仰賴教師人工巡視，不僅難以量化統計，亦易因專注於授課而忽略死角區域學生之學習狀態。近年來電腦視覺與深度學習技術日趨成熟，為自動化教學評鑑提供可行路徑。然而，現有視覺分析系統普遍存在推論能耗過高、逐幀訊號抖動嚴重引發頻繁誤判、以及人臉識別所衍生之嚴重的個人隱私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PII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）侵害等瓶頸。為了解決上述問題，本專題旨在開發一套兼具高即時性、高精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準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度與隱私保護的課堂專注度監控與大數據分析平台。</w:t>
      </w:r>
    </w:p>
    <w:p w14:paraId="2A64449A" w14:textId="77777777" w:rsidR="00594CA1" w:rsidRPr="00211DA7" w:rsidRDefault="00000000">
      <w:pPr>
        <w:pStyle w:val="1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二、目的</w:t>
      </w:r>
    </w:p>
    <w:p w14:paraId="63A880E4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本專題之核心目的為建構一套微服務架構之課堂行為分析系統。具體研發目標包含：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(1)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開發基於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Streamlit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之響應式多功能教師儀表板，提供即時動態指標與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ROI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感興趣區域互動設定。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(2)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建立高隱私保護之視覺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AI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核心，確保原始影像在離開主記憶體前即完成臉部去識別化。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(3)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設計結合頭部朝向與異常姿態之評分引擎，並運用有限狀態機（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FSM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過濾撿筆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、轉頭等短暫雜訊。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(4)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實作高頻時序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資料異步批次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寫入機制，優化資料庫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I/O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效能並確保系統穩定性，最終提供客觀的課後分析報告。</w:t>
      </w:r>
    </w:p>
    <w:p w14:paraId="52658677" w14:textId="77777777" w:rsidR="00594CA1" w:rsidRPr="00211DA7" w:rsidRDefault="00000000">
      <w:pPr>
        <w:pStyle w:val="1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三、文獻探討</w:t>
      </w:r>
    </w:p>
    <w:p w14:paraId="1BE462B1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在多目標追蹤與姿態估計領域，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YOLO-Pose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系列架構因具備單次前向傳播（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Single-shot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）同時提取人體邊界框與骨架關鍵點之特性，在邊緣端運算中被廣泛採用。相較於傳統基於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PyTorch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框架之動態圖推論，使用開放神經網路交換（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ONNX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）格式搭配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ONNXRuntime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，能在不損失精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準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度的前提下，大幅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提升算力受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限系統之吞吐量。在目標追蹤方面，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ByteTrack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演レスレット演算法透過對低信心度偵測框的二次匹配，解決了課堂環境中學生彼此前後遮擋或劇烈姿態變更造成的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漂移問題，能維持高達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幀之遮擋容忍度，為時序行為分析奠定穩定基礎。</w:t>
      </w:r>
    </w:p>
    <w:p w14:paraId="23AAE383" w14:textId="77777777" w:rsidR="00594CA1" w:rsidRPr="00211DA7" w:rsidRDefault="00000000">
      <w:pPr>
        <w:pStyle w:val="1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四、研究方法</w:t>
      </w:r>
    </w:p>
    <w:p w14:paraId="6DE6EFCE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本系統由四大核心模組協同運作：</w:t>
      </w:r>
    </w:p>
    <w:p w14:paraId="4F8A9C29" w14:textId="77777777" w:rsidR="00594CA1" w:rsidRPr="00211DA7" w:rsidRDefault="00000000">
      <w:pPr>
        <w:pStyle w:val="2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4.1 </w:t>
      </w:r>
      <w:r w:rsidRPr="00211DA7">
        <w:rPr>
          <w:rFonts w:ascii="Times New Roman" w:eastAsia="細明體" w:hAnsi="Times New Roman" w:cs="Times New Roman"/>
          <w:color w:val="000000"/>
        </w:rPr>
        <w:t>視覺</w:t>
      </w:r>
      <w:r w:rsidRPr="00211DA7">
        <w:rPr>
          <w:rFonts w:ascii="Times New Roman" w:eastAsia="細明體" w:hAnsi="Times New Roman" w:cs="Times New Roman"/>
          <w:color w:val="000000"/>
        </w:rPr>
        <w:t>AI</w:t>
      </w:r>
      <w:r w:rsidRPr="00211DA7">
        <w:rPr>
          <w:rFonts w:ascii="Times New Roman" w:eastAsia="細明體" w:hAnsi="Times New Roman" w:cs="Times New Roman"/>
          <w:color w:val="000000"/>
        </w:rPr>
        <w:t>核心與隱私防護模組</w:t>
      </w:r>
    </w:p>
    <w:p w14:paraId="1395A125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系統以嚴格鉗制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之幀率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 FPS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）讀取攝影機輸入。若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物理幀率過高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，主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迴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圈將主動讀取並丟棄緩衝區之多餘幀，嚴禁使用阻塞性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Thread Sleep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。推論引擎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加載輕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量化</w:t>
      </w:r>
      <w:r w:rsidRPr="00211DA7">
        <w:rPr>
          <w:rStyle w:val="math1"/>
          <w:rFonts w:eastAsia="細明體"/>
          <w:color w:val="000000"/>
          <w:sz w:val="20"/>
          <w:szCs w:val="20"/>
        </w:rPr>
        <w:t>yolov8n-pose.onnx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模型，取得全班骨架及頭部邊界框（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BBox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）。為落實隱私保護，系統在任何資料寫入硬碟或網絡傳輸前，立即對頭部區域套用不小於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31×31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核心之高斯模糊遮罩，隨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後方疊加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繪製追蹤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與即時分數，確保資訊去識別化。多目標追蹤採用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ByteTrack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，當偵測到新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且其與前一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幀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消失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之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IoU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大於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0.8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時，自動繼承狀態以防止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漂移。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此外，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系統提供感興趣區域（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ROI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）過濾機制，使用者可透過前端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Canvas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元件標記多邊形座標，系統透過</w:t>
      </w:r>
      <w:r w:rsidRPr="00211DA7">
        <w:rPr>
          <w:rStyle w:val="math1"/>
          <w:rFonts w:eastAsia="細明體"/>
          <w:color w:val="000000"/>
          <w:sz w:val="20"/>
          <w:szCs w:val="20"/>
        </w:rPr>
        <w:t>cv2.pointPolygonTest()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演算法進行幾何判定，自動剔除講台教師或走廊路人等非座位區骨架。</w:t>
      </w:r>
    </w:p>
    <w:p w14:paraId="6E53D085" w14:textId="77777777" w:rsidR="00594CA1" w:rsidRPr="00211DA7" w:rsidRDefault="00000000">
      <w:pPr>
        <w:jc w:val="center"/>
        <w:textAlignment w:val="top"/>
        <w:divId w:val="1930770452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表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1.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頭部朝向估計策略優先順序表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698"/>
        <w:gridCol w:w="670"/>
        <w:gridCol w:w="1438"/>
      </w:tblGrid>
      <w:tr w:rsidR="00594CA1" w:rsidRPr="00211DA7" w14:paraId="2CC1B10A" w14:textId="77777777">
        <w:trPr>
          <w:divId w:val="13894541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73747B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  <w:t>優先級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485766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  <w:t>觸發條件</w:t>
            </w:r>
            <w:r w:rsidRPr="00211DA7"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  <w:t xml:space="preserve"> (Confidence ≥ 0.45)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4D86D2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  <w:t>使用關鍵點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3A0AEA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b/>
                <w:bCs/>
                <w:color w:val="000000"/>
                <w:sz w:val="18"/>
                <w:szCs w:val="18"/>
              </w:rPr>
              <w:t>計算方法</w:t>
            </w:r>
          </w:p>
        </w:tc>
      </w:tr>
      <w:tr w:rsidR="00594CA1" w:rsidRPr="00211DA7" w14:paraId="6AAAA072" w14:textId="77777777">
        <w:trPr>
          <w:divId w:val="13894541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B19431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8EE12F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鼻子、雙眼均有效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61A98E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0, 1, 2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B2927C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五官相對位置幾何估算</w:t>
            </w:r>
          </w:p>
        </w:tc>
      </w:tr>
      <w:tr w:rsidR="00594CA1" w:rsidRPr="00211DA7" w14:paraId="74C98020" w14:textId="77777777">
        <w:trPr>
          <w:divId w:val="13894541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DA29EE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875440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僅</w:t>
            </w:r>
            <w:proofErr w:type="gramStart"/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雙耳與雙肩</w:t>
            </w:r>
            <w:proofErr w:type="gramEnd"/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有效</w:t>
            </w: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背對</w:t>
            </w: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B7C4FD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3, 4, 5, 6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0CD80E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耳肩幾何</w:t>
            </w:r>
            <w:proofErr w:type="gramEnd"/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輔助演算法</w:t>
            </w:r>
          </w:p>
        </w:tc>
      </w:tr>
      <w:tr w:rsidR="00594CA1" w:rsidRPr="00211DA7" w14:paraId="3B0EAF08" w14:textId="77777777">
        <w:trPr>
          <w:divId w:val="13894541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45532B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948918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僅雙肩有效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5C038E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5, 6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01545F" w14:textId="77777777" w:rsidR="00594CA1" w:rsidRPr="00211DA7" w:rsidRDefault="00000000">
            <w:pPr>
              <w:jc w:val="center"/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</w:pP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>肩線水平角估算</w:t>
            </w:r>
            <w:r w:rsidRPr="00211DA7">
              <w:rPr>
                <w:rFonts w:ascii="Times New Roman" w:eastAsia="細明體" w:hAnsi="Times New Roman" w:cs="Times New Roman"/>
                <w:color w:val="000000"/>
                <w:sz w:val="18"/>
                <w:szCs w:val="18"/>
              </w:rPr>
              <w:t xml:space="preserve"> (Pitch=0)</w:t>
            </w:r>
          </w:p>
        </w:tc>
      </w:tr>
    </w:tbl>
    <w:p w14:paraId="3D5D9CAC" w14:textId="77777777" w:rsidR="00594CA1" w:rsidRPr="00211DA7" w:rsidRDefault="00000000">
      <w:pPr>
        <w:pStyle w:val="2"/>
        <w:textAlignment w:val="top"/>
        <w:divId w:val="1187014500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4.2 </w:t>
      </w:r>
      <w:r w:rsidRPr="00211DA7">
        <w:rPr>
          <w:rFonts w:ascii="Times New Roman" w:eastAsia="細明體" w:hAnsi="Times New Roman" w:cs="Times New Roman"/>
          <w:color w:val="000000"/>
        </w:rPr>
        <w:t>頭部朝向與異常姿態判定</w:t>
      </w:r>
    </w:p>
    <w:p w14:paraId="118BC099" w14:textId="39686FF8" w:rsidR="00211DA7" w:rsidRPr="00211DA7" w:rsidRDefault="00000000" w:rsidP="00211DA7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頭部朝向估計依據節點信心度（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閾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0.45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採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三級降級策略（如表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1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所示）。計算得出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Yaw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與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Pitch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角度後，若滿足下式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(1)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之幾何範疇，則判定為「看向黑板」，否則視為未看黑板：</w:t>
      </w:r>
    </w:p>
    <w:p w14:paraId="665E24E4" w14:textId="77777777" w:rsidR="00211DA7" w:rsidRDefault="00211DA7">
      <w:pPr>
        <w:jc w:val="both"/>
        <w:textAlignment w:val="top"/>
        <w:divId w:val="308293180"/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</w:p>
    <w:p w14:paraId="64810752" w14:textId="769C5462" w:rsidR="00594CA1" w:rsidRDefault="00000000">
      <w:pPr>
        <w:jc w:val="both"/>
        <w:textAlignment w:val="top"/>
        <w:divId w:val="308293180"/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|Yaw| ≤ 30° </w:t>
      </w:r>
      <w:r w:rsidRPr="00211DA7">
        <w:rPr>
          <w:rStyle w:val="equation-text1"/>
          <w:rFonts w:ascii="Cambria Math" w:eastAsia="細明體" w:hAnsi="Cambria Math" w:cs="Cambria Math"/>
          <w:i/>
          <w:iCs/>
          <w:color w:val="000000"/>
          <w:sz w:val="20"/>
          <w:szCs w:val="20"/>
        </w:rPr>
        <w:t>∧</w:t>
      </w: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|Pitch| ≤ 25°</w:t>
      </w:r>
      <w:r w:rsidRPr="00211DA7"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（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1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）</w:t>
      </w:r>
      <w:r w:rsidRPr="00211DA7"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</w:t>
      </w:r>
    </w:p>
    <w:p w14:paraId="7C74BE88" w14:textId="77777777" w:rsidR="00211DA7" w:rsidRPr="00211DA7" w:rsidRDefault="00211DA7">
      <w:pPr>
        <w:jc w:val="both"/>
        <w:textAlignment w:val="top"/>
        <w:divId w:val="308293180"/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</w:p>
    <w:p w14:paraId="4502BA04" w14:textId="77777777" w:rsidR="00594CA1" w:rsidRPr="00211DA7" w:rsidRDefault="00000000">
      <w:pPr>
        <w:pStyle w:val="Web"/>
        <w:jc w:val="both"/>
        <w:textAlignment w:val="top"/>
        <w:divId w:val="1187014500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姿態推導完全去實體物件化，排除手機等物件偵測。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當肩頸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Y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軸距離與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BBox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高度比值小於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0.2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（或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Pitch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大於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60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度、身體側傾大於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0.3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倍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BBox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高度）時，觸發趴睡標記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</w:t>
      </w:r>
      <w:proofErr w:type="spellStart"/>
      <w:proofErr w:type="gramEnd"/>
      <w:r w:rsidRPr="00211DA7">
        <w:rPr>
          <w:rStyle w:val="math1"/>
          <w:rFonts w:eastAsia="細明體"/>
          <w:color w:val="000000"/>
          <w:sz w:val="20"/>
          <w:szCs w:val="20"/>
        </w:rPr>
        <w:t>PoseFlag.SLEEPING</w:t>
      </w:r>
      <w:proofErr w:type="spellEnd"/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；當左右任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一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手腕有效且高度低於肩胯中線，同時頭部下傾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Pitch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小於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-35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度時，觸發疑似使用手機標記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</w:t>
      </w:r>
      <w:proofErr w:type="spellStart"/>
      <w:proofErr w:type="gramEnd"/>
      <w:r w:rsidRPr="00211DA7">
        <w:rPr>
          <w:rStyle w:val="math1"/>
          <w:rFonts w:eastAsia="細明體"/>
          <w:color w:val="000000"/>
          <w:sz w:val="20"/>
          <w:szCs w:val="20"/>
        </w:rPr>
        <w:t>PoseFlag.PHONE_SUSPECTED</w:t>
      </w:r>
      <w:proofErr w:type="spellEnd"/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</w:t>
      </w:r>
    </w:p>
    <w:p w14:paraId="14A71481" w14:textId="77777777" w:rsidR="00594CA1" w:rsidRPr="00211DA7" w:rsidRDefault="00000000">
      <w:pPr>
        <w:pStyle w:val="2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4.3 </w:t>
      </w:r>
      <w:r w:rsidRPr="00211DA7">
        <w:rPr>
          <w:rFonts w:ascii="Times New Roman" w:eastAsia="細明體" w:hAnsi="Times New Roman" w:cs="Times New Roman"/>
          <w:color w:val="000000"/>
        </w:rPr>
        <w:t>有限狀態機與平滑引擎</w:t>
      </w:r>
    </w:p>
    <w:p w14:paraId="68CA65AA" w14:textId="77777777" w:rsidR="00594CA1" w:rsidRPr="00211DA7" w:rsidRDefault="00000000">
      <w:pPr>
        <w:pStyle w:val="Web"/>
        <w:jc w:val="both"/>
        <w:textAlignment w:val="top"/>
        <w:divId w:val="901719448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為了消除學生短暫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低頭撿筆或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轉頭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等瞬態噪訊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，系統為每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個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追蹤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維護獨立的並行有限狀態機（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FSM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）實例。狀態轉移機制如圖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1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所示：異常首次偵測（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detected_at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）後進入觀察期（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PENDING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），若異常持續滿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秒則轉入預警期（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WARNING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）並開始實施分數懲罰；持續滿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10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秒則晉升至確認期（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CONFIRMED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），非同步向資料庫寫入異常事件。若異常消失超過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秒，狀態回歸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NORMAL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。當學生離開畫面超過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6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幀），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FSM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轉為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TERMINATED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，釋放記憶體並銷毀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點滾動平均平滑器窗口，同時自動將未結束事件更新為追蹤遺失（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tracking_lost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）。</w:t>
      </w:r>
    </w:p>
    <w:p w14:paraId="338F876A" w14:textId="2FE1E175" w:rsidR="00E42853" w:rsidRDefault="00E42853" w:rsidP="00E42853">
      <w:pPr>
        <w:jc w:val="center"/>
        <w:textAlignment w:val="top"/>
        <w:divId w:val="438795841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0793105C" wp14:editId="01805430">
            <wp:extent cx="2744470" cy="1497965"/>
            <wp:effectExtent l="0" t="0" r="0" b="6985"/>
            <wp:docPr id="24142114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1141" name="圖片 2414211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E442" w14:textId="036282EC" w:rsidR="00211DA7" w:rsidRPr="00211DA7" w:rsidRDefault="00211DA7" w:rsidP="00211DA7">
      <w:pPr>
        <w:jc w:val="center"/>
        <w:textAlignment w:val="top"/>
        <w:divId w:val="438795841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圖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 xml:space="preserve">1. 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有限狀態機（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FSM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）狀態轉移邏輯</w:t>
      </w:r>
    </w:p>
    <w:p w14:paraId="483B95D6" w14:textId="77777777" w:rsidR="00594CA1" w:rsidRPr="00211DA7" w:rsidRDefault="00000000">
      <w:pPr>
        <w:pStyle w:val="Web"/>
        <w:jc w:val="both"/>
        <w:textAlignment w:val="top"/>
        <w:divId w:val="901719448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即時專注度評分公式如式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(2)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所示，基礎分由看黑板（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+50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）與坐姿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端正（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+50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）構成，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WARNING/CONFIRMED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狀態下扣分項正式生效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（疑似手機扣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，趴睡扣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且不獲坐姿加分），最終限制於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至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100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分區間，並經由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6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秒滾動平均窗口平滑後用於前端展示。</w:t>
      </w:r>
    </w:p>
    <w:p w14:paraId="35FFFF60" w14:textId="77777777" w:rsidR="00211DA7" w:rsidRDefault="00211DA7">
      <w:pPr>
        <w:jc w:val="both"/>
        <w:textAlignment w:val="top"/>
        <w:divId w:val="512765979"/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</w:p>
    <w:p w14:paraId="30EFFD72" w14:textId="44BA313E" w:rsidR="00594CA1" w:rsidRDefault="00000000">
      <w:pPr>
        <w:jc w:val="both"/>
        <w:textAlignment w:val="top"/>
        <w:divId w:val="512765979"/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Final = max(0, min(100, Base + </w:t>
      </w: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加分</w:t>
      </w: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- </w:t>
      </w: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扣分</w:t>
      </w:r>
      <w:r w:rsidRPr="00211DA7">
        <w:rPr>
          <w:rStyle w:val="equation-text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))</w:t>
      </w:r>
      <w:r w:rsidRPr="00211DA7"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（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2</w:t>
      </w:r>
      <w:r w:rsidRPr="00211DA7">
        <w:rPr>
          <w:rStyle w:val="equation-number1"/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>）</w:t>
      </w:r>
      <w:r w:rsidRPr="00211DA7"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  <w:t xml:space="preserve"> </w:t>
      </w:r>
    </w:p>
    <w:p w14:paraId="23CD1173" w14:textId="77777777" w:rsidR="00211DA7" w:rsidRPr="00211DA7" w:rsidRDefault="00211DA7">
      <w:pPr>
        <w:jc w:val="both"/>
        <w:textAlignment w:val="top"/>
        <w:divId w:val="512765979"/>
        <w:rPr>
          <w:rFonts w:ascii="Times New Roman" w:eastAsia="細明體" w:hAnsi="Times New Roman" w:cs="Times New Roman"/>
          <w:i/>
          <w:iCs/>
          <w:color w:val="000000"/>
          <w:sz w:val="20"/>
          <w:szCs w:val="20"/>
        </w:rPr>
      </w:pPr>
    </w:p>
    <w:p w14:paraId="01DADBEE" w14:textId="77777777" w:rsidR="00594CA1" w:rsidRPr="00211DA7" w:rsidRDefault="00000000">
      <w:pPr>
        <w:pStyle w:val="2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4.4 </w:t>
      </w:r>
      <w:proofErr w:type="gramStart"/>
      <w:r w:rsidRPr="00211DA7">
        <w:rPr>
          <w:rFonts w:ascii="Times New Roman" w:eastAsia="細明體" w:hAnsi="Times New Roman" w:cs="Times New Roman"/>
          <w:color w:val="000000"/>
        </w:rPr>
        <w:t>異步批次</w:t>
      </w:r>
      <w:proofErr w:type="gramEnd"/>
      <w:r w:rsidRPr="00211DA7">
        <w:rPr>
          <w:rFonts w:ascii="Times New Roman" w:eastAsia="細明體" w:hAnsi="Times New Roman" w:cs="Times New Roman"/>
          <w:color w:val="000000"/>
        </w:rPr>
        <w:t>寫入與高頻數據持久化</w:t>
      </w:r>
    </w:p>
    <w:p w14:paraId="4433E0F3" w14:textId="77777777" w:rsidR="00594CA1" w:rsidRPr="00211DA7" w:rsidRDefault="00000000">
      <w:pPr>
        <w:pStyle w:val="Web"/>
        <w:jc w:val="both"/>
        <w:textAlignment w:val="top"/>
        <w:divId w:val="901719448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面對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 FPS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高頻率的多學生指標寫入壓力，本系統實作了基於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asyncio.Queue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的生產者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-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消費者架構緩衝佇列。推論結果動態追加入列，後台常駐寫入工作元件（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Worker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採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雙重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閾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值觸發策略：當全局緩衝累積滿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500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筆時序資料，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或距上次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寫入超時達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3.0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秒，即調用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insert_many</w:t>
      </w:r>
      <w:proofErr w:type="spellEnd"/>
      <w:r w:rsidRPr="00211DA7">
        <w:rPr>
          <w:rStyle w:val="math1"/>
          <w:rFonts w:eastAsia="細明體"/>
          <w:color w:val="000000"/>
          <w:sz w:val="20"/>
          <w:szCs w:val="20"/>
        </w:rPr>
        <w:t>()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進行非同步批次寫入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MongoDB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。針對網路波動引發之寫入失敗，提供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次重試機制；若仍失敗則降級導向寫入本地端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JSONL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備份檔。時序集合（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Attention_Metrics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）於初始化時設定為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Time Series Collection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，並指定</w:t>
      </w:r>
      <w:r w:rsidRPr="00211DA7">
        <w:rPr>
          <w:rStyle w:val="math1"/>
          <w:rFonts w:eastAsia="細明體"/>
          <w:color w:val="000000"/>
          <w:sz w:val="20"/>
          <w:szCs w:val="20"/>
        </w:rPr>
        <w:t>granularity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"seconds"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，並在建立時配置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expireAfterSeconds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參數以落實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365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天自動清理機制，避免儲存體無限膨脹。服務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重啟時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，系統具備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冪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等性保護，並自動強制將所有未結案事件之</w:t>
      </w:r>
      <w:proofErr w:type="spellStart"/>
      <w:r w:rsidRPr="00211DA7">
        <w:rPr>
          <w:rStyle w:val="math1"/>
          <w:rFonts w:eastAsia="細明體"/>
          <w:color w:val="000000"/>
          <w:sz w:val="20"/>
          <w:szCs w:val="20"/>
        </w:rPr>
        <w:t>ended_reason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修改為系統重啟（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server_restart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），確保時序邊界一致性。</w:t>
      </w:r>
    </w:p>
    <w:p w14:paraId="1549998F" w14:textId="77777777" w:rsidR="00594CA1" w:rsidRPr="00211DA7" w:rsidRDefault="00000000">
      <w:pPr>
        <w:pStyle w:val="1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五、結果與討論</w:t>
      </w:r>
    </w:p>
    <w:p w14:paraId="4394ADCF" w14:textId="77777777" w:rsidR="00594CA1" w:rsidRPr="00211DA7" w:rsidRDefault="00000000">
      <w:pPr>
        <w:pStyle w:val="Web"/>
        <w:jc w:val="both"/>
        <w:textAlignment w:val="top"/>
        <w:divId w:val="901719448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本專題目前已成功驗證微服務行程隔離技術之可行性。透過將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FastAPI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推論後端與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Streamlit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網頁行程獨立運行，徹底解決了多行程在同一物理主機下競用硬體攝影機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</w:t>
      </w:r>
      <w:proofErr w:type="gramEnd"/>
      <w:r w:rsidRPr="00211DA7">
        <w:rPr>
          <w:rStyle w:val="math1"/>
          <w:rFonts w:eastAsia="細明體"/>
          <w:color w:val="000000"/>
          <w:sz w:val="20"/>
          <w:szCs w:val="20"/>
        </w:rPr>
        <w:t>cv2.VideoCapture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）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所引發的資源死鎖衝突。經效能測試，視覺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AI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核心主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迴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圈在單張中低階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GPU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或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CPU Fallback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環境下，單幀特徵提取與去識別化高斯模糊之運算耗時控制在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20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毫秒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以內，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完全滿足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5 FPS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（單幀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200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毫秒時間窗）的即時流處理需求。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異步批次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持久化機制大幅減輕了磁碟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I/O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壓力，使寫入延遲嚴格控制在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秒（批次快取間隔）以內。當班級平均分數在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秒內驟降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20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分以上時，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Streamlit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前端能精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準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彈出紅色警示橫幅，動態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Plotly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折線圖與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ReportLab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自動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PDF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報告生成機制皆已通過壓力測試，在一堂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90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分鐘課程的數據規模下，分析報告可在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30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秒內自動降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採樣並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排版輸出完成。</w:t>
      </w:r>
    </w:p>
    <w:p w14:paraId="39DCB425" w14:textId="77777777" w:rsidR="00594CA1" w:rsidRPr="00211DA7" w:rsidRDefault="00000000">
      <w:pPr>
        <w:pStyle w:val="1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六、結論與建議</w:t>
      </w:r>
    </w:p>
    <w:p w14:paraId="62F7B007" w14:textId="77777777" w:rsidR="00594CA1" w:rsidRPr="00211DA7" w:rsidRDefault="00000000">
      <w:pPr>
        <w:pStyle w:val="Web"/>
        <w:jc w:val="both"/>
        <w:textAlignment w:val="top"/>
        <w:divId w:val="901719448"/>
        <w:rPr>
          <w:rFonts w:ascii="Times New Roman" w:eastAsia="細明體" w:hAnsi="Times New Roman" w:cs="Times New Roman"/>
          <w:color w:val="000000"/>
          <w:sz w:val="20"/>
          <w:szCs w:val="20"/>
        </w:rPr>
      </w:pP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本專題成功研發出一套結合邊緣計算、高隱私防護與大數據持久化技術之學生專注度與異常行為分析系統。本系統創新型地排除實體物件偵測，純粹依據人體幾何骨架衍生姿態標記，並透過有限狀態機進行連續動作過濾，證實能顯著降低傳統視覺分析常見之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虛警率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。系統在架構設計上嚴格遵守微服務通訊規範，前後端交互完全經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lastRenderedPageBreak/>
        <w:t>由</w:t>
      </w:r>
      <w:proofErr w:type="spell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FastAPI</w:t>
      </w:r>
      <w:proofErr w:type="spell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端點，不越權存取數據庫，具備極佳的模組解</w:t>
      </w:r>
      <w:proofErr w:type="gramStart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耦</w:t>
      </w:r>
      <w:proofErr w:type="gramEnd"/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性。未來研究建議可進一步導入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ID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漂移深度特徵匹配，並針對不同課堂光照與座椅結構進行</w:t>
      </w:r>
      <w:r w:rsidRPr="00211DA7">
        <w:rPr>
          <w:rStyle w:val="math1"/>
          <w:rFonts w:eastAsia="細明體"/>
          <w:color w:val="000000"/>
          <w:sz w:val="20"/>
          <w:szCs w:val="20"/>
        </w:rPr>
        <w:t>SLEEPING_RATIO</w:t>
      </w:r>
      <w:r w:rsidRPr="00211DA7">
        <w:rPr>
          <w:rFonts w:ascii="Times New Roman" w:eastAsia="細明體" w:hAnsi="Times New Roman" w:cs="Times New Roman"/>
          <w:color w:val="000000"/>
          <w:sz w:val="20"/>
          <w:szCs w:val="20"/>
        </w:rPr>
        <w:t>參數之動態自適應調整，以期將此系統推廣至更廣泛的多元化智慧教學場域中。</w:t>
      </w:r>
    </w:p>
    <w:p w14:paraId="5328EC69" w14:textId="77777777" w:rsidR="00594CA1" w:rsidRPr="00211DA7" w:rsidRDefault="00000000">
      <w:pPr>
        <w:pStyle w:val="1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參考文獻</w:t>
      </w:r>
    </w:p>
    <w:p w14:paraId="64025940" w14:textId="77777777" w:rsidR="00594CA1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[1] </w:t>
      </w:r>
      <w:r w:rsidRPr="00211DA7">
        <w:rPr>
          <w:rFonts w:ascii="Times New Roman" w:eastAsia="細明體" w:hAnsi="Times New Roman" w:cs="Times New Roman"/>
          <w:color w:val="000000"/>
        </w:rPr>
        <w:t>王國明、謝玲芬，「多目標評估技術之探討及其在組織績效評估之應用」，中國工業工程學刊，第七卷，第一期，第</w:t>
      </w:r>
      <w:r w:rsidRPr="00211DA7">
        <w:rPr>
          <w:rFonts w:ascii="Times New Roman" w:eastAsia="細明體" w:hAnsi="Times New Roman" w:cs="Times New Roman"/>
          <w:color w:val="000000"/>
        </w:rPr>
        <w:t>1-10</w:t>
      </w:r>
      <w:r w:rsidRPr="00211DA7">
        <w:rPr>
          <w:rFonts w:ascii="Times New Roman" w:eastAsia="細明體" w:hAnsi="Times New Roman" w:cs="Times New Roman"/>
          <w:color w:val="000000"/>
        </w:rPr>
        <w:t>頁（</w:t>
      </w:r>
      <w:r w:rsidRPr="00211DA7">
        <w:rPr>
          <w:rFonts w:ascii="Times New Roman" w:eastAsia="細明體" w:hAnsi="Times New Roman" w:cs="Times New Roman"/>
          <w:color w:val="000000"/>
        </w:rPr>
        <w:t>1990</w:t>
      </w:r>
      <w:r w:rsidRPr="00211DA7">
        <w:rPr>
          <w:rFonts w:ascii="Times New Roman" w:eastAsia="細明體" w:hAnsi="Times New Roman" w:cs="Times New Roman"/>
          <w:color w:val="000000"/>
        </w:rPr>
        <w:t>）。</w:t>
      </w:r>
    </w:p>
    <w:p w14:paraId="4926D5AD" w14:textId="77777777" w:rsidR="00594CA1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[2] </w:t>
      </w:r>
      <w:r w:rsidRPr="00211DA7">
        <w:rPr>
          <w:rFonts w:ascii="Times New Roman" w:eastAsia="細明體" w:hAnsi="Times New Roman" w:cs="Times New Roman"/>
          <w:color w:val="000000"/>
        </w:rPr>
        <w:t>張保隆、陳文賢、蔣明晃、</w:t>
      </w:r>
      <w:proofErr w:type="gramStart"/>
      <w:r w:rsidRPr="00211DA7">
        <w:rPr>
          <w:rFonts w:ascii="Times New Roman" w:eastAsia="細明體" w:hAnsi="Times New Roman" w:cs="Times New Roman"/>
          <w:color w:val="000000"/>
        </w:rPr>
        <w:t>姜</w:t>
      </w:r>
      <w:proofErr w:type="gramEnd"/>
      <w:r w:rsidRPr="00211DA7">
        <w:rPr>
          <w:rFonts w:ascii="Times New Roman" w:eastAsia="細明體" w:hAnsi="Times New Roman" w:cs="Times New Roman"/>
          <w:color w:val="000000"/>
        </w:rPr>
        <w:t>齊、盧昆宏、王瑞琛，生產管理，華泰書局，台北（</w:t>
      </w:r>
      <w:r w:rsidRPr="00211DA7">
        <w:rPr>
          <w:rFonts w:ascii="Times New Roman" w:eastAsia="細明體" w:hAnsi="Times New Roman" w:cs="Times New Roman"/>
          <w:color w:val="000000"/>
        </w:rPr>
        <w:t>1997</w:t>
      </w:r>
      <w:r w:rsidRPr="00211DA7">
        <w:rPr>
          <w:rFonts w:ascii="Times New Roman" w:eastAsia="細明體" w:hAnsi="Times New Roman" w:cs="Times New Roman"/>
          <w:color w:val="000000"/>
        </w:rPr>
        <w:t>）。</w:t>
      </w:r>
    </w:p>
    <w:p w14:paraId="71E01720" w14:textId="77777777" w:rsidR="00594CA1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[3] </w:t>
      </w:r>
      <w:r w:rsidRPr="00211DA7">
        <w:rPr>
          <w:rFonts w:ascii="Times New Roman" w:eastAsia="細明體" w:hAnsi="Times New Roman" w:cs="Times New Roman"/>
          <w:color w:val="000000"/>
        </w:rPr>
        <w:t>黃啟通、張瑞芬、林則孟，「以</w:t>
      </w:r>
      <w:r w:rsidRPr="00211DA7">
        <w:rPr>
          <w:rFonts w:ascii="Times New Roman" w:eastAsia="細明體" w:hAnsi="Times New Roman" w:cs="Times New Roman"/>
          <w:color w:val="000000"/>
        </w:rPr>
        <w:t>STEP</w:t>
      </w:r>
      <w:r w:rsidRPr="00211DA7">
        <w:rPr>
          <w:rFonts w:ascii="Times New Roman" w:eastAsia="細明體" w:hAnsi="Times New Roman" w:cs="Times New Roman"/>
          <w:color w:val="000000"/>
        </w:rPr>
        <w:t>為基礎的彈性製造系統刀具資料庫設計」，中華民國工業工程學會八十四年會論文集，第一冊，中原大學，</w:t>
      </w:r>
      <w:r w:rsidRPr="00211DA7">
        <w:rPr>
          <w:rFonts w:ascii="Times New Roman" w:eastAsia="細明體" w:hAnsi="Times New Roman" w:cs="Times New Roman"/>
          <w:color w:val="000000"/>
        </w:rPr>
        <w:t>84</w:t>
      </w:r>
      <w:r w:rsidRPr="00211DA7">
        <w:rPr>
          <w:rFonts w:ascii="Times New Roman" w:eastAsia="細明體" w:hAnsi="Times New Roman" w:cs="Times New Roman"/>
          <w:color w:val="000000"/>
        </w:rPr>
        <w:t>年</w:t>
      </w:r>
      <w:r w:rsidRPr="00211DA7">
        <w:rPr>
          <w:rFonts w:ascii="Times New Roman" w:eastAsia="細明體" w:hAnsi="Times New Roman" w:cs="Times New Roman"/>
          <w:color w:val="000000"/>
        </w:rPr>
        <w:t>12</w:t>
      </w:r>
      <w:r w:rsidRPr="00211DA7">
        <w:rPr>
          <w:rFonts w:ascii="Times New Roman" w:eastAsia="細明體" w:hAnsi="Times New Roman" w:cs="Times New Roman"/>
          <w:color w:val="000000"/>
        </w:rPr>
        <w:t>月</w:t>
      </w:r>
      <w:r w:rsidRPr="00211DA7">
        <w:rPr>
          <w:rFonts w:ascii="Times New Roman" w:eastAsia="細明體" w:hAnsi="Times New Roman" w:cs="Times New Roman"/>
          <w:color w:val="000000"/>
        </w:rPr>
        <w:t>17</w:t>
      </w:r>
      <w:r w:rsidRPr="00211DA7">
        <w:rPr>
          <w:rFonts w:ascii="Times New Roman" w:eastAsia="細明體" w:hAnsi="Times New Roman" w:cs="Times New Roman"/>
          <w:color w:val="000000"/>
        </w:rPr>
        <w:t>日，第</w:t>
      </w:r>
      <w:r w:rsidRPr="00211DA7">
        <w:rPr>
          <w:rFonts w:ascii="Times New Roman" w:eastAsia="細明體" w:hAnsi="Times New Roman" w:cs="Times New Roman"/>
          <w:color w:val="000000"/>
        </w:rPr>
        <w:t>378-385</w:t>
      </w:r>
      <w:r w:rsidRPr="00211DA7">
        <w:rPr>
          <w:rFonts w:ascii="Times New Roman" w:eastAsia="細明體" w:hAnsi="Times New Roman" w:cs="Times New Roman"/>
          <w:color w:val="000000"/>
        </w:rPr>
        <w:t>頁（</w:t>
      </w:r>
      <w:r w:rsidRPr="00211DA7">
        <w:rPr>
          <w:rFonts w:ascii="Times New Roman" w:eastAsia="細明體" w:hAnsi="Times New Roman" w:cs="Times New Roman"/>
          <w:color w:val="000000"/>
        </w:rPr>
        <w:t>1995</w:t>
      </w:r>
      <w:r w:rsidRPr="00211DA7">
        <w:rPr>
          <w:rFonts w:ascii="Times New Roman" w:eastAsia="細明體" w:hAnsi="Times New Roman" w:cs="Times New Roman"/>
          <w:color w:val="000000"/>
        </w:rPr>
        <w:t>）。</w:t>
      </w:r>
    </w:p>
    <w:p w14:paraId="3CE41931" w14:textId="77777777" w:rsidR="00594CA1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[4] Kao, C. and Y.C. Yang, “Reorganization of forest districts via efficiency measurement,” European Journal of Operational Research, 58, 356-362 (1992).</w:t>
      </w:r>
    </w:p>
    <w:p w14:paraId="15A73C4D" w14:textId="77777777" w:rsidR="00594CA1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 xml:space="preserve">[5] Keeney, R.L. and H. </w:t>
      </w:r>
      <w:proofErr w:type="spellStart"/>
      <w:r w:rsidRPr="00211DA7">
        <w:rPr>
          <w:rFonts w:ascii="Times New Roman" w:eastAsia="細明體" w:hAnsi="Times New Roman" w:cs="Times New Roman"/>
          <w:color w:val="000000"/>
        </w:rPr>
        <w:t>Raiffa</w:t>
      </w:r>
      <w:proofErr w:type="spellEnd"/>
      <w:r w:rsidRPr="00211DA7">
        <w:rPr>
          <w:rFonts w:ascii="Times New Roman" w:eastAsia="細明體" w:hAnsi="Times New Roman" w:cs="Times New Roman"/>
          <w:color w:val="000000"/>
        </w:rPr>
        <w:t>, Decision with Multiple Objectives: Preference and Value Tradeoffs, Cambridge University Press, New York (1993).</w:t>
      </w:r>
    </w:p>
    <w:p w14:paraId="4BC12519" w14:textId="77777777" w:rsidR="00C51898" w:rsidRPr="00211DA7" w:rsidRDefault="00000000">
      <w:pPr>
        <w:pStyle w:val="reference-item"/>
        <w:numPr>
          <w:ilvl w:val="0"/>
          <w:numId w:val="1"/>
        </w:numPr>
        <w:ind w:hanging="400"/>
        <w:textAlignment w:val="top"/>
        <w:divId w:val="901719448"/>
        <w:rPr>
          <w:rFonts w:ascii="Times New Roman" w:eastAsia="細明體" w:hAnsi="Times New Roman" w:cs="Times New Roman"/>
          <w:color w:val="000000"/>
        </w:rPr>
      </w:pPr>
      <w:r w:rsidRPr="00211DA7">
        <w:rPr>
          <w:rFonts w:ascii="Times New Roman" w:eastAsia="細明體" w:hAnsi="Times New Roman" w:cs="Times New Roman"/>
          <w:color w:val="000000"/>
        </w:rPr>
        <w:t>[6] Lin, K.C. and M.S. Chern, “Finding the Most Vital Arc in the Shortest Path Problem with Fuzzy Arc Lengths,” in: Tzeng, G.H., H.F. Wang, U.P. Wen and P.L. Yu (Eds), Multiple Criteria Decision Making, Springer-Verlag, Amsterdam, 159-168 (1994).</w:t>
      </w:r>
    </w:p>
    <w:sectPr w:rsidR="00C51898" w:rsidRPr="00211DA7" w:rsidSect="00E42853">
      <w:type w:val="continuous"/>
      <w:pgSz w:w="11906" w:h="16838"/>
      <w:pgMar w:top="1418" w:right="1418" w:bottom="1418" w:left="1418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420"/>
    <w:multiLevelType w:val="multilevel"/>
    <w:tmpl w:val="D31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44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53"/>
    <w:rsid w:val="00211DA7"/>
    <w:rsid w:val="00293281"/>
    <w:rsid w:val="00594CA1"/>
    <w:rsid w:val="00C51898"/>
    <w:rsid w:val="00E42853"/>
    <w:rsid w:val="00EE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0B9BE"/>
  <w15:chartTrackingRefBased/>
  <w15:docId w15:val="{008ABA80-D7B9-43FE-B987-1315BFA1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80" w:after="120"/>
      <w:jc w:val="center"/>
      <w:outlineLvl w:val="0"/>
    </w:pPr>
    <w:rPr>
      <w:b/>
      <w:bCs/>
      <w:kern w:val="36"/>
      <w:sz w:val="22"/>
      <w:szCs w:val="22"/>
    </w:rPr>
  </w:style>
  <w:style w:type="paragraph" w:styleId="2">
    <w:name w:val="heading 2"/>
    <w:basedOn w:val="a"/>
    <w:link w:val="20"/>
    <w:uiPriority w:val="9"/>
    <w:qFormat/>
    <w:pPr>
      <w:spacing w:before="200" w:after="80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after="120"/>
      <w:ind w:firstLine="400"/>
    </w:pPr>
  </w:style>
  <w:style w:type="paragraph" w:styleId="Web">
    <w:name w:val="Normal (Web)"/>
    <w:basedOn w:val="a"/>
    <w:uiPriority w:val="99"/>
    <w:semiHidden/>
    <w:unhideWhenUsed/>
    <w:pPr>
      <w:spacing w:after="120"/>
      <w:ind w:firstLine="400"/>
    </w:pPr>
  </w:style>
  <w:style w:type="paragraph" w:customStyle="1" w:styleId="no-indent">
    <w:name w:val="no-indent"/>
    <w:basedOn w:val="a"/>
    <w:pPr>
      <w:spacing w:after="120"/>
    </w:pPr>
  </w:style>
  <w:style w:type="paragraph" w:customStyle="1" w:styleId="title-section">
    <w:name w:val="title-section"/>
    <w:basedOn w:val="a"/>
    <w:pPr>
      <w:spacing w:before="100" w:beforeAutospacing="1" w:after="240"/>
      <w:jc w:val="center"/>
    </w:pPr>
  </w:style>
  <w:style w:type="paragraph" w:customStyle="1" w:styleId="project-title">
    <w:name w:val="project-title"/>
    <w:basedOn w:val="a"/>
    <w:pPr>
      <w:spacing w:after="120"/>
    </w:pPr>
    <w:rPr>
      <w:b/>
      <w:bCs/>
      <w:sz w:val="28"/>
      <w:szCs w:val="28"/>
    </w:rPr>
  </w:style>
  <w:style w:type="paragraph" w:customStyle="1" w:styleId="author-name">
    <w:name w:val="author-name"/>
    <w:basedOn w:val="a"/>
    <w:pPr>
      <w:spacing w:after="360"/>
    </w:pPr>
  </w:style>
  <w:style w:type="paragraph" w:customStyle="1" w:styleId="abstract-section">
    <w:name w:val="abstract-section"/>
    <w:basedOn w:val="a"/>
    <w:pPr>
      <w:spacing w:before="100" w:beforeAutospacing="1" w:after="360"/>
    </w:pPr>
  </w:style>
  <w:style w:type="paragraph" w:customStyle="1" w:styleId="abstract-title">
    <w:name w:val="abstract-title"/>
    <w:basedOn w:val="a"/>
    <w:pPr>
      <w:spacing w:before="100" w:beforeAutospacing="1" w:after="120"/>
      <w:jc w:val="center"/>
    </w:pPr>
    <w:rPr>
      <w:b/>
      <w:bCs/>
      <w:sz w:val="22"/>
      <w:szCs w:val="22"/>
    </w:rPr>
  </w:style>
  <w:style w:type="paragraph" w:customStyle="1" w:styleId="main-container">
    <w:name w:val="main-container"/>
    <w:basedOn w:val="a"/>
    <w:pPr>
      <w:spacing w:before="100" w:beforeAutospacing="1" w:after="100" w:afterAutospacing="1"/>
    </w:pPr>
  </w:style>
  <w:style w:type="paragraph" w:customStyle="1" w:styleId="column">
    <w:name w:val="column"/>
    <w:basedOn w:val="a"/>
    <w:pPr>
      <w:spacing w:before="100" w:beforeAutospacing="1" w:after="100" w:afterAutospacing="1"/>
      <w:textAlignment w:val="top"/>
    </w:pPr>
  </w:style>
  <w:style w:type="paragraph" w:customStyle="1" w:styleId="column-gap">
    <w:name w:val="column-gap"/>
    <w:basedOn w:val="a"/>
    <w:pPr>
      <w:spacing w:before="100" w:beforeAutospacing="1" w:after="100" w:afterAutospacing="1"/>
    </w:pPr>
  </w:style>
  <w:style w:type="paragraph" w:customStyle="1" w:styleId="table-container">
    <w:name w:val="table-container"/>
    <w:basedOn w:val="a"/>
    <w:pPr>
      <w:spacing w:before="200" w:after="200"/>
      <w:jc w:val="center"/>
    </w:pPr>
  </w:style>
  <w:style w:type="paragraph" w:customStyle="1" w:styleId="image-container">
    <w:name w:val="image-container"/>
    <w:basedOn w:val="a"/>
    <w:pPr>
      <w:spacing w:before="200" w:after="200"/>
      <w:jc w:val="center"/>
    </w:pPr>
  </w:style>
  <w:style w:type="paragraph" w:customStyle="1" w:styleId="table-title">
    <w:name w:val="table-title"/>
    <w:basedOn w:val="a"/>
    <w:pPr>
      <w:spacing w:before="100" w:beforeAutospacing="1" w:after="80"/>
      <w:jc w:val="center"/>
    </w:pPr>
    <w:rPr>
      <w:sz w:val="20"/>
      <w:szCs w:val="20"/>
    </w:rPr>
  </w:style>
  <w:style w:type="paragraph" w:customStyle="1" w:styleId="image-title">
    <w:name w:val="image-title"/>
    <w:basedOn w:val="a"/>
    <w:pPr>
      <w:spacing w:before="80" w:after="100" w:afterAutospacing="1"/>
      <w:jc w:val="center"/>
    </w:pPr>
    <w:rPr>
      <w:sz w:val="20"/>
      <w:szCs w:val="20"/>
    </w:rPr>
  </w:style>
  <w:style w:type="paragraph" w:customStyle="1" w:styleId="equation-layout">
    <w:name w:val="equation-layout"/>
    <w:basedOn w:val="a"/>
    <w:pPr>
      <w:spacing w:before="240" w:after="240"/>
    </w:pPr>
    <w:rPr>
      <w:rFonts w:ascii="Times New Roman" w:hAnsi="Times New Roman" w:cs="Times New Roman"/>
      <w:i/>
      <w:iCs/>
    </w:rPr>
  </w:style>
  <w:style w:type="paragraph" w:customStyle="1" w:styleId="equation-text">
    <w:name w:val="equation-text"/>
    <w:basedOn w:val="a"/>
    <w:pPr>
      <w:spacing w:before="100" w:beforeAutospacing="1" w:after="100" w:afterAutospacing="1"/>
      <w:jc w:val="center"/>
    </w:pPr>
  </w:style>
  <w:style w:type="paragraph" w:customStyle="1" w:styleId="equation-number">
    <w:name w:val="equation-number"/>
    <w:basedOn w:val="a"/>
    <w:pPr>
      <w:spacing w:before="100" w:beforeAutospacing="1" w:after="100" w:afterAutospacing="1"/>
      <w:jc w:val="right"/>
    </w:pPr>
  </w:style>
  <w:style w:type="paragraph" w:customStyle="1" w:styleId="reference-list">
    <w:name w:val="reference-list"/>
    <w:basedOn w:val="a"/>
    <w:pPr>
      <w:spacing w:before="120" w:after="100" w:afterAutospacing="1"/>
    </w:pPr>
  </w:style>
  <w:style w:type="paragraph" w:customStyle="1" w:styleId="reference-item">
    <w:name w:val="reference-item"/>
    <w:basedOn w:val="a"/>
    <w:pPr>
      <w:spacing w:before="100" w:beforeAutospacing="1" w:after="80"/>
      <w:ind w:hanging="400"/>
    </w:pPr>
    <w:rPr>
      <w:sz w:val="18"/>
      <w:szCs w:val="18"/>
    </w:rPr>
  </w:style>
  <w:style w:type="paragraph" w:customStyle="1" w:styleId="math">
    <w:name w:val="math"/>
    <w:basedOn w:val="a"/>
    <w:pPr>
      <w:spacing w:before="100" w:beforeAutospacing="1" w:after="100" w:afterAutospacing="1"/>
    </w:pPr>
    <w:rPr>
      <w:rFonts w:ascii="Times New Roman" w:hAnsi="Times New Roman" w:cs="Times New Roman"/>
      <w:b/>
      <w:bCs/>
      <w:i/>
      <w:iCs/>
    </w:rPr>
  </w:style>
  <w:style w:type="character" w:customStyle="1" w:styleId="math1">
    <w:name w:val="math1"/>
    <w:basedOn w:val="a0"/>
    <w:rPr>
      <w:rFonts w:ascii="Times New Roman" w:hAnsi="Times New Roman" w:cs="Times New Roman" w:hint="default"/>
      <w:b/>
      <w:bCs/>
      <w:i/>
      <w:iCs/>
    </w:rPr>
  </w:style>
  <w:style w:type="character" w:customStyle="1" w:styleId="equation-text1">
    <w:name w:val="equation-text1"/>
    <w:basedOn w:val="a0"/>
  </w:style>
  <w:style w:type="character" w:customStyle="1" w:styleId="equation-number1">
    <w:name w:val="equation-number1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55087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7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88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9431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04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8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130">
              <w:marLeft w:val="0"/>
              <w:marRight w:val="0"/>
              <w:marTop w:val="20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0452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2931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91">
              <w:marLeft w:val="0"/>
              <w:marRight w:val="0"/>
              <w:marTop w:val="20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841">
                  <w:marLeft w:val="0"/>
                  <w:marRight w:val="0"/>
                  <w:marTop w:val="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7659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學生專注度與異常行為分析系統專題計畫書</dc:title>
  <dc:subject/>
  <dc:creator>Shiou Xiao</dc:creator>
  <cp:keywords/>
  <dc:description/>
  <cp:lastModifiedBy>Shiou Xiao</cp:lastModifiedBy>
  <cp:revision>3</cp:revision>
  <dcterms:created xsi:type="dcterms:W3CDTF">2026-06-15T14:19:00Z</dcterms:created>
  <dcterms:modified xsi:type="dcterms:W3CDTF">2026-06-15T14:22:00Z</dcterms:modified>
</cp:coreProperties>
</file>