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wec06kfq7p9a" w:id="0"/>
      <w:bookmarkEnd w:id="0"/>
      <w:r w:rsidDel="00000000" w:rsidR="00000000" w:rsidRPr="00000000">
        <w:rPr>
          <w:rtl w:val="0"/>
        </w:rPr>
        <w:t xml:space="preserve">Checklista GDPR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rPr>
          <w:b w:val="1"/>
        </w:rPr>
      </w:pPr>
      <w:r w:rsidDel="00000000" w:rsidR="00000000" w:rsidRPr="00000000">
        <w:rPr>
          <w:b w:val="1"/>
          <w:rtl w:val="0"/>
        </w:rPr>
        <w:t xml:space="preserve">Komma igång: Utse en huvudansvarig person  </w:t>
      </w:r>
    </w:p>
    <w:p w:rsidR="00000000" w:rsidDel="00000000" w:rsidP="00000000" w:rsidRDefault="00000000" w:rsidRPr="00000000" w14:paraId="00000004">
      <w:pPr>
        <w:numPr>
          <w:ilvl w:val="1"/>
          <w:numId w:val="2"/>
        </w:numPr>
        <w:ind w:left="1440" w:hanging="360"/>
        <w:rPr/>
      </w:pPr>
      <w:r w:rsidDel="00000000" w:rsidR="00000000" w:rsidRPr="00000000">
        <w:rPr>
          <w:rtl w:val="0"/>
        </w:rPr>
        <w:t xml:space="preserve">Verksamt.se:</w:t>
      </w:r>
      <w:hyperlink r:id="rId6">
        <w:r w:rsidDel="00000000" w:rsidR="00000000" w:rsidRPr="00000000">
          <w:rPr>
            <w:rtl w:val="0"/>
          </w:rPr>
          <w:t xml:space="preserve"> </w:t>
        </w:r>
      </w:hyperlink>
      <w:hyperlink r:id="rId7">
        <w:r w:rsidDel="00000000" w:rsidR="00000000" w:rsidRPr="00000000">
          <w:rPr>
            <w:color w:val="1155cc"/>
            <w:u w:val="single"/>
            <w:rtl w:val="0"/>
          </w:rPr>
          <w:t xml:space="preserve">Läs på och gör guiden.</w:t>
        </w:r>
      </w:hyperlink>
      <w:r w:rsidDel="00000000" w:rsidR="00000000" w:rsidRPr="00000000">
        <w:rPr>
          <w:rtl w:val="0"/>
        </w:rPr>
      </w:r>
    </w:p>
    <w:p w:rsidR="00000000" w:rsidDel="00000000" w:rsidP="00000000" w:rsidRDefault="00000000" w:rsidRPr="00000000" w14:paraId="00000005">
      <w:pPr>
        <w:numPr>
          <w:ilvl w:val="1"/>
          <w:numId w:val="2"/>
        </w:numPr>
        <w:ind w:left="1440" w:hanging="360"/>
        <w:rPr/>
      </w:pPr>
      <w:r w:rsidDel="00000000" w:rsidR="00000000" w:rsidRPr="00000000">
        <w:rPr>
          <w:rtl w:val="0"/>
        </w:rPr>
        <w:t xml:space="preserve">Datainspektionen är</w:t>
      </w:r>
      <w:hyperlink r:id="rId8">
        <w:r w:rsidDel="00000000" w:rsidR="00000000" w:rsidRPr="00000000">
          <w:rPr>
            <w:rtl w:val="0"/>
          </w:rPr>
          <w:t xml:space="preserve"> </w:t>
        </w:r>
      </w:hyperlink>
      <w:hyperlink r:id="rId9">
        <w:r w:rsidDel="00000000" w:rsidR="00000000" w:rsidRPr="00000000">
          <w:rPr>
            <w:color w:val="1155cc"/>
            <w:u w:val="single"/>
            <w:rtl w:val="0"/>
          </w:rPr>
          <w:t xml:space="preserve">myndigheten med information.</w:t>
        </w:r>
      </w:hyperlink>
      <w:r w:rsidDel="00000000" w:rsidR="00000000" w:rsidRPr="00000000">
        <w:rPr>
          <w:rtl w:val="0"/>
        </w:rPr>
      </w:r>
    </w:p>
    <w:p w:rsidR="00000000" w:rsidDel="00000000" w:rsidP="00000000" w:rsidRDefault="00000000" w:rsidRPr="00000000" w14:paraId="00000006">
      <w:pPr>
        <w:numPr>
          <w:ilvl w:val="1"/>
          <w:numId w:val="2"/>
        </w:numPr>
        <w:ind w:left="1440" w:hanging="360"/>
        <w:rPr/>
      </w:pPr>
      <w:r w:rsidDel="00000000" w:rsidR="00000000" w:rsidRPr="00000000">
        <w:rPr>
          <w:rtl w:val="0"/>
        </w:rPr>
        <w:t xml:space="preserve">Läs artikeln ”Det viktiga avtalet” om personuppgiftsbiträdesavtal på</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vår sida om GDPR.</w:t>
        </w:r>
      </w:hyperlink>
      <w:r w:rsidDel="00000000" w:rsidR="00000000" w:rsidRPr="00000000">
        <w:rPr>
          <w:rtl w:val="0"/>
        </w:rPr>
      </w:r>
    </w:p>
    <w:p w:rsidR="00000000" w:rsidDel="00000000" w:rsidP="00000000" w:rsidRDefault="00000000" w:rsidRPr="00000000" w14:paraId="00000007">
      <w:pPr>
        <w:ind w:left="1440" w:firstLine="0"/>
        <w:rPr/>
      </w:pPr>
      <w:r w:rsidDel="00000000" w:rsidR="00000000" w:rsidRPr="00000000">
        <w:rPr>
          <w:rtl w:val="0"/>
        </w:rPr>
      </w:r>
    </w:p>
    <w:p w:rsidR="00000000" w:rsidDel="00000000" w:rsidP="00000000" w:rsidRDefault="00000000" w:rsidRPr="00000000" w14:paraId="00000008">
      <w:pPr>
        <w:numPr>
          <w:ilvl w:val="0"/>
          <w:numId w:val="2"/>
        </w:numPr>
        <w:ind w:left="720" w:hanging="360"/>
        <w:rPr>
          <w:b w:val="1"/>
          <w:u w:val="none"/>
        </w:rPr>
      </w:pPr>
      <w:r w:rsidDel="00000000" w:rsidR="00000000" w:rsidRPr="00000000">
        <w:rPr>
          <w:b w:val="1"/>
          <w:rtl w:val="0"/>
        </w:rPr>
        <w:t xml:space="preserve">Kartläggning av personuppgifter</w:t>
      </w:r>
    </w:p>
    <w:p w:rsidR="00000000" w:rsidDel="00000000" w:rsidP="00000000" w:rsidRDefault="00000000" w:rsidRPr="00000000" w14:paraId="00000009">
      <w:pPr>
        <w:numPr>
          <w:ilvl w:val="1"/>
          <w:numId w:val="2"/>
        </w:numPr>
        <w:ind w:left="1440" w:hanging="360"/>
      </w:pPr>
      <w:r w:rsidDel="00000000" w:rsidR="00000000" w:rsidRPr="00000000">
        <w:rPr>
          <w:rtl w:val="0"/>
        </w:rPr>
        <w:t xml:space="preserve">Vilka personuppgifter har vi?</w:t>
      </w:r>
    </w:p>
    <w:p w:rsidR="00000000" w:rsidDel="00000000" w:rsidP="00000000" w:rsidRDefault="00000000" w:rsidRPr="00000000" w14:paraId="0000000A">
      <w:pPr>
        <w:numPr>
          <w:ilvl w:val="1"/>
          <w:numId w:val="2"/>
        </w:numPr>
        <w:ind w:left="1440" w:hanging="360"/>
      </w:pPr>
      <w:r w:rsidDel="00000000" w:rsidR="00000000" w:rsidRPr="00000000">
        <w:rPr>
          <w:rtl w:val="0"/>
        </w:rPr>
        <w:t xml:space="preserve">Vad gör vi med dem?</w:t>
      </w:r>
    </w:p>
    <w:p w:rsidR="00000000" w:rsidDel="00000000" w:rsidP="00000000" w:rsidRDefault="00000000" w:rsidRPr="00000000" w14:paraId="0000000B">
      <w:pPr>
        <w:numPr>
          <w:ilvl w:val="1"/>
          <w:numId w:val="2"/>
        </w:numPr>
        <w:ind w:left="1440" w:hanging="360"/>
      </w:pPr>
      <w:r w:rsidDel="00000000" w:rsidR="00000000" w:rsidRPr="00000000">
        <w:rPr>
          <w:rtl w:val="0"/>
        </w:rPr>
        <w:t xml:space="preserve">Vilken laglig rätt stödjer vi oss på vid olika behandlingar?</w:t>
      </w:r>
    </w:p>
    <w:p w:rsidR="00000000" w:rsidDel="00000000" w:rsidP="00000000" w:rsidRDefault="00000000" w:rsidRPr="00000000" w14:paraId="0000000C">
      <w:pPr>
        <w:numPr>
          <w:ilvl w:val="1"/>
          <w:numId w:val="2"/>
        </w:numPr>
        <w:ind w:left="1440" w:hanging="360"/>
      </w:pPr>
      <w:r w:rsidDel="00000000" w:rsidR="00000000" w:rsidRPr="00000000">
        <w:rPr>
          <w:rtl w:val="0"/>
        </w:rPr>
        <w:t xml:space="preserve">Vem har tillgång till personuppgifterna?</w:t>
      </w:r>
    </w:p>
    <w:p w:rsidR="00000000" w:rsidDel="00000000" w:rsidP="00000000" w:rsidRDefault="00000000" w:rsidRPr="00000000" w14:paraId="0000000D">
      <w:pPr>
        <w:numPr>
          <w:ilvl w:val="1"/>
          <w:numId w:val="2"/>
        </w:numPr>
        <w:ind w:left="1440" w:hanging="360"/>
      </w:pPr>
      <w:r w:rsidDel="00000000" w:rsidR="00000000" w:rsidRPr="00000000">
        <w:rPr>
          <w:rtl w:val="0"/>
        </w:rPr>
        <w:t xml:space="preserve">När raderar vi dem?</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Rita gärna en karta över olika flöden. Det är viktigt att ha koll på var de kommer in och hur de rör sig inom projektet.. Om ni hyr en server eller en molntjänst och behandlar uppgifterna där så har de faktiskt lämnat ert företag. Se till att den som ansvarar för biträdesavtal känner till alla underleverantörer ni hittar under kartläggningen.</w:t>
      </w:r>
    </w:p>
    <w:p w:rsidR="00000000" w:rsidDel="00000000" w:rsidP="00000000" w:rsidRDefault="00000000" w:rsidRPr="00000000" w14:paraId="0000000F">
      <w:pPr>
        <w:ind w:left="1440" w:firstLine="0"/>
        <w:rPr/>
      </w:pP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b w:val="1"/>
          <w:sz w:val="22"/>
          <w:szCs w:val="22"/>
          <w:rtl w:val="0"/>
        </w:rPr>
        <w:t xml:space="preserve">Policy Beskrivning av  vad vi vill och hur vi tänker göra</w:t>
      </w:r>
    </w:p>
    <w:p w:rsidR="00000000" w:rsidDel="00000000" w:rsidP="00000000" w:rsidRDefault="00000000" w:rsidRPr="00000000" w14:paraId="00000011">
      <w:pPr>
        <w:rPr/>
      </w:pPr>
      <w:r w:rsidDel="00000000" w:rsidR="00000000" w:rsidRPr="00000000">
        <w:rPr>
          <w:rtl w:val="0"/>
        </w:rPr>
        <w:t xml:space="preserve">Vi behöver ta fram en dataskyddspolicy där vi beskriver för användaren vad vi gör med personuppgifter, hur vi skyddar dem och vem man kan vända sig till med frågor.</w:t>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”Öppenhetsprincipen kräver att all information som riktar sig till allmänheten eller till registrerade är kortfattad, lättåtkomlig och lättbegriplig samt utformad på ett tydligt och enkelt språk samt att man vid behov använder visualisering.”</w:t>
      </w:r>
    </w:p>
    <w:p w:rsidR="00000000" w:rsidDel="00000000" w:rsidP="00000000" w:rsidRDefault="00000000" w:rsidRPr="00000000" w14:paraId="00000014">
      <w:pPr>
        <w:pStyle w:val="Heading2"/>
        <w:keepNext w:val="0"/>
        <w:keepLines w:val="0"/>
        <w:numPr>
          <w:ilvl w:val="0"/>
          <w:numId w:val="1"/>
        </w:numPr>
        <w:spacing w:after="0" w:afterAutospacing="0" w:lineRule="auto"/>
        <w:ind w:left="720" w:hanging="360"/>
        <w:rPr>
          <w:sz w:val="22"/>
          <w:szCs w:val="22"/>
        </w:rPr>
      </w:pPr>
      <w:bookmarkStart w:colFirst="0" w:colLast="0" w:name="_3trmbgx4yu4" w:id="1"/>
      <w:bookmarkEnd w:id="1"/>
      <w:r w:rsidDel="00000000" w:rsidR="00000000" w:rsidRPr="00000000">
        <w:rPr>
          <w:b w:val="1"/>
          <w:sz w:val="22"/>
          <w:szCs w:val="22"/>
          <w:rtl w:val="0"/>
        </w:rPr>
        <w:t xml:space="preserve">Information: Gör det så alla förstår</w:t>
      </w:r>
    </w:p>
    <w:p w:rsidR="00000000" w:rsidDel="00000000" w:rsidP="00000000" w:rsidRDefault="00000000" w:rsidRPr="00000000" w14:paraId="00000015">
      <w:pPr>
        <w:numPr>
          <w:ilvl w:val="1"/>
          <w:numId w:val="1"/>
        </w:numPr>
        <w:spacing w:after="0" w:afterAutospacing="0" w:lineRule="auto"/>
        <w:ind w:left="1440" w:hanging="360"/>
      </w:pPr>
      <w:r w:rsidDel="00000000" w:rsidR="00000000" w:rsidRPr="00000000">
        <w:rPr>
          <w:rtl w:val="0"/>
        </w:rPr>
        <w:t xml:space="preserve">Viska bland annat informera om:</w:t>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rtl w:val="0"/>
        </w:rPr>
        <w:t xml:space="preserve">Vem vi iär</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rtl w:val="0"/>
        </w:rPr>
        <w:t xml:space="preserve">Syfte, det vill säga vad du ska ha uppgifterna till</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rtl w:val="0"/>
        </w:rPr>
        <w:t xml:space="preserve">Vilken rättslig grund du stödjer dig på</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rtl w:val="0"/>
        </w:rPr>
        <w:t xml:space="preserve">När du kommer att ta bort uppgifterna</w:t>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rtl w:val="0"/>
        </w:rPr>
        <w:t xml:space="preserve">Om du tänker dela med någon och om du delar med någon utanför EU/EES. (T ex Google, Microsoft)</w:t>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rtl w:val="0"/>
        </w:rPr>
        <w:t xml:space="preserve">Vilka rättigheter den registrerade har</w:t>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rtl w:val="0"/>
        </w:rPr>
        <w:t xml:space="preserve">Lite annat smått och gott. Vi hittar den kompletta listan över informationskrav i</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artikel 13</w:t>
        </w:r>
      </w:hyperlink>
      <w:r w:rsidDel="00000000" w:rsidR="00000000" w:rsidRPr="00000000">
        <w:rPr>
          <w:rtl w:val="0"/>
        </w:rPr>
        <w:t xml:space="preserve">.</w:t>
      </w:r>
    </w:p>
    <w:p w:rsidR="00000000" w:rsidDel="00000000" w:rsidP="00000000" w:rsidRDefault="00000000" w:rsidRPr="00000000" w14:paraId="0000001D">
      <w:pPr>
        <w:numPr>
          <w:ilvl w:val="1"/>
          <w:numId w:val="1"/>
        </w:numPr>
        <w:spacing w:after="0" w:afterAutospacing="0" w:before="0" w:beforeAutospacing="0" w:lineRule="auto"/>
        <w:ind w:left="1440" w:hanging="360"/>
      </w:pPr>
      <w:r w:rsidDel="00000000" w:rsidR="00000000" w:rsidRPr="00000000">
        <w:rPr>
          <w:rtl w:val="0"/>
        </w:rPr>
        <w:t xml:space="preserve">När det är möjligt så ska informationen lämnas innan man samlar in uppgifterna. Om det inte är möjligt så ska man göra det så snart som möjligt, senast vid första kontakttillfället.</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vismaspcs.se/ditt-foretagande/gdpr" TargetMode="External"/><Relationship Id="rId10" Type="http://schemas.openxmlformats.org/officeDocument/2006/relationships/hyperlink" Target="https://vismaspcs.se/ditt-foretagande/gdpr" TargetMode="External"/><Relationship Id="rId13" Type="http://schemas.openxmlformats.org/officeDocument/2006/relationships/hyperlink" Target="http://www.privacy-regulation.eu/sv/13.htm" TargetMode="External"/><Relationship Id="rId12" Type="http://schemas.openxmlformats.org/officeDocument/2006/relationships/hyperlink" Target="http://www.privacy-regulation.eu/sv/13.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atainspektionen.se/" TargetMode="External"/><Relationship Id="rId5" Type="http://schemas.openxmlformats.org/officeDocument/2006/relationships/styles" Target="styles.xml"/><Relationship Id="rId6" Type="http://schemas.openxmlformats.org/officeDocument/2006/relationships/hyperlink" Target="https://www.verksamt.se/" TargetMode="External"/><Relationship Id="rId7" Type="http://schemas.openxmlformats.org/officeDocument/2006/relationships/hyperlink" Target="https://www.verksamt.se/" TargetMode="External"/><Relationship Id="rId8" Type="http://schemas.openxmlformats.org/officeDocument/2006/relationships/hyperlink" Target="https://www.datainspektion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