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17324D"/>
          <w:sz w:val="52"/>
        </w:rPr>
        <w:t>AWS Infrastructure and Migration Record</w:t>
      </w:r>
    </w:p>
    <w:p>
      <w:pPr>
        <w:spacing w:after="240"/>
      </w:pPr>
      <w:r>
        <w:rPr>
          <w:rFonts w:ascii="Arial" w:hAnsi="Arial"/>
          <w:b w:val="0"/>
          <w:color w:val="17324D"/>
          <w:sz w:val="20"/>
        </w:rPr>
        <w:t>What was configured, migrated, validated, and left pending for the dev environment</w:t>
      </w:r>
    </w:p>
    <w:p>
      <w:pPr>
        <w:spacing w:after="200"/>
      </w:pPr>
      <w:r>
        <w:rPr>
          <w:rFonts w:ascii="Arial" w:hAnsi="Arial"/>
          <w:b w:val="0"/>
          <w:color w:val="17324D"/>
          <w:sz w:val="20"/>
        </w:rPr>
        <w:t>Deal and Drive  |  Updated 28 October 2026</w:t>
      </w:r>
    </w:p>
    <w:p>
      <w:r>
        <w:rPr>
          <w:rFonts w:ascii="Arial" w:hAnsi="Arial"/>
          <w:b w:val="0"/>
          <w:color w:val="17324D"/>
          <w:sz w:val="20"/>
        </w:rPr>
        <w:t>This record follows the Deal and Drive dev setup from AWS CLI access through Terraform, deployment, and data migration. It separates completed checks from items that still require organization or registrar access. No AWS keys, database passwords, API tokens, or GitHub tokens are included.</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Environment target</w:t>
              <w:br/>
              <w:t>AWS account ending in 8736, region us-east-2, Deal and Drive dev resources, and a 100-user planning target. The application architecture is CloudFront and WAF in front of a private S3 frontend, with API traffic routed through an ALB to ECS Fargate tasks and a single-AZ PostgreSQL RDS instance.</w:t>
            </w:r>
          </w:p>
        </w:tc>
      </w:tr>
    </w:tbl>
    <w:p>
      <w:pPr>
        <w:spacing w:after="40"/>
      </w:pPr>
      <w:r>
        <w:rPr>
          <w:rFonts w:ascii="Arial" w:hAnsi="Arial"/>
          <w:b w:val="0"/>
          <w:color w:val="17324D"/>
          <w:sz w:val="20"/>
        </w:rPr>
      </w:r>
    </w:p>
    <w:p>
      <w:pPr>
        <w:pStyle w:val="Heading1"/>
      </w:pPr>
      <w:r>
        <w:rPr>
          <w:rFonts w:ascii="Arial" w:hAnsi="Arial"/>
          <w:b/>
          <w:color w:val="17324D"/>
          <w:sz w:val="32"/>
        </w:rPr>
        <w:t>1. Access and tool setup</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800"/>
            <w:vAlign w:val="center"/>
            <w:shd w:fill="17324D"/>
          </w:tcPr>
          <w:p>
            <w:pPr>
              <w:keepNext/>
              <w:spacing w:after="20"/>
            </w:pPr>
            <w:r>
              <w:rPr>
                <w:rFonts w:ascii="Arial" w:hAnsi="Arial"/>
                <w:b/>
                <w:color w:val="FFFFFF"/>
                <w:sz w:val="18"/>
              </w:rPr>
              <w:t>Step</w:t>
            </w:r>
          </w:p>
        </w:tc>
        <w:tc>
          <w:tcPr>
            <w:tcW w:type="dxa" w:w="4608"/>
            <w:vAlign w:val="center"/>
            <w:shd w:fill="17324D"/>
          </w:tcPr>
          <w:p>
            <w:pPr>
              <w:keepNext/>
              <w:spacing w:after="20"/>
            </w:pPr>
            <w:r>
              <w:rPr>
                <w:rFonts w:ascii="Arial" w:hAnsi="Arial"/>
                <w:b/>
                <w:color w:val="FFFFFF"/>
                <w:sz w:val="18"/>
              </w:rPr>
              <w:t>What was done or used</w:t>
            </w:r>
          </w:p>
        </w:tc>
        <w:tc>
          <w:tcPr>
            <w:tcW w:type="dxa" w:w="3240"/>
            <w:vAlign w:val="center"/>
            <w:shd w:fill="17324D"/>
          </w:tcPr>
          <w:p>
            <w:pPr>
              <w:keepNext/>
              <w:spacing w:after="20"/>
            </w:pPr>
            <w:r>
              <w:rPr>
                <w:rFonts w:ascii="Arial" w:hAnsi="Arial"/>
                <w:b/>
                <w:color w:val="FFFFFF"/>
                <w:sz w:val="18"/>
              </w:rPr>
              <w:t>Safe verification</w:t>
            </w:r>
          </w:p>
        </w:tc>
      </w:tr>
      <w:tr>
        <w:trPr>
          <w:cantSplit/>
        </w:trPr>
        <w:tc>
          <w:tcPr>
            <w:tcW w:type="dxa" w:w="1800"/>
            <w:vAlign w:val="center"/>
          </w:tcPr>
          <w:p>
            <w:pPr>
              <w:keepLines/>
              <w:spacing w:after="20"/>
            </w:pPr>
            <w:r>
              <w:rPr>
                <w:rFonts w:ascii="Arial" w:hAnsi="Arial"/>
                <w:b w:val="0"/>
                <w:color w:val="17324D"/>
                <w:sz w:val="16"/>
              </w:rPr>
              <w:t>AWS CLI profiles</w:t>
            </w:r>
          </w:p>
        </w:tc>
        <w:tc>
          <w:tcPr>
            <w:tcW w:type="dxa" w:w="4608"/>
            <w:vAlign w:val="center"/>
          </w:tcPr>
          <w:p>
            <w:pPr>
              <w:keepLines/>
              <w:spacing w:after="20"/>
            </w:pPr>
            <w:r>
              <w:rPr>
                <w:rFonts w:ascii="Arial" w:hAnsi="Arial"/>
                <w:b w:val="0"/>
                <w:color w:val="17324D"/>
                <w:sz w:val="16"/>
              </w:rPr>
              <w:t>A new-account profile was used for the dev AWS account, and a separate syed-personal-iam-user profile was kept for the older personal account. A scoped pre-dev deployment profile was also present during the rollout.</w:t>
            </w:r>
          </w:p>
        </w:tc>
        <w:tc>
          <w:tcPr>
            <w:tcW w:type="dxa" w:w="3240"/>
            <w:vAlign w:val="center"/>
          </w:tcPr>
          <w:p>
            <w:pPr>
              <w:keepLines/>
              <w:spacing w:after="20"/>
            </w:pPr>
            <w:r>
              <w:rPr>
                <w:rFonts w:ascii="Arial" w:hAnsi="Arial"/>
                <w:b w:val="0"/>
                <w:color w:val="17324D"/>
                <w:sz w:val="16"/>
              </w:rPr>
              <w:t>Run aws configure list-profiles, then aws sts get-caller-identity --profile &lt;profile&gt;. Confirm account ID and ARN before any write command.</w:t>
            </w:r>
          </w:p>
        </w:tc>
      </w:tr>
      <w:tr>
        <w:trPr>
          <w:cantSplit/>
        </w:trPr>
        <w:tc>
          <w:tcPr>
            <w:tcW w:type="dxa" w:w="1800"/>
            <w:vAlign w:val="center"/>
            <w:shd w:fill="F3F6F8"/>
          </w:tcPr>
          <w:p>
            <w:pPr>
              <w:spacing w:after="20"/>
            </w:pPr>
            <w:r>
              <w:rPr>
                <w:rFonts w:ascii="Arial" w:hAnsi="Arial"/>
                <w:b w:val="0"/>
                <w:color w:val="17324D"/>
                <w:sz w:val="16"/>
              </w:rPr>
              <w:t>Terraform install</w:t>
            </w:r>
          </w:p>
        </w:tc>
        <w:tc>
          <w:tcPr>
            <w:tcW w:type="dxa" w:w="4608"/>
            <w:vAlign w:val="center"/>
            <w:shd w:fill="F3F6F8"/>
          </w:tcPr>
          <w:p>
            <w:pPr>
              <w:spacing w:after="20"/>
            </w:pPr>
            <w:r>
              <w:rPr>
                <w:rFonts w:ascii="Arial" w:hAnsi="Arial"/>
                <w:b w:val="0"/>
                <w:color w:val="17324D"/>
                <w:sz w:val="16"/>
              </w:rPr>
              <w:t>Terraform 1.17.0 was installed using Chocolatey.</w:t>
            </w:r>
          </w:p>
        </w:tc>
        <w:tc>
          <w:tcPr>
            <w:tcW w:type="dxa" w:w="3240"/>
            <w:vAlign w:val="center"/>
            <w:shd w:fill="F3F6F8"/>
          </w:tcPr>
          <w:p>
            <w:pPr>
              <w:spacing w:after="20"/>
            </w:pPr>
            <w:r>
              <w:rPr>
                <w:rFonts w:ascii="Arial" w:hAnsi="Arial"/>
                <w:b w:val="0"/>
                <w:color w:val="17324D"/>
                <w:sz w:val="16"/>
              </w:rPr>
              <w:t>terraform version</w:t>
            </w:r>
          </w:p>
        </w:tc>
      </w:tr>
      <w:tr>
        <w:trPr>
          <w:cantSplit/>
        </w:trPr>
        <w:tc>
          <w:tcPr>
            <w:tcW w:type="dxa" w:w="1800"/>
            <w:vAlign w:val="center"/>
          </w:tcPr>
          <w:p>
            <w:pPr>
              <w:spacing w:after="20"/>
            </w:pPr>
            <w:r>
              <w:rPr>
                <w:rFonts w:ascii="Arial" w:hAnsi="Arial"/>
                <w:b w:val="0"/>
                <w:color w:val="17324D"/>
                <w:sz w:val="16"/>
              </w:rPr>
              <w:t>GitHub CLI</w:t>
            </w:r>
          </w:p>
        </w:tc>
        <w:tc>
          <w:tcPr>
            <w:tcW w:type="dxa" w:w="4608"/>
            <w:vAlign w:val="center"/>
          </w:tcPr>
          <w:p>
            <w:pPr>
              <w:spacing w:after="20"/>
            </w:pPr>
            <w:r>
              <w:rPr>
                <w:rFonts w:ascii="Arial" w:hAnsi="Arial"/>
                <w:b w:val="0"/>
                <w:color w:val="17324D"/>
                <w:sz w:val="16"/>
              </w:rPr>
              <w:t>GitHub CLI was authenticated for repository and Actions work.</w:t>
            </w:r>
          </w:p>
        </w:tc>
        <w:tc>
          <w:tcPr>
            <w:tcW w:type="dxa" w:w="3240"/>
            <w:vAlign w:val="center"/>
          </w:tcPr>
          <w:p>
            <w:pPr>
              <w:spacing w:after="20"/>
            </w:pPr>
            <w:r>
              <w:rPr>
                <w:rFonts w:ascii="Arial" w:hAnsi="Arial"/>
                <w:b w:val="0"/>
                <w:color w:val="17324D"/>
                <w:sz w:val="16"/>
              </w:rPr>
              <w:t>gh auth status; do not print or paste its token.</w:t>
            </w:r>
          </w:p>
        </w:tc>
      </w:tr>
      <w:tr>
        <w:trPr>
          <w:cantSplit/>
        </w:trPr>
        <w:tc>
          <w:tcPr>
            <w:tcW w:type="dxa" w:w="1800"/>
            <w:vAlign w:val="center"/>
            <w:shd w:fill="F3F6F8"/>
          </w:tcPr>
          <w:p>
            <w:pPr>
              <w:spacing w:after="20"/>
            </w:pPr>
            <w:r>
              <w:rPr>
                <w:rFonts w:ascii="Arial" w:hAnsi="Arial"/>
                <w:b w:val="0"/>
                <w:color w:val="17324D"/>
                <w:sz w:val="16"/>
              </w:rPr>
              <w:t>Secret handling</w:t>
            </w:r>
          </w:p>
        </w:tc>
        <w:tc>
          <w:tcPr>
            <w:tcW w:type="dxa" w:w="4608"/>
            <w:vAlign w:val="center"/>
            <w:shd w:fill="F3F6F8"/>
          </w:tcPr>
          <w:p>
            <w:pPr>
              <w:spacing w:after="20"/>
            </w:pPr>
            <w:r>
              <w:rPr>
                <w:rFonts w:ascii="Arial" w:hAnsi="Arial"/>
                <w:b w:val="0"/>
                <w:color w:val="17324D"/>
                <w:sz w:val="16"/>
              </w:rPr>
              <w:t>Credentials were supplied through CLI profiles or GitHub environment secrets; application runtime values belong in AWS Secrets Manager.</w:t>
            </w:r>
          </w:p>
        </w:tc>
        <w:tc>
          <w:tcPr>
            <w:tcW w:type="dxa" w:w="3240"/>
            <w:vAlign w:val="center"/>
            <w:shd w:fill="F3F6F8"/>
          </w:tcPr>
          <w:p>
            <w:pPr>
              <w:spacing w:after="20"/>
            </w:pPr>
            <w:r>
              <w:rPr>
                <w:rFonts w:ascii="Arial" w:hAnsi="Arial"/>
                <w:b w:val="0"/>
                <w:color w:val="17324D"/>
                <w:sz w:val="16"/>
              </w:rPr>
              <w:t>Never commit .env files, access keys, database passwords, PEM keys, or API keys.</w:t>
            </w:r>
          </w:p>
        </w:tc>
      </w:tr>
    </w:tbl>
    <w:p>
      <w:pPr>
        <w:spacing w:after="40"/>
      </w:pPr>
      <w:r>
        <w:rPr>
          <w:rFonts w:ascii="Arial" w:hAnsi="Arial"/>
          <w:b w:val="0"/>
          <w:color w:val="17324D"/>
          <w:sz w:val="20"/>
        </w:rPr>
      </w:r>
    </w:p>
    <w:p>
      <w:pPr>
        <w:pStyle w:val="Heading1"/>
      </w:pPr>
      <w:r>
        <w:rPr>
          <w:rFonts w:ascii="Arial" w:hAnsi="Arial"/>
          <w:b/>
          <w:color w:val="17324D"/>
          <w:sz w:val="32"/>
        </w:rPr>
        <w:t>2. Terraform repository and state</w:t>
      </w:r>
    </w:p>
    <w:p>
      <w:r>
        <w:rPr>
          <w:rFonts w:ascii="Arial" w:hAnsi="Arial"/>
          <w:b w:val="0"/>
          <w:color w:val="17324D"/>
          <w:sz w:val="20"/>
        </w:rPr>
        <w:t>Infrastructure code is kept in the separate deal-drive-iac-cloud repository. The bootstrap configuration creates the remote state bucket and deployment role prerequisites; envs/dev composes the network, platform, database, storage, edge, IAM, and logging resources. The dev state is stored remotely in S3 with the configured key under the deal-and-drive/dev prefix.</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Terraform command flow</w:t>
              <w:br/>
              <w:t>terraform fmt -check -recursive → terraform init → terraform validate → terraform plan -out=dev.tfplan → review the plan → terraform apply dev.tfplan. Bootstrap is initialized and validated separately. A successful plan or validation is not proof that apply ran.</w:t>
            </w:r>
          </w:p>
        </w:tc>
      </w:tr>
    </w:tbl>
    <w:p>
      <w:pPr>
        <w:spacing w:after="40"/>
      </w:pPr>
      <w:r>
        <w:rPr>
          <w:rFonts w:ascii="Arial" w:hAnsi="Arial"/>
          <w:b w:val="0"/>
          <w:color w:val="17324D"/>
          <w:sz w:val="20"/>
        </w:rPr>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3096"/>
            <w:vAlign w:val="center"/>
            <w:shd w:fill="17324D"/>
          </w:tcPr>
          <w:p>
            <w:pPr>
              <w:keepNext/>
              <w:spacing w:after="20"/>
            </w:pPr>
            <w:r>
              <w:rPr>
                <w:rFonts w:ascii="Arial" w:hAnsi="Arial"/>
                <w:b/>
                <w:color w:val="FFFFFF"/>
                <w:sz w:val="18"/>
              </w:rPr>
              <w:t>Command</w:t>
            </w:r>
          </w:p>
        </w:tc>
        <w:tc>
          <w:tcPr>
            <w:tcW w:type="dxa" w:w="3672"/>
            <w:vAlign w:val="center"/>
            <w:shd w:fill="17324D"/>
          </w:tcPr>
          <w:p>
            <w:pPr>
              <w:keepNext/>
              <w:spacing w:after="20"/>
            </w:pPr>
            <w:r>
              <w:rPr>
                <w:rFonts w:ascii="Arial" w:hAnsi="Arial"/>
                <w:b/>
                <w:color w:val="FFFFFF"/>
                <w:sz w:val="18"/>
              </w:rPr>
              <w:t>Meaning</w:t>
            </w:r>
          </w:p>
        </w:tc>
        <w:tc>
          <w:tcPr>
            <w:tcW w:type="dxa" w:w="2880"/>
            <w:vAlign w:val="center"/>
            <w:shd w:fill="17324D"/>
          </w:tcPr>
          <w:p>
            <w:pPr>
              <w:keepNext/>
              <w:spacing w:after="20"/>
            </w:pPr>
            <w:r>
              <w:rPr>
                <w:rFonts w:ascii="Arial" w:hAnsi="Arial"/>
                <w:b/>
                <w:color w:val="FFFFFF"/>
                <w:sz w:val="18"/>
              </w:rPr>
              <w:t>Use</w:t>
            </w:r>
          </w:p>
        </w:tc>
      </w:tr>
      <w:tr>
        <w:trPr>
          <w:cantSplit/>
        </w:trPr>
        <w:tc>
          <w:tcPr>
            <w:tcW w:type="dxa" w:w="3096"/>
            <w:vAlign w:val="center"/>
          </w:tcPr>
          <w:p>
            <w:pPr>
              <w:keepLines/>
              <w:spacing w:after="20"/>
            </w:pPr>
            <w:r>
              <w:rPr>
                <w:rFonts w:ascii="Arial" w:hAnsi="Arial"/>
                <w:b w:val="0"/>
                <w:color w:val="17324D"/>
                <w:sz w:val="16"/>
              </w:rPr>
              <w:t>terraform fmt -check -recursive</w:t>
            </w:r>
          </w:p>
        </w:tc>
        <w:tc>
          <w:tcPr>
            <w:tcW w:type="dxa" w:w="3672"/>
            <w:vAlign w:val="center"/>
          </w:tcPr>
          <w:p>
            <w:pPr>
              <w:keepLines/>
              <w:spacing w:after="20"/>
            </w:pPr>
            <w:r>
              <w:rPr>
                <w:rFonts w:ascii="Arial" w:hAnsi="Arial"/>
                <w:b w:val="0"/>
                <w:color w:val="17324D"/>
                <w:sz w:val="16"/>
              </w:rPr>
              <w:t>Checks Terraform formatting without editing files.</w:t>
            </w:r>
          </w:p>
        </w:tc>
        <w:tc>
          <w:tcPr>
            <w:tcW w:type="dxa" w:w="2880"/>
            <w:vAlign w:val="center"/>
          </w:tcPr>
          <w:p>
            <w:pPr>
              <w:keepLines/>
              <w:spacing w:after="20"/>
            </w:pPr>
            <w:r>
              <w:rPr>
                <w:rFonts w:ascii="Arial" w:hAnsi="Arial"/>
                <w:b w:val="0"/>
                <w:color w:val="17324D"/>
                <w:sz w:val="16"/>
              </w:rPr>
              <w:t>Local or CI validation.</w:t>
            </w:r>
          </w:p>
        </w:tc>
      </w:tr>
      <w:tr>
        <w:trPr>
          <w:cantSplit/>
        </w:trPr>
        <w:tc>
          <w:tcPr>
            <w:tcW w:type="dxa" w:w="3096"/>
            <w:vAlign w:val="center"/>
            <w:shd w:fill="F3F6F8"/>
          </w:tcPr>
          <w:p>
            <w:pPr>
              <w:spacing w:after="20"/>
            </w:pPr>
            <w:r>
              <w:rPr>
                <w:rFonts w:ascii="Arial" w:hAnsi="Arial"/>
                <w:b w:val="0"/>
                <w:color w:val="17324D"/>
                <w:sz w:val="16"/>
              </w:rPr>
              <w:t>terraform init</w:t>
            </w:r>
          </w:p>
        </w:tc>
        <w:tc>
          <w:tcPr>
            <w:tcW w:type="dxa" w:w="3672"/>
            <w:vAlign w:val="center"/>
            <w:shd w:fill="F3F6F8"/>
          </w:tcPr>
          <w:p>
            <w:pPr>
              <w:spacing w:after="20"/>
            </w:pPr>
            <w:r>
              <w:rPr>
                <w:rFonts w:ascii="Arial" w:hAnsi="Arial"/>
                <w:b w:val="0"/>
                <w:color w:val="17324D"/>
                <w:sz w:val="16"/>
              </w:rPr>
              <w:t>Downloads providers/modules and configures the backend.</w:t>
            </w:r>
          </w:p>
        </w:tc>
        <w:tc>
          <w:tcPr>
            <w:tcW w:type="dxa" w:w="2880"/>
            <w:vAlign w:val="center"/>
            <w:shd w:fill="F3F6F8"/>
          </w:tcPr>
          <w:p>
            <w:pPr>
              <w:spacing w:after="20"/>
            </w:pPr>
            <w:r>
              <w:rPr>
                <w:rFonts w:ascii="Arial" w:hAnsi="Arial"/>
                <w:b w:val="0"/>
                <w:color w:val="17324D"/>
                <w:sz w:val="16"/>
              </w:rPr>
              <w:t>Run from the selected bootstrap or env directory.</w:t>
            </w:r>
          </w:p>
        </w:tc>
      </w:tr>
      <w:tr>
        <w:trPr>
          <w:cantSplit/>
        </w:trPr>
        <w:tc>
          <w:tcPr>
            <w:tcW w:type="dxa" w:w="3096"/>
            <w:vAlign w:val="center"/>
          </w:tcPr>
          <w:p>
            <w:pPr>
              <w:spacing w:after="20"/>
            </w:pPr>
            <w:r>
              <w:rPr>
                <w:rFonts w:ascii="Arial" w:hAnsi="Arial"/>
                <w:b w:val="0"/>
                <w:color w:val="17324D"/>
                <w:sz w:val="16"/>
              </w:rPr>
              <w:t>terraform validate</w:t>
            </w:r>
          </w:p>
        </w:tc>
        <w:tc>
          <w:tcPr>
            <w:tcW w:type="dxa" w:w="3672"/>
            <w:vAlign w:val="center"/>
          </w:tcPr>
          <w:p>
            <w:pPr>
              <w:spacing w:after="20"/>
            </w:pPr>
            <w:r>
              <w:rPr>
                <w:rFonts w:ascii="Arial" w:hAnsi="Arial"/>
                <w:b w:val="0"/>
                <w:color w:val="17324D"/>
                <w:sz w:val="16"/>
              </w:rPr>
              <w:t>Checks configuration structure and provider schemas.</w:t>
            </w:r>
          </w:p>
        </w:tc>
        <w:tc>
          <w:tcPr>
            <w:tcW w:type="dxa" w:w="2880"/>
            <w:vAlign w:val="center"/>
          </w:tcPr>
          <w:p>
            <w:pPr>
              <w:spacing w:after="20"/>
            </w:pPr>
            <w:r>
              <w:rPr>
                <w:rFonts w:ascii="Arial" w:hAnsi="Arial"/>
                <w:b w:val="0"/>
                <w:color w:val="17324D"/>
                <w:sz w:val="16"/>
              </w:rPr>
              <w:t>Usually after init; CI may use -backend=false for validation only.</w:t>
            </w:r>
          </w:p>
        </w:tc>
      </w:tr>
      <w:tr>
        <w:trPr>
          <w:cantSplit/>
        </w:trPr>
        <w:tc>
          <w:tcPr>
            <w:tcW w:type="dxa" w:w="3096"/>
            <w:vAlign w:val="center"/>
            <w:shd w:fill="F3F6F8"/>
          </w:tcPr>
          <w:p>
            <w:pPr>
              <w:spacing w:after="20"/>
            </w:pPr>
            <w:r>
              <w:rPr>
                <w:rFonts w:ascii="Arial" w:hAnsi="Arial"/>
                <w:b w:val="0"/>
                <w:color w:val="17324D"/>
                <w:sz w:val="16"/>
              </w:rPr>
              <w:t>terraform plan -out=dev.tfplan</w:t>
            </w:r>
          </w:p>
        </w:tc>
        <w:tc>
          <w:tcPr>
            <w:tcW w:type="dxa" w:w="3672"/>
            <w:vAlign w:val="center"/>
            <w:shd w:fill="F3F6F8"/>
          </w:tcPr>
          <w:p>
            <w:pPr>
              <w:spacing w:after="20"/>
            </w:pPr>
            <w:r>
              <w:rPr>
                <w:rFonts w:ascii="Arial" w:hAnsi="Arial"/>
                <w:b w:val="0"/>
                <w:color w:val="17324D"/>
                <w:sz w:val="16"/>
              </w:rPr>
              <w:t>Shows proposed changes and saves the exact plan.</w:t>
            </w:r>
          </w:p>
        </w:tc>
        <w:tc>
          <w:tcPr>
            <w:tcW w:type="dxa" w:w="2880"/>
            <w:vAlign w:val="center"/>
            <w:shd w:fill="F3F6F8"/>
          </w:tcPr>
          <w:p>
            <w:pPr>
              <w:spacing w:after="20"/>
            </w:pPr>
            <w:r>
              <w:rPr>
                <w:rFonts w:ascii="Arial" w:hAnsi="Arial"/>
                <w:b w:val="0"/>
                <w:color w:val="17324D"/>
                <w:sz w:val="16"/>
              </w:rPr>
              <w:t>Review adds, updates, and destroys before apply.</w:t>
            </w:r>
          </w:p>
        </w:tc>
      </w:tr>
      <w:tr>
        <w:trPr>
          <w:cantSplit/>
        </w:trPr>
        <w:tc>
          <w:tcPr>
            <w:tcW w:type="dxa" w:w="3096"/>
            <w:vAlign w:val="center"/>
          </w:tcPr>
          <w:p>
            <w:pPr>
              <w:spacing w:after="20"/>
            </w:pPr>
            <w:r>
              <w:rPr>
                <w:rFonts w:ascii="Arial" w:hAnsi="Arial"/>
                <w:b w:val="0"/>
                <w:color w:val="17324D"/>
                <w:sz w:val="16"/>
              </w:rPr>
              <w:t>terraform apply dev.tfplan</w:t>
            </w:r>
          </w:p>
        </w:tc>
        <w:tc>
          <w:tcPr>
            <w:tcW w:type="dxa" w:w="3672"/>
            <w:vAlign w:val="center"/>
          </w:tcPr>
          <w:p>
            <w:pPr>
              <w:spacing w:after="20"/>
            </w:pPr>
            <w:r>
              <w:rPr>
                <w:rFonts w:ascii="Arial" w:hAnsi="Arial"/>
                <w:b w:val="0"/>
                <w:color w:val="17324D"/>
                <w:sz w:val="16"/>
              </w:rPr>
              <w:t>Applies the reviewed plan.</w:t>
            </w:r>
          </w:p>
        </w:tc>
        <w:tc>
          <w:tcPr>
            <w:tcW w:type="dxa" w:w="2880"/>
            <w:vAlign w:val="center"/>
          </w:tcPr>
          <w:p>
            <w:pPr>
              <w:spacing w:after="20"/>
            </w:pPr>
            <w:r>
              <w:rPr>
                <w:rFonts w:ascii="Arial" w:hAnsi="Arial"/>
                <w:b w:val="0"/>
                <w:color w:val="17324D"/>
                <w:sz w:val="16"/>
              </w:rPr>
              <w:t>Requires valid AWS permissions and correct remote state.</w:t>
            </w:r>
          </w:p>
        </w:tc>
      </w:tr>
      <w:tr>
        <w:trPr>
          <w:cantSplit/>
        </w:trPr>
        <w:tc>
          <w:tcPr>
            <w:tcW w:type="dxa" w:w="3096"/>
            <w:vAlign w:val="center"/>
            <w:shd w:fill="F3F6F8"/>
          </w:tcPr>
          <w:p>
            <w:pPr>
              <w:spacing w:after="20"/>
            </w:pPr>
            <w:r>
              <w:rPr>
                <w:rFonts w:ascii="Arial" w:hAnsi="Arial"/>
                <w:b w:val="0"/>
                <w:color w:val="17324D"/>
                <w:sz w:val="16"/>
              </w:rPr>
              <w:t>terraform output</w:t>
            </w:r>
          </w:p>
        </w:tc>
        <w:tc>
          <w:tcPr>
            <w:tcW w:type="dxa" w:w="3672"/>
            <w:vAlign w:val="center"/>
            <w:shd w:fill="F3F6F8"/>
          </w:tcPr>
          <w:p>
            <w:pPr>
              <w:spacing w:after="20"/>
            </w:pPr>
            <w:r>
              <w:rPr>
                <w:rFonts w:ascii="Arial" w:hAnsi="Arial"/>
                <w:b w:val="0"/>
                <w:color w:val="17324D"/>
                <w:sz w:val="16"/>
              </w:rPr>
              <w:t>Displays declared output values, including CloudFront host and Route 53 nameservers.</w:t>
            </w:r>
          </w:p>
        </w:tc>
        <w:tc>
          <w:tcPr>
            <w:tcW w:type="dxa" w:w="2880"/>
            <w:vAlign w:val="center"/>
            <w:shd w:fill="F3F6F8"/>
          </w:tcPr>
          <w:p>
            <w:pPr>
              <w:spacing w:after="20"/>
            </w:pPr>
            <w:r>
              <w:rPr>
                <w:rFonts w:ascii="Arial" w:hAnsi="Arial"/>
                <w:b w:val="0"/>
                <w:color w:val="17324D"/>
                <w:sz w:val="16"/>
              </w:rPr>
              <w:t>Do not confuse a hosted zone output with active domain delegation.</w:t>
            </w:r>
          </w:p>
        </w:tc>
      </w:tr>
    </w:tbl>
    <w:p>
      <w:pPr>
        <w:spacing w:after="40"/>
      </w:pPr>
      <w:r>
        <w:rPr>
          <w:rFonts w:ascii="Arial" w:hAnsi="Arial"/>
          <w:b w:val="0"/>
          <w:color w:val="17324D"/>
          <w:sz w:val="20"/>
        </w:rPr>
      </w:r>
    </w:p>
    <w:p>
      <w:pPr>
        <w:pStyle w:val="Heading1"/>
      </w:pPr>
      <w:r>
        <w:rPr>
          <w:rFonts w:ascii="Arial" w:hAnsi="Arial"/>
          <w:b/>
          <w:color w:val="17324D"/>
          <w:sz w:val="32"/>
        </w:rPr>
        <w:t>3. Resources created for dev</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088"/>
            <w:vAlign w:val="center"/>
            <w:shd w:fill="17324D"/>
          </w:tcPr>
          <w:p>
            <w:pPr>
              <w:keepNext/>
              <w:spacing w:after="20"/>
            </w:pPr>
            <w:r>
              <w:rPr>
                <w:rFonts w:ascii="Arial" w:hAnsi="Arial"/>
                <w:b/>
                <w:color w:val="FFFFFF"/>
                <w:sz w:val="18"/>
              </w:rPr>
              <w:t>AWS service</w:t>
            </w:r>
          </w:p>
        </w:tc>
        <w:tc>
          <w:tcPr>
            <w:tcW w:type="dxa" w:w="3816"/>
            <w:vAlign w:val="center"/>
            <w:shd w:fill="17324D"/>
          </w:tcPr>
          <w:p>
            <w:pPr>
              <w:keepNext/>
              <w:spacing w:after="20"/>
            </w:pPr>
            <w:r>
              <w:rPr>
                <w:rFonts w:ascii="Arial" w:hAnsi="Arial"/>
                <w:b/>
                <w:color w:val="FFFFFF"/>
                <w:sz w:val="18"/>
              </w:rPr>
              <w:t>Role in the architecture</w:t>
            </w:r>
          </w:p>
        </w:tc>
        <w:tc>
          <w:tcPr>
            <w:tcW w:type="dxa" w:w="3744"/>
            <w:vAlign w:val="center"/>
            <w:shd w:fill="17324D"/>
          </w:tcPr>
          <w:p>
            <w:pPr>
              <w:keepNext/>
              <w:spacing w:after="20"/>
            </w:pPr>
            <w:r>
              <w:rPr>
                <w:rFonts w:ascii="Arial" w:hAnsi="Arial"/>
                <w:b/>
                <w:color w:val="FFFFFF"/>
                <w:sz w:val="18"/>
              </w:rPr>
              <w:t>Recorded state</w:t>
            </w:r>
          </w:p>
        </w:tc>
      </w:tr>
      <w:tr>
        <w:trPr>
          <w:cantSplit/>
        </w:trPr>
        <w:tc>
          <w:tcPr>
            <w:tcW w:type="dxa" w:w="2088"/>
            <w:vAlign w:val="center"/>
          </w:tcPr>
          <w:p>
            <w:pPr>
              <w:keepLines/>
              <w:spacing w:after="20"/>
            </w:pPr>
            <w:r>
              <w:rPr>
                <w:rFonts w:ascii="Arial" w:hAnsi="Arial"/>
                <w:b w:val="0"/>
                <w:color w:val="17324D"/>
                <w:sz w:val="16"/>
              </w:rPr>
              <w:t>VPC and networking</w:t>
            </w:r>
          </w:p>
        </w:tc>
        <w:tc>
          <w:tcPr>
            <w:tcW w:type="dxa" w:w="3816"/>
            <w:vAlign w:val="center"/>
          </w:tcPr>
          <w:p>
            <w:pPr>
              <w:keepLines/>
              <w:spacing w:after="20"/>
            </w:pPr>
            <w:r>
              <w:rPr>
                <w:rFonts w:ascii="Arial" w:hAnsi="Arial"/>
                <w:b w:val="0"/>
                <w:color w:val="17324D"/>
                <w:sz w:val="16"/>
              </w:rPr>
              <w:t>Two availability zones, public and private subnets, route tables, outbound NAT, security groups, and S3 gateway endpoint.</w:t>
            </w:r>
          </w:p>
        </w:tc>
        <w:tc>
          <w:tcPr>
            <w:tcW w:type="dxa" w:w="3744"/>
            <w:vAlign w:val="center"/>
          </w:tcPr>
          <w:p>
            <w:pPr>
              <w:keepLines/>
              <w:spacing w:after="20"/>
            </w:pPr>
            <w:r>
              <w:rPr>
                <w:rFonts w:ascii="Arial" w:hAnsi="Arial"/>
                <w:b w:val="0"/>
                <w:color w:val="17324D"/>
                <w:sz w:val="16"/>
              </w:rPr>
              <w:t>Provisioned through Terraform for the dev platform.</w:t>
            </w:r>
          </w:p>
        </w:tc>
      </w:tr>
      <w:tr>
        <w:trPr>
          <w:cantSplit/>
        </w:trPr>
        <w:tc>
          <w:tcPr>
            <w:tcW w:type="dxa" w:w="2088"/>
            <w:vAlign w:val="center"/>
            <w:shd w:fill="F3F6F8"/>
          </w:tcPr>
          <w:p>
            <w:pPr>
              <w:spacing w:after="20"/>
            </w:pPr>
            <w:r>
              <w:rPr>
                <w:rFonts w:ascii="Arial" w:hAnsi="Arial"/>
                <w:b w:val="0"/>
                <w:color w:val="17324D"/>
                <w:sz w:val="16"/>
              </w:rPr>
              <w:t>Application Load Balancer</w:t>
            </w:r>
          </w:p>
        </w:tc>
        <w:tc>
          <w:tcPr>
            <w:tcW w:type="dxa" w:w="3816"/>
            <w:vAlign w:val="center"/>
            <w:shd w:fill="F3F6F8"/>
          </w:tcPr>
          <w:p>
            <w:pPr>
              <w:spacing w:after="20"/>
            </w:pPr>
            <w:r>
              <w:rPr>
                <w:rFonts w:ascii="Arial" w:hAnsi="Arial"/>
                <w:b w:val="0"/>
                <w:color w:val="17324D"/>
                <w:sz w:val="16"/>
              </w:rPr>
              <w:t>Receives API requests from CloudFront and forwards them to healthy ECS tasks.</w:t>
            </w:r>
          </w:p>
        </w:tc>
        <w:tc>
          <w:tcPr>
            <w:tcW w:type="dxa" w:w="3744"/>
            <w:vAlign w:val="center"/>
            <w:shd w:fill="F3F6F8"/>
          </w:tcPr>
          <w:p>
            <w:pPr>
              <w:spacing w:after="20"/>
            </w:pPr>
            <w:r>
              <w:rPr>
                <w:rFonts w:ascii="Arial" w:hAnsi="Arial"/>
                <w:b w:val="0"/>
                <w:color w:val="17324D"/>
                <w:sz w:val="16"/>
              </w:rPr>
              <w:t>Included in the platform resources.</w:t>
            </w:r>
          </w:p>
        </w:tc>
      </w:tr>
      <w:tr>
        <w:trPr>
          <w:cantSplit/>
        </w:trPr>
        <w:tc>
          <w:tcPr>
            <w:tcW w:type="dxa" w:w="2088"/>
            <w:vAlign w:val="center"/>
          </w:tcPr>
          <w:p>
            <w:pPr>
              <w:spacing w:after="20"/>
            </w:pPr>
            <w:r>
              <w:rPr>
                <w:rFonts w:ascii="Arial" w:hAnsi="Arial"/>
                <w:b w:val="0"/>
                <w:color w:val="17324D"/>
                <w:sz w:val="16"/>
              </w:rPr>
              <w:t>ECS Fargate and ECR</w:t>
            </w:r>
          </w:p>
        </w:tc>
        <w:tc>
          <w:tcPr>
            <w:tcW w:type="dxa" w:w="3816"/>
            <w:vAlign w:val="center"/>
          </w:tcPr>
          <w:p>
            <w:pPr>
              <w:spacing w:after="20"/>
            </w:pPr>
            <w:r>
              <w:rPr>
                <w:rFonts w:ascii="Arial" w:hAnsi="Arial"/>
                <w:b w:val="0"/>
                <w:color w:val="17324D"/>
                <w:sz w:val="16"/>
              </w:rPr>
              <w:t>Runs the FastAPI API without managing EC2 hosts; ECR stores versioned API images.</w:t>
            </w:r>
          </w:p>
        </w:tc>
        <w:tc>
          <w:tcPr>
            <w:tcW w:type="dxa" w:w="3744"/>
            <w:vAlign w:val="center"/>
          </w:tcPr>
          <w:p>
            <w:pPr>
              <w:spacing w:after="20"/>
            </w:pPr>
            <w:r>
              <w:rPr>
                <w:rFonts w:ascii="Arial" w:hAnsi="Arial"/>
                <w:b w:val="0"/>
                <w:color w:val="17324D"/>
                <w:sz w:val="16"/>
              </w:rPr>
              <w:t>Cluster/service and image repository were created; deployments use task definitions.</w:t>
            </w:r>
          </w:p>
        </w:tc>
      </w:tr>
      <w:tr>
        <w:trPr>
          <w:cantSplit/>
        </w:trPr>
        <w:tc>
          <w:tcPr>
            <w:tcW w:type="dxa" w:w="2088"/>
            <w:vAlign w:val="center"/>
            <w:shd w:fill="F3F6F8"/>
          </w:tcPr>
          <w:p>
            <w:pPr>
              <w:spacing w:after="20"/>
            </w:pPr>
            <w:r>
              <w:rPr>
                <w:rFonts w:ascii="Arial" w:hAnsi="Arial"/>
                <w:b w:val="0"/>
                <w:color w:val="17324D"/>
                <w:sz w:val="16"/>
              </w:rPr>
              <w:t>RDS PostgreSQL</w:t>
            </w:r>
          </w:p>
        </w:tc>
        <w:tc>
          <w:tcPr>
            <w:tcW w:type="dxa" w:w="3816"/>
            <w:vAlign w:val="center"/>
            <w:shd w:fill="F3F6F8"/>
          </w:tcPr>
          <w:p>
            <w:pPr>
              <w:spacing w:after="20"/>
            </w:pPr>
            <w:r>
              <w:rPr>
                <w:rFonts w:ascii="Arial" w:hAnsi="Arial"/>
                <w:b w:val="0"/>
                <w:color w:val="17324D"/>
                <w:sz w:val="16"/>
              </w:rPr>
              <w:t>Private application database.</w:t>
            </w:r>
          </w:p>
        </w:tc>
        <w:tc>
          <w:tcPr>
            <w:tcW w:type="dxa" w:w="3744"/>
            <w:vAlign w:val="center"/>
            <w:shd w:fill="F3F6F8"/>
          </w:tcPr>
          <w:p>
            <w:pPr>
              <w:spacing w:after="20"/>
            </w:pPr>
            <w:r>
              <w:rPr>
                <w:rFonts w:ascii="Arial" w:hAnsi="Arial"/>
                <w:b w:val="0"/>
                <w:color w:val="17324D"/>
                <w:sz w:val="16"/>
              </w:rPr>
              <w:t>PostgreSQL 18.3, db.t3.micro, single AZ, 20 GiB gp2; automated backup retention is zero by explicit approval.</w:t>
            </w:r>
          </w:p>
        </w:tc>
      </w:tr>
      <w:tr>
        <w:trPr>
          <w:cantSplit/>
        </w:trPr>
        <w:tc>
          <w:tcPr>
            <w:tcW w:type="dxa" w:w="2088"/>
            <w:vAlign w:val="center"/>
          </w:tcPr>
          <w:p>
            <w:pPr>
              <w:spacing w:after="20"/>
            </w:pPr>
            <w:r>
              <w:rPr>
                <w:rFonts w:ascii="Arial" w:hAnsi="Arial"/>
                <w:b w:val="0"/>
                <w:color w:val="17324D"/>
                <w:sz w:val="16"/>
              </w:rPr>
              <w:t>S3 frontend and uploads</w:t>
            </w:r>
          </w:p>
        </w:tc>
        <w:tc>
          <w:tcPr>
            <w:tcW w:type="dxa" w:w="3816"/>
            <w:vAlign w:val="center"/>
          </w:tcPr>
          <w:p>
            <w:pPr>
              <w:spacing w:after="20"/>
            </w:pPr>
            <w:r>
              <w:rPr>
                <w:rFonts w:ascii="Arial" w:hAnsi="Arial"/>
                <w:b w:val="0"/>
                <w:color w:val="17324D"/>
                <w:sz w:val="16"/>
              </w:rPr>
              <w:t>Private static-site origin and private user-document storage.</w:t>
            </w:r>
          </w:p>
        </w:tc>
        <w:tc>
          <w:tcPr>
            <w:tcW w:type="dxa" w:w="3744"/>
            <w:vAlign w:val="center"/>
          </w:tcPr>
          <w:p>
            <w:pPr>
              <w:spacing w:after="20"/>
            </w:pPr>
            <w:r>
              <w:t>Frontend bucket is behind CloudFront OAC; copied upload bucket was reported at latest note: latest note: 23 / 2.85 MB; older README: 21 / 2,578,172 bytes; recheck; older README: 21 objects / 2,578,172 bytes, recheck count during verification.</w:t>
            </w:r>
          </w:p>
        </w:tc>
      </w:tr>
      <w:tr>
        <w:trPr>
          <w:cantSplit/>
        </w:trPr>
        <w:tc>
          <w:tcPr>
            <w:tcW w:type="dxa" w:w="2088"/>
            <w:vAlign w:val="center"/>
            <w:shd w:fill="F3F6F8"/>
          </w:tcPr>
          <w:p>
            <w:pPr>
              <w:spacing w:after="20"/>
            </w:pPr>
            <w:r>
              <w:rPr>
                <w:rFonts w:ascii="Arial" w:hAnsi="Arial"/>
                <w:b w:val="0"/>
                <w:color w:val="17324D"/>
                <w:sz w:val="16"/>
              </w:rPr>
              <w:t>CloudFront and WAF</w:t>
            </w:r>
          </w:p>
        </w:tc>
        <w:tc>
          <w:tcPr>
            <w:tcW w:type="dxa" w:w="3816"/>
            <w:vAlign w:val="center"/>
            <w:shd w:fill="F3F6F8"/>
          </w:tcPr>
          <w:p>
            <w:pPr>
              <w:spacing w:after="20"/>
            </w:pPr>
            <w:r>
              <w:rPr>
                <w:rFonts w:ascii="Arial" w:hAnsi="Arial"/>
                <w:b w:val="0"/>
                <w:color w:val="17324D"/>
                <w:sz w:val="16"/>
              </w:rPr>
              <w:t>Delivers static files, routes /api paths, and filters web traffic.</w:t>
            </w:r>
          </w:p>
        </w:tc>
        <w:tc>
          <w:tcPr>
            <w:tcW w:type="dxa" w:w="3744"/>
            <w:vAlign w:val="center"/>
            <w:shd w:fill="F3F6F8"/>
          </w:tcPr>
          <w:p>
            <w:pPr>
              <w:spacing w:after="20"/>
            </w:pPr>
            <w:r>
              <w:rPr>
                <w:rFonts w:ascii="Arial" w:hAnsi="Arial"/>
                <w:b w:val="0"/>
                <w:color w:val="17324D"/>
                <w:sz w:val="16"/>
              </w:rPr>
              <w:t>CloudFront default hostname is available; custom domain is currently disabled in dev settings.</w:t>
            </w:r>
          </w:p>
        </w:tc>
      </w:tr>
      <w:tr>
        <w:trPr>
          <w:cantSplit/>
        </w:trPr>
        <w:tc>
          <w:tcPr>
            <w:tcW w:type="dxa" w:w="2088"/>
            <w:vAlign w:val="center"/>
          </w:tcPr>
          <w:p>
            <w:pPr>
              <w:spacing w:after="20"/>
            </w:pPr>
            <w:r>
              <w:rPr>
                <w:rFonts w:ascii="Arial" w:hAnsi="Arial"/>
                <w:b w:val="0"/>
                <w:color w:val="17324D"/>
                <w:sz w:val="16"/>
              </w:rPr>
              <w:t>Secrets Manager</w:t>
            </w:r>
          </w:p>
        </w:tc>
        <w:tc>
          <w:tcPr>
            <w:tcW w:type="dxa" w:w="3816"/>
            <w:vAlign w:val="center"/>
          </w:tcPr>
          <w:p>
            <w:pPr>
              <w:spacing w:after="20"/>
            </w:pPr>
            <w:r>
              <w:rPr>
                <w:rFonts w:ascii="Arial" w:hAnsi="Arial"/>
                <w:b w:val="0"/>
                <w:color w:val="17324D"/>
                <w:sz w:val="16"/>
              </w:rPr>
              <w:t>Stores backend runtime values and public frontend build configuration separately.</w:t>
            </w:r>
          </w:p>
        </w:tc>
        <w:tc>
          <w:tcPr>
            <w:tcW w:type="dxa" w:w="3744"/>
            <w:vAlign w:val="center"/>
          </w:tcPr>
          <w:p>
            <w:pPr>
              <w:spacing w:after="20"/>
            </w:pPr>
            <w:r>
              <w:rPr>
                <w:rFonts w:ascii="Arial" w:hAnsi="Arial"/>
                <w:b w:val="0"/>
                <w:color w:val="17324D"/>
                <w:sz w:val="16"/>
              </w:rPr>
              <w:t>One backend secret and one frontend-config secret were configured.</w:t>
            </w:r>
          </w:p>
        </w:tc>
      </w:tr>
      <w:tr>
        <w:trPr>
          <w:cantSplit/>
        </w:trPr>
        <w:tc>
          <w:tcPr>
            <w:tcW w:type="dxa" w:w="2088"/>
            <w:vAlign w:val="center"/>
            <w:shd w:fill="F3F6F8"/>
          </w:tcPr>
          <w:p>
            <w:pPr>
              <w:spacing w:after="20"/>
            </w:pPr>
            <w:r>
              <w:rPr>
                <w:rFonts w:ascii="Arial" w:hAnsi="Arial"/>
                <w:b w:val="0"/>
                <w:color w:val="17324D"/>
                <w:sz w:val="16"/>
              </w:rPr>
              <w:t>CloudWatch</w:t>
            </w:r>
          </w:p>
        </w:tc>
        <w:tc>
          <w:tcPr>
            <w:tcW w:type="dxa" w:w="3816"/>
            <w:vAlign w:val="center"/>
            <w:shd w:fill="F3F6F8"/>
          </w:tcPr>
          <w:p>
            <w:pPr>
              <w:spacing w:after="20"/>
            </w:pPr>
            <w:r>
              <w:rPr>
                <w:rFonts w:ascii="Arial" w:hAnsi="Arial"/>
                <w:b w:val="0"/>
                <w:color w:val="17324D"/>
                <w:sz w:val="16"/>
              </w:rPr>
              <w:t>Stores container logs and supports alarms/monitoring.</w:t>
            </w:r>
          </w:p>
        </w:tc>
        <w:tc>
          <w:tcPr>
            <w:tcW w:type="dxa" w:w="3744"/>
            <w:vAlign w:val="center"/>
            <w:shd w:fill="F3F6F8"/>
          </w:tcPr>
          <w:p>
            <w:pPr>
              <w:spacing w:after="20"/>
            </w:pPr>
            <w:r>
              <w:rPr>
                <w:rFonts w:ascii="Arial" w:hAnsi="Arial"/>
                <w:b w:val="0"/>
                <w:color w:val="17324D"/>
                <w:sz w:val="16"/>
              </w:rPr>
              <w:t>Included in the platform deployment configuration.</w:t>
            </w:r>
          </w:p>
        </w:tc>
      </w:tr>
      <w:tr>
        <w:trPr>
          <w:cantSplit/>
        </w:trPr>
        <w:tc>
          <w:tcPr>
            <w:tcW w:type="dxa" w:w="2088"/>
            <w:vAlign w:val="center"/>
          </w:tcPr>
          <w:p>
            <w:pPr>
              <w:spacing w:after="20"/>
            </w:pPr>
            <w:r>
              <w:rPr>
                <w:rFonts w:ascii="Arial" w:hAnsi="Arial"/>
                <w:b w:val="0"/>
                <w:color w:val="17324D"/>
                <w:sz w:val="16"/>
              </w:rPr>
              <w:t>Route 53</w:t>
            </w:r>
          </w:p>
        </w:tc>
        <w:tc>
          <w:tcPr>
            <w:tcW w:type="dxa" w:w="3816"/>
            <w:vAlign w:val="center"/>
          </w:tcPr>
          <w:p>
            <w:pPr>
              <w:spacing w:after="20"/>
            </w:pPr>
            <w:r>
              <w:rPr>
                <w:rFonts w:ascii="Arial" w:hAnsi="Arial"/>
                <w:b w:val="0"/>
                <w:color w:val="17324D"/>
                <w:sz w:val="16"/>
              </w:rPr>
              <w:t>Hosts the public zone and will route the custom domain once delegated.</w:t>
            </w:r>
          </w:p>
        </w:tc>
        <w:tc>
          <w:tcPr>
            <w:tcW w:type="dxa" w:w="3744"/>
            <w:vAlign w:val="center"/>
          </w:tcPr>
          <w:p>
            <w:pPr>
              <w:spacing w:after="20"/>
            </w:pPr>
            <w:r>
              <w:rPr>
                <w:rFonts w:ascii="Arial" w:hAnsi="Arial"/>
                <w:b w:val="0"/>
                <w:color w:val="17324D"/>
                <w:sz w:val="16"/>
              </w:rPr>
              <w:t>The Terraform code includes a hosted zone. GoDaddy nameserver cutover and custom-domain enablement remain pending.</w:t>
            </w:r>
          </w:p>
        </w:tc>
      </w:tr>
    </w:tbl>
    <w:p>
      <w:pPr>
        <w:spacing w:after="40"/>
      </w:pPr>
      <w:r>
        <w:rPr>
          <w:rFonts w:ascii="Arial" w:hAnsi="Arial"/>
          <w:b w:val="0"/>
          <w:color w:val="17324D"/>
          <w:sz w:val="20"/>
        </w:rPr>
      </w:r>
    </w:p>
    <w:p>
      <w:pPr>
        <w:pStyle w:val="Heading1"/>
      </w:pPr>
      <w:r>
        <w:rPr>
          <w:rFonts w:ascii="Arial" w:hAnsi="Arial"/>
          <w:b/>
          <w:color w:val="17324D"/>
          <w:sz w:val="32"/>
        </w:rPr>
        <w:t>4. Database and object migration</w:t>
      </w:r>
    </w:p>
    <w:p>
      <w:pPr>
        <w:pStyle w:val="ListNumber"/>
        <w:spacing w:after="60"/>
      </w:pPr>
      <w:r>
        <w:rPr>
          <w:rFonts w:ascii="Arial" w:hAnsi="Arial"/>
          <w:b w:val="0"/>
          <w:color w:val="17324D"/>
          <w:sz w:val="20"/>
        </w:rPr>
        <w:t>The old AWS account was accessed through the separate personal profile in ap-south-1. The new dev account was the target in us-east-2. The source account was not converted into Terraform-managed infrastructure.</w:t>
      </w:r>
    </w:p>
    <w:p>
      <w:pPr>
        <w:pStyle w:val="ListNumber"/>
        <w:spacing w:after="60"/>
      </w:pPr>
      <w:r>
        <w:rPr>
          <w:rFonts w:ascii="Arial" w:hAnsi="Arial"/>
          <w:b w:val="0"/>
          <w:color w:val="17324D"/>
          <w:sz w:val="20"/>
        </w:rPr>
        <w:t>The PostgreSQL data was exported from the old database and restored into the new single-AZ RDS database. The transfer used database-level table/data migration, not a Terraform resource import; Terraform manages the new RDS infrastructure, while database contents are migrated separately.</w:t>
      </w:r>
    </w:p>
    <w:p>
      <w:pPr>
        <w:pStyle w:val="ListNumber"/>
        <w:spacing w:after="60"/>
      </w:pPr>
      <w:r>
        <w:rPr>
          <w:rFonts w:ascii="Arial" w:hAnsi="Arial"/>
          <w:b w:val="0"/>
          <w:color w:val="17324D"/>
          <w:sz w:val="20"/>
        </w:rPr>
        <w:t>Verification compared the public table row counts. Thirty-five public tables were reported with matching counts between source and target at the migration check.</w:t>
      </w:r>
    </w:p>
    <w:p>
      <w:pPr>
        <w:pStyle w:val="ListNumber"/>
        <w:spacing w:after="60"/>
      </w:pPr>
      <w:r>
        <w:rPr>
          <w:rFonts w:ascii="Arial" w:hAnsi="Arial"/>
          <w:b w:val="0"/>
          <w:color w:val="17324D"/>
          <w:sz w:val="20"/>
        </w:rPr>
        <w:t>Application upload objects were copied from the old S3 bucket into the new uploads bucket. The latest deployment note recorded 23 objects totaling about 2.85 MB. The IaC README has an earlier 21-object / 2,578,172-byte total, so take a fresh bucket inventory before treating the object count as an audit result.</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Backup setting</w:t>
              <w:br/>
              <w:t>The new RDS instance was created with automated backups disabled because the account rejected the configured retention period and the user approved proceeding without automated backups. This removes automated point-in-time recovery. Confirm a tested manual snapshot policy before relying on this database for important data.</w:t>
            </w:r>
          </w:p>
        </w:tc>
      </w:tr>
    </w:tbl>
    <w:p>
      <w:pPr>
        <w:spacing w:after="40"/>
      </w:pPr>
      <w:r>
        <w:rPr>
          <w:rFonts w:ascii="Arial" w:hAnsi="Arial"/>
          <w:b w:val="0"/>
          <w:color w:val="17324D"/>
          <w:sz w:val="20"/>
        </w:rPr>
      </w:r>
    </w:p>
    <w:p>
      <w:pPr>
        <w:pStyle w:val="Heading1"/>
      </w:pPr>
      <w:r>
        <w:rPr>
          <w:rFonts w:ascii="Arial" w:hAnsi="Arial"/>
          <w:b/>
          <w:color w:val="17324D"/>
          <w:sz w:val="32"/>
        </w:rPr>
        <w:t>5. Application deployment flow</w:t>
      </w:r>
    </w:p>
    <w:p>
      <w:pPr>
        <w:spacing w:after="80"/>
      </w:pPr>
      <w:r>
        <w:rPr>
          <w:rFonts w:ascii="Arial" w:hAnsi="Arial"/>
          <w:b w:val="0"/>
          <w:color w:val="17324D"/>
          <w:sz w:val="20"/>
        </w:rPr>
        <w:t>The intended dev release path is: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008"/>
            <w:vAlign w:val="center"/>
            <w:shd w:fill="17324D"/>
          </w:tcPr>
          <w:p>
            <w:pPr>
              <w:keepNext/>
              <w:spacing w:after="20"/>
            </w:pPr>
            <w:r>
              <w:rPr>
                <w:rFonts w:ascii="Arial" w:hAnsi="Arial"/>
                <w:b/>
                <w:color w:val="FFFFFF"/>
                <w:sz w:val="18"/>
              </w:rPr>
              <w:t>Order</w:t>
            </w:r>
          </w:p>
        </w:tc>
        <w:tc>
          <w:tcPr>
            <w:tcW w:type="dxa" w:w="8640"/>
            <w:vAlign w:val="center"/>
            <w:shd w:fill="17324D"/>
          </w:tcPr>
          <w:p>
            <w:pPr>
              <w:keepNext/>
              <w:spacing w:after="20"/>
            </w:pPr>
            <w:r>
              <w:rPr>
                <w:rFonts w:ascii="Arial" w:hAnsi="Arial"/>
                <w:b/>
                <w:color w:val="FFFFFF"/>
                <w:sz w:val="18"/>
              </w:rPr>
              <w:t>Action</w:t>
            </w:r>
          </w:p>
        </w:tc>
      </w:tr>
      <w:tr>
        <w:trPr>
          <w:cantSplit/>
        </w:trPr>
        <w:tc>
          <w:tcPr>
            <w:tcW w:type="dxa" w:w="1008"/>
            <w:vAlign w:val="center"/>
          </w:tcPr>
          <w:p>
            <w:pPr>
              <w:keepLines/>
              <w:spacing w:after="20"/>
            </w:pPr>
            <w:r>
              <w:rPr>
                <w:rFonts w:ascii="Arial" w:hAnsi="Arial"/>
                <w:b w:val="0"/>
                <w:color w:val="17324D"/>
                <w:sz w:val="16"/>
              </w:rPr>
              <w:t>1</w:t>
            </w:r>
          </w:p>
        </w:tc>
        <w:tc>
          <w:tcPr>
            <w:tcW w:type="dxa" w:w="8640"/>
            <w:vAlign w:val="center"/>
          </w:tcPr>
          <w:p>
            <w:pPr>
              <w:keepLines/>
              <w:spacing w:after="20"/>
            </w:pPr>
            <w:r>
              <w:rPr>
                <w:rFonts w:ascii="Arial" w:hAnsi="Arial"/>
                <w:b w:val="0"/>
                <w:color w:val="17324D"/>
                <w:sz w:val="16"/>
              </w:rPr>
              <w:t>A pull request to dev runs validation; it does not deploy.</w:t>
            </w:r>
          </w:p>
        </w:tc>
      </w:tr>
      <w:tr>
        <w:trPr>
          <w:cantSplit/>
        </w:trPr>
        <w:tc>
          <w:tcPr>
            <w:tcW w:type="dxa" w:w="1008"/>
            <w:vAlign w:val="center"/>
            <w:shd w:fill="F3F6F8"/>
          </w:tcPr>
          <w:p>
            <w:pPr>
              <w:spacing w:after="20"/>
            </w:pPr>
            <w:r>
              <w:rPr>
                <w:rFonts w:ascii="Arial" w:hAnsi="Arial"/>
                <w:b w:val="0"/>
                <w:color w:val="17324D"/>
                <w:sz w:val="16"/>
              </w:rPr>
              <w:t>2</w:t>
            </w:r>
          </w:p>
        </w:tc>
        <w:tc>
          <w:tcPr>
            <w:tcW w:type="dxa" w:w="8640"/>
            <w:vAlign w:val="center"/>
            <w:shd w:fill="F3F6F8"/>
          </w:tcPr>
          <w:p>
            <w:pPr>
              <w:spacing w:after="20"/>
            </w:pPr>
            <w:r>
              <w:rPr>
                <w:rFonts w:ascii="Arial" w:hAnsi="Arial"/>
                <w:b w:val="0"/>
                <w:color w:val="17324D"/>
                <w:sz w:val="16"/>
              </w:rPr>
              <w:t>After merge, a push to dev builds the API Docker image and pushes an immutable Git-SHA tag to ECR.</w:t>
            </w:r>
          </w:p>
        </w:tc>
      </w:tr>
      <w:tr>
        <w:trPr>
          <w:cantSplit/>
        </w:trPr>
        <w:tc>
          <w:tcPr>
            <w:tcW w:type="dxa" w:w="1008"/>
            <w:vAlign w:val="center"/>
          </w:tcPr>
          <w:p>
            <w:pPr>
              <w:spacing w:after="20"/>
            </w:pPr>
            <w:r>
              <w:rPr>
                <w:rFonts w:ascii="Arial" w:hAnsi="Arial"/>
                <w:b w:val="0"/>
                <w:color w:val="17324D"/>
                <w:sz w:val="16"/>
              </w:rPr>
              <w:t>3</w:t>
            </w:r>
          </w:p>
        </w:tc>
        <w:tc>
          <w:tcPr>
            <w:tcW w:type="dxa" w:w="8640"/>
            <w:vAlign w:val="center"/>
          </w:tcPr>
          <w:p>
            <w:pPr>
              <w:spacing w:after="20"/>
            </w:pPr>
            <w:r>
              <w:rPr>
                <w:rFonts w:ascii="Arial" w:hAnsi="Arial"/>
                <w:b w:val="0"/>
                <w:color w:val="17324D"/>
                <w:sz w:val="16"/>
              </w:rPr>
              <w:t>The deployment job registers a task definition using that image while retaining required task-definition tags.</w:t>
            </w:r>
          </w:p>
        </w:tc>
      </w:tr>
      <w:tr>
        <w:trPr>
          <w:cantSplit/>
        </w:trPr>
        <w:tc>
          <w:tcPr>
            <w:tcW w:type="dxa" w:w="1008"/>
            <w:vAlign w:val="center"/>
            <w:shd w:fill="F3F6F8"/>
          </w:tcPr>
          <w:p>
            <w:pPr>
              <w:spacing w:after="20"/>
            </w:pPr>
            <w:r>
              <w:rPr>
                <w:rFonts w:ascii="Arial" w:hAnsi="Arial"/>
                <w:b w:val="0"/>
                <w:color w:val="17324D"/>
                <w:sz w:val="16"/>
              </w:rPr>
              <w:t>4</w:t>
            </w:r>
          </w:p>
        </w:tc>
        <w:tc>
          <w:tcPr>
            <w:tcW w:type="dxa" w:w="8640"/>
            <w:vAlign w:val="center"/>
            <w:shd w:fill="F3F6F8"/>
          </w:tcPr>
          <w:p>
            <w:pPr>
              <w:spacing w:after="20"/>
            </w:pPr>
            <w:r>
              <w:rPr>
                <w:rFonts w:ascii="Arial" w:hAnsi="Arial"/>
                <w:b w:val="0"/>
                <w:color w:val="17324D"/>
                <w:sz w:val="16"/>
              </w:rPr>
              <w:t>ECS runs Alembic migrations as a one-off Fargate task in the private subnets. The service is not updated if migrations fail.</w:t>
            </w:r>
          </w:p>
        </w:tc>
      </w:tr>
      <w:tr>
        <w:trPr>
          <w:cantSplit/>
        </w:trPr>
        <w:tc>
          <w:tcPr>
            <w:tcW w:type="dxa" w:w="1008"/>
            <w:vAlign w:val="center"/>
          </w:tcPr>
          <w:p>
            <w:pPr>
              <w:spacing w:after="20"/>
            </w:pPr>
            <w:r>
              <w:rPr>
                <w:rFonts w:ascii="Arial" w:hAnsi="Arial"/>
                <w:b w:val="0"/>
                <w:color w:val="17324D"/>
                <w:sz w:val="16"/>
              </w:rPr>
              <w:t>5</w:t>
            </w:r>
          </w:p>
        </w:tc>
        <w:tc>
          <w:tcPr>
            <w:tcW w:type="dxa" w:w="8640"/>
            <w:vAlign w:val="center"/>
          </w:tcPr>
          <w:p>
            <w:pPr>
              <w:spacing w:after="20"/>
            </w:pPr>
            <w:r>
              <w:rPr>
                <w:rFonts w:ascii="Arial" w:hAnsi="Arial"/>
                <w:b w:val="0"/>
                <w:color w:val="17324D"/>
                <w:sz w:val="16"/>
              </w:rPr>
              <w:t>The ECS service rolls out the new task definition and the workflow waits for a stable service.</w:t>
            </w:r>
          </w:p>
        </w:tc>
      </w:tr>
      <w:tr>
        <w:trPr>
          <w:cantSplit/>
        </w:trPr>
        <w:tc>
          <w:tcPr>
            <w:tcW w:type="dxa" w:w="1008"/>
            <w:vAlign w:val="center"/>
            <w:shd w:fill="F3F6F8"/>
          </w:tcPr>
          <w:p>
            <w:pPr>
              <w:spacing w:after="20"/>
            </w:pPr>
            <w:r>
              <w:rPr>
                <w:rFonts w:ascii="Arial" w:hAnsi="Arial"/>
                <w:b w:val="0"/>
                <w:color w:val="17324D"/>
                <w:sz w:val="16"/>
              </w:rPr>
              <w:t>6</w:t>
            </w:r>
          </w:p>
        </w:tc>
        <w:tc>
          <w:tcPr>
            <w:tcW w:type="dxa" w:w="8640"/>
            <w:vAlign w:val="center"/>
            <w:shd w:fill="F3F6F8"/>
          </w:tcPr>
          <w:p>
            <w:pPr>
              <w:spacing w:after="20"/>
            </w:pPr>
            <w:r>
              <w:rPr>
                <w:rFonts w:ascii="Arial" w:hAnsi="Arial"/>
                <w:b w:val="0"/>
                <w:color w:val="17324D"/>
                <w:sz w:val="16"/>
              </w:rPr>
              <w:t>The workflow loads public frontend API/WebSocket settings, builds the React bundle, syncs it to private S3, and invalidates CloudFront.</w:t>
            </w:r>
          </w:p>
        </w:tc>
      </w:tr>
    </w:tbl>
    <w:p>
      <w:pPr>
        <w:spacing w:after="40"/>
      </w:pPr>
      <w:r>
        <w:rPr>
          <w:rFonts w:ascii="Arial" w:hAnsi="Arial"/>
          <w:b w:val="0"/>
          <w:color w:val="17324D"/>
          <w:sz w:val="20"/>
        </w:rPr>
      </w:r>
    </w:p>
    <w:p>
      <w:pPr>
        <w:pStyle w:val="Heading1"/>
      </w:pPr>
      <w:r>
        <w:rPr>
          <w:rFonts w:ascii="Arial" w:hAnsi="Arial"/>
          <w:b/>
          <w:color w:val="17324D"/>
          <w:sz w:val="32"/>
        </w:rPr>
        <w:t>6. Validation results recorded</w:t>
      </w:r>
    </w:p>
    <w:p>
      <w:pPr>
        <w:pStyle w:val="ListBullet"/>
        <w:spacing w:after="60"/>
      </w:pPr>
      <w:r>
        <w:rPr>
          <w:rFonts w:ascii="Arial" w:hAnsi="Arial"/>
          <w:b w:val="0"/>
          <w:color w:val="17324D"/>
          <w:sz w:val="20"/>
        </w:rPr>
        <w:t>Terraform formatting and validation completed for the bootstrap and dev configurations. A later Terraform plan reported no changes against the then-current deployed infrastructure.</w:t>
      </w:r>
    </w:p>
    <w:p>
      <w:pPr>
        <w:pStyle w:val="ListBullet"/>
        <w:spacing w:after="60"/>
      </w:pPr>
      <w:r>
        <w:rPr>
          <w:rFonts w:ascii="Arial" w:hAnsi="Arial"/>
          <w:b w:val="0"/>
          <w:color w:val="17324D"/>
          <w:sz w:val="20"/>
        </w:rPr>
        <w:t>The API health endpoint on the CloudFront hostname returned HTTP 200 with a healthy JSON status during an earlier verification. The frontend root also returned HTTP 200 at that time.</w:t>
      </w:r>
    </w:p>
    <w:p>
      <w:pPr>
        <w:pStyle w:val="ListBullet"/>
        <w:spacing w:after="60"/>
      </w:pPr>
      <w:r>
        <w:rPr>
          <w:rFonts w:ascii="Arial" w:hAnsi="Arial"/>
          <w:b w:val="0"/>
          <w:color w:val="17324D"/>
          <w:sz w:val="20"/>
        </w:rPr>
        <w:t>The latest recorded pre-dev application deployment run completed successfully through ECS, frontend build, S3 upload, and CloudFront invalidation. It was a pre-dev run; it does not prove that the revised dev branch pipeline has run.</w:t>
      </w:r>
    </w:p>
    <w:p>
      <w:pPr>
        <w:pStyle w:val="ListBullet"/>
        <w:spacing w:after="60"/>
      </w:pPr>
      <w:r>
        <w:rPr>
          <w:rFonts w:ascii="Arial" w:hAnsi="Arial"/>
          <w:b w:val="0"/>
          <w:color w:val="17324D"/>
          <w:sz w:val="20"/>
        </w:rPr>
        <w:t>A direct ECS deployment preflight completed task registration, migration task, service update, and service stability checks after fixing the missing ecs:TagResource permission and the API security group lookup.</w:t>
      </w:r>
    </w:p>
    <w:p>
      <w:pPr>
        <w:pStyle w:val="Heading1"/>
      </w:pPr>
      <w:r>
        <w:rPr>
          <w:rFonts w:ascii="Arial" w:hAnsi="Arial"/>
          <w:b/>
          <w:color w:val="17324D"/>
          <w:sz w:val="32"/>
        </w:rPr>
        <w:t>7. Items still pending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232"/>
            <w:vAlign w:val="center"/>
            <w:shd w:fill="17324D"/>
          </w:tcPr>
          <w:p>
            <w:pPr>
              <w:keepNext/>
              <w:spacing w:after="20"/>
            </w:pPr>
            <w:r>
              <w:rPr>
                <w:rFonts w:ascii="Arial" w:hAnsi="Arial"/>
                <w:b/>
                <w:color w:val="FFFFFF"/>
                <w:sz w:val="18"/>
              </w:rPr>
              <w:t>Item</w:t>
            </w:r>
          </w:p>
        </w:tc>
        <w:tc>
          <w:tcPr>
            <w:tcW w:type="dxa" w:w="3672"/>
            <w:vAlign w:val="center"/>
            <w:shd w:fill="17324D"/>
          </w:tcPr>
          <w:p>
            <w:pPr>
              <w:keepNext/>
              <w:spacing w:after="20"/>
            </w:pPr>
            <w:r>
              <w:rPr>
                <w:rFonts w:ascii="Arial" w:hAnsi="Arial"/>
                <w:b/>
                <w:color w:val="FFFFFF"/>
                <w:sz w:val="18"/>
              </w:rPr>
              <w:t>Why it is pending</w:t>
            </w:r>
          </w:p>
        </w:tc>
        <w:tc>
          <w:tcPr>
            <w:tcW w:type="dxa" w:w="3744"/>
            <w:vAlign w:val="center"/>
            <w:shd w:fill="17324D"/>
          </w:tcPr>
          <w:p>
            <w:pPr>
              <w:keepNext/>
              <w:spacing w:after="20"/>
            </w:pPr>
            <w:r>
              <w:rPr>
                <w:rFonts w:ascii="Arial" w:hAnsi="Arial"/>
                <w:b/>
                <w:color w:val="FFFFFF"/>
                <w:sz w:val="18"/>
              </w:rPr>
              <w:t>Next action</w:t>
            </w:r>
          </w:p>
        </w:tc>
      </w:tr>
      <w:tr>
        <w:trPr>
          <w:cantSplit/>
        </w:trPr>
        <w:tc>
          <w:tcPr>
            <w:tcW w:type="dxa" w:w="2232"/>
            <w:vAlign w:val="center"/>
          </w:tcPr>
          <w:p>
            <w:pPr>
              <w:keepLines/>
              <w:spacing w:after="20"/>
            </w:pPr>
            <w:r>
              <w:rPr>
                <w:rFonts w:ascii="Arial" w:hAnsi="Arial"/>
                <w:b w:val="0"/>
                <w:color w:val="17324D"/>
                <w:sz w:val="16"/>
              </w:rPr>
              <w:t>Terraform GitHub OIDC apply</w:t>
            </w:r>
          </w:p>
        </w:tc>
        <w:tc>
          <w:tcPr>
            <w:tcW w:type="dxa" w:w="3672"/>
            <w:vAlign w:val="center"/>
          </w:tcPr>
          <w:p>
            <w:pPr>
              <w:keepLines/>
              <w:spacing w:after="20"/>
            </w:pPr>
            <w:r>
              <w:rPr>
                <w:rFonts w:ascii="Arial" w:hAnsi="Arial"/>
                <w:b w:val="0"/>
                <w:color w:val="17324D"/>
                <w:sz w:val="16"/>
              </w:rPr>
              <w:t>The organization must allow the GitHub OIDC provider, and the development environment needs AWS_DEPLOY_ROLE_ARN. Terraform validation can pass while apply is skipped.</w:t>
            </w:r>
          </w:p>
        </w:tc>
        <w:tc>
          <w:tcPr>
            <w:tcW w:type="dxa" w:w="3744"/>
            <w:vAlign w:val="center"/>
          </w:tcPr>
          <w:p>
            <w:pPr>
              <w:keepLines/>
              <w:spacing w:after="20"/>
            </w:pPr>
            <w:r>
              <w:rPr>
                <w:rFonts w:ascii="Arial" w:hAnsi="Arial"/>
                <w:b w:val="0"/>
                <w:color w:val="17324D"/>
                <w:sz w:val="16"/>
              </w:rPr>
              <w:t>Organization admin enables the provider; configure the approved role ARN; run a reviewed dev apply.</w:t>
            </w:r>
          </w:p>
        </w:tc>
      </w:tr>
      <w:tr>
        <w:trPr>
          <w:cantSplit/>
        </w:trPr>
        <w:tc>
          <w:tcPr>
            <w:tcW w:type="dxa" w:w="2232"/>
            <w:vAlign w:val="center"/>
            <w:shd w:fill="F3F6F8"/>
          </w:tcPr>
          <w:p>
            <w:r>
              <w:t>App environment branch allow-list</w:t>
            </w:r>
          </w:p>
        </w:tc>
        <w:tc>
          <w:tcPr>
            <w:tcW w:type="dxa" w:w="3672"/>
            <w:vAlign w:val="center"/>
            <w:shd w:fill="F3F6F8"/>
          </w:tcPr>
          <w:p>
            <w:r>
              <w:t>Changed from pre-dev to dev for the new deployment path.</w:t>
            </w:r>
          </w:p>
        </w:tc>
        <w:tc>
          <w:tcPr>
            <w:tcW w:type="dxa" w:w="3744"/>
            <w:vAlign w:val="center"/>
            <w:shd w:fill="F3F6F8"/>
          </w:tcPr>
          <w:p>
            <w:r>
              <w:t>Verify the first dev deployment loads the scoped credentials.</w:t>
            </w:r>
          </w:p>
        </w:tc>
      </w:tr>
      <w:tr>
        <w:trPr>
          <w:cantSplit/>
        </w:trPr>
        <w:tc>
          <w:tcPr>
            <w:tcW w:type="dxa" w:w="2232"/>
            <w:vAlign w:val="center"/>
          </w:tcPr>
          <w:p>
            <w:pPr>
              <w:spacing w:after="20"/>
            </w:pPr>
            <w:r>
              <w:rPr>
                <w:rFonts w:ascii="Arial" w:hAnsi="Arial"/>
                <w:b w:val="0"/>
                <w:color w:val="17324D"/>
                <w:sz w:val="16"/>
              </w:rPr>
              <w:t>GoDaddy domain delegation</w:t>
            </w:r>
          </w:p>
        </w:tc>
        <w:tc>
          <w:tcPr>
            <w:tcW w:type="dxa" w:w="3672"/>
            <w:vAlign w:val="center"/>
          </w:tcPr>
          <w:p>
            <w:pPr>
              <w:spacing w:after="20"/>
            </w:pPr>
            <w:r>
              <w:rPr>
                <w:rFonts w:ascii="Arial" w:hAnsi="Arial"/>
                <w:b w:val="0"/>
                <w:color w:val="17324D"/>
                <w:sz w:val="16"/>
              </w:rPr>
              <w:t>The domain still resolves to the prior provider, while custom-domain support is disabled in dev Terraform.</w:t>
            </w:r>
          </w:p>
        </w:tc>
        <w:tc>
          <w:tcPr>
            <w:tcW w:type="dxa" w:w="3744"/>
            <w:vAlign w:val="center"/>
          </w:tcPr>
          <w:p>
            <w:pPr>
              <w:spacing w:after="20"/>
            </w:pPr>
            <w:r>
              <w:rPr>
                <w:rFonts w:ascii="Arial" w:hAnsi="Arial"/>
                <w:b w:val="0"/>
                <w:color w:val="17324D"/>
                <w:sz w:val="16"/>
              </w:rPr>
              <w:t>Copy any MX/TXT/email records, enable ACM/CloudFront aliases and Route 53 records through Terraform, verify certificate and distribution, then replace GoDaddy nameservers with the four nameservers for the correct hosted zone.</w:t>
            </w:r>
          </w:p>
        </w:tc>
      </w:tr>
      <w:tr>
        <w:trPr>
          <w:cantSplit/>
        </w:trPr>
        <w:tc>
          <w:tcPr>
            <w:tcW w:type="dxa" w:w="2232"/>
            <w:vAlign w:val="center"/>
            <w:shd w:fill="F3F6F8"/>
          </w:tcPr>
          <w:p>
            <w:pPr>
              <w:spacing w:after="20"/>
            </w:pPr>
            <w:r>
              <w:rPr>
                <w:rFonts w:ascii="Arial" w:hAnsi="Arial"/>
                <w:b w:val="0"/>
                <w:color w:val="17324D"/>
                <w:sz w:val="16"/>
              </w:rPr>
              <w:t>Merge to dev</w:t>
            </w:r>
          </w:p>
        </w:tc>
        <w:tc>
          <w:tcPr>
            <w:tcW w:type="dxa" w:w="3672"/>
            <w:vAlign w:val="center"/>
            <w:shd w:fill="F3F6F8"/>
          </w:tcPr>
          <w:p>
            <w:pPr>
              <w:spacing w:after="20"/>
            </w:pPr>
            <w:r>
              <w:rPr>
                <w:rFonts w:ascii="Arial" w:hAnsi="Arial"/>
                <w:b w:val="0"/>
                <w:color w:val="17324D"/>
                <w:sz w:val="16"/>
              </w:rPr>
              <w:t>The current application changes are in a pull request and the IaC repository is private.</w:t>
            </w:r>
          </w:p>
        </w:tc>
        <w:tc>
          <w:tcPr>
            <w:tcW w:type="dxa" w:w="3744"/>
            <w:vAlign w:val="center"/>
            <w:shd w:fill="F3F6F8"/>
          </w:tcPr>
          <w:p>
            <w:pPr>
              <w:spacing w:after="20"/>
            </w:pPr>
            <w:r>
              <w:rPr>
                <w:rFonts w:ascii="Arial" w:hAnsi="Arial"/>
                <w:b w:val="0"/>
                <w:color w:val="17324D"/>
                <w:sz w:val="16"/>
              </w:rPr>
              <w:t>Run the final PR checks, ensure the deployment environment is ready, and merge only after review.</w:t>
            </w:r>
          </w:p>
        </w:tc>
      </w:tr>
    </w:tbl>
    <w:p>
      <w:pPr>
        <w:spacing w:after="40"/>
      </w:pPr>
      <w:r>
        <w:rPr>
          <w:rFonts w:ascii="Arial" w:hAnsi="Arial"/>
          <w:b w:val="0"/>
          <w:color w:val="17324D"/>
          <w:sz w:val="20"/>
        </w:rPr>
      </w:r>
    </w:p>
    <w:p>
      <w:pPr>
        <w:pStyle w:val="Heading1"/>
      </w:pPr>
      <w:r>
        <w:rPr>
          <w:rFonts w:ascii="Arial" w:hAnsi="Arial"/>
          <w:b/>
          <w:color w:val="17324D"/>
          <w:sz w:val="32"/>
        </w:rPr>
        <w:t>8. Commands for safe verification</w:t>
      </w:r>
    </w:p>
    <w:p>
      <w:pPr>
        <w:spacing w:after="60"/>
        <w:ind w:left="259"/>
      </w:pPr>
      <w:r>
        <w:rPr>
          <w:rFonts w:ascii="Consolas" w:hAnsi="Consolas"/>
          <w:b w:val="0"/>
          <w:color w:val="087E8B"/>
          <w:sz w:val="17"/>
        </w:rPr>
        <w:t>aws configure list-profiles</w:t>
      </w:r>
    </w:p>
    <w:p>
      <w:pPr>
        <w:spacing w:after="60"/>
        <w:ind w:left="259"/>
      </w:pPr>
      <w:r>
        <w:rPr>
          <w:rFonts w:ascii="Consolas" w:hAnsi="Consolas"/>
          <w:b w:val="0"/>
          <w:color w:val="087E8B"/>
          <w:sz w:val="17"/>
        </w:rPr>
        <w:t>aws sts get-caller-identity --profile deal-drive-kishore-dev-iam-user</w:t>
      </w:r>
    </w:p>
    <w:p>
      <w:pPr>
        <w:spacing w:after="60"/>
        <w:ind w:left="259"/>
      </w:pPr>
      <w:r>
        <w:rPr>
          <w:rFonts w:ascii="Consolas" w:hAnsi="Consolas"/>
          <w:b w:val="0"/>
          <w:color w:val="087E8B"/>
          <w:sz w:val="17"/>
        </w:rPr>
        <w:t>terraform version</w:t>
      </w:r>
    </w:p>
    <w:p>
      <w:pPr>
        <w:spacing w:after="60"/>
        <w:ind w:left="259"/>
      </w:pPr>
      <w:r>
        <w:rPr>
          <w:rFonts w:ascii="Consolas" w:hAnsi="Consolas"/>
          <w:b w:val="0"/>
          <w:color w:val="087E8B"/>
          <w:sz w:val="17"/>
        </w:rPr>
        <w:t>terraform -chdir=infra/terraform/bootstrap init -backend=false</w:t>
      </w:r>
    </w:p>
    <w:p>
      <w:pPr>
        <w:spacing w:after="60"/>
        <w:ind w:left="259"/>
      </w:pPr>
      <w:r>
        <w:rPr>
          <w:rFonts w:ascii="Consolas" w:hAnsi="Consolas"/>
          <w:b w:val="0"/>
          <w:color w:val="087E8B"/>
          <w:sz w:val="17"/>
        </w:rPr>
        <w:t>terraform -chdir=infra/terraform/bootstrap validate</w:t>
      </w:r>
    </w:p>
    <w:p>
      <w:pPr>
        <w:spacing w:after="60"/>
        <w:ind w:left="259"/>
      </w:pPr>
      <w:r>
        <w:rPr>
          <w:rFonts w:ascii="Consolas" w:hAnsi="Consolas"/>
          <w:b w:val="0"/>
          <w:color w:val="087E8B"/>
          <w:sz w:val="17"/>
        </w:rPr>
        <w:t>terraform -chdir=infra/terraform/envs/dev init</w:t>
      </w:r>
    </w:p>
    <w:p>
      <w:pPr>
        <w:spacing w:after="60"/>
        <w:ind w:left="259"/>
      </w:pPr>
      <w:r>
        <w:rPr>
          <w:rFonts w:ascii="Consolas" w:hAnsi="Consolas"/>
          <w:b w:val="0"/>
          <w:color w:val="087E8B"/>
          <w:sz w:val="17"/>
        </w:rPr>
        <w:t>terraform -chdir=infra/terraform/envs/dev plan -out=dev.tfplan</w:t>
      </w:r>
    </w:p>
    <w:p>
      <w:pPr>
        <w:spacing w:after="60"/>
        <w:ind w:left="259"/>
      </w:pPr>
      <w:r>
        <w:rPr>
          <w:rFonts w:ascii="Consolas" w:hAnsi="Consolas"/>
          <w:b w:val="0"/>
          <w:color w:val="087E8B"/>
          <w:sz w:val="17"/>
        </w:rPr>
        <w:t>terraform -chdir=infra/terraform/envs/dev apply dev.tfplan</w:t>
      </w:r>
    </w:p>
    <w:p>
      <w:pPr>
        <w:spacing w:after="60"/>
        <w:ind w:left="259"/>
      </w:pPr>
      <w:r>
        <w:rPr>
          <w:rFonts w:ascii="Consolas" w:hAnsi="Consolas"/>
          <w:b w:val="0"/>
          <w:color w:val="087E8B"/>
          <w:sz w:val="17"/>
        </w:rPr>
        <w:t>aws ecs describe-services --cluster deal-and-drive-dev --services deal-and-drive-dev-api --region us-east-2</w:t>
      </w:r>
    </w:p>
    <w:p>
      <w:pPr>
        <w:spacing w:after="60"/>
        <w:ind w:left="259"/>
      </w:pPr>
      <w:r>
        <w:rPr>
          <w:rFonts w:ascii="Consolas" w:hAnsi="Consolas"/>
          <w:b w:val="0"/>
          <w:color w:val="087E8B"/>
          <w:sz w:val="17"/>
        </w:rPr>
        <w:t>aws route53 list-hosted-zones-by-name --dns-name dealndrive.ai --region us-east-2</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Before running apply</w:t>
              <w:br/>
              <w:t>Confirm the active AWS account, region, Terraform workspace, and saved plan. Do not run the old-account profile against the new-account Terraform state. Keep secret values out of command history and chat.</w:t>
            </w:r>
          </w:p>
        </w:tc>
      </w:tr>
    </w:tbl>
    <w:p>
      <w:pPr>
        <w:spacing w:after="40"/>
      </w:pPr>
      <w:r>
        <w:rPr>
          <w:rFonts w:ascii="Arial" w:hAnsi="Arial"/>
          <w:b w:val="0"/>
          <w:color w:val="17324D"/>
          <w:sz w:val="20"/>
        </w:rPr>
      </w:r>
    </w:p>
    <w:sectPr w:rsidR="00FC693F" w:rsidRPr="0006063C" w:rsidSect="00034616">
      <w:footerReference w:type="default" r:id="rId9"/>
      <w:pgSz w:w="12240" w:h="15840"/>
      <w:pgMar w:top="936" w:right="1037" w:bottom="1152"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C6B78"/>
        <w:sz w:val="16"/>
      </w:rPr>
      <w:t>Deal and Drive  •  Internal delivery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