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17324D"/>
          <w:sz w:val="52"/>
        </w:rPr>
        <w:t>Deal and Drive Pipeline Guide</w:t>
      </w:r>
    </w:p>
    <w:p>
      <w:pPr>
        <w:spacing w:after="240"/>
      </w:pPr>
      <w:r>
        <w:rPr>
          <w:rFonts w:ascii="Arial" w:hAnsi="Arial"/>
          <w:b w:val="0"/>
          <w:color w:val="17324D"/>
          <w:sz w:val="20"/>
        </w:rPr>
        <w:t>How application and infrastructure changes move from pull request to AWS</w:t>
      </w:r>
    </w:p>
    <w:p>
      <w:pPr>
        <w:spacing w:after="200"/>
      </w:pPr>
      <w:r>
        <w:rPr>
          <w:rFonts w:ascii="Arial" w:hAnsi="Arial"/>
          <w:b w:val="0"/>
          <w:color w:val="17324D"/>
          <w:sz w:val="20"/>
        </w:rPr>
        <w:t>Deal and Drive  |  Updated 28 October 2026</w:t>
      </w:r>
    </w:p>
    <w:p>
      <w:r>
        <w:rPr>
          <w:rFonts w:ascii="Arial" w:hAnsi="Arial"/>
          <w:b w:val="0"/>
          <w:color w:val="17324D"/>
          <w:sz w:val="20"/>
        </w:rPr>
        <w:t>This guide explains the application and Terraform pipelines for the dev environment. It distinguishes pull-request validation from deployment, and shows how the container image build stays separate from the AWS deployment stage.</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3F6"/>
          </w:tcPr>
          <w:p>
            <w:pPr>
              <w:keepNext/>
              <w:spacing w:after="40"/>
            </w:pPr>
            <w:r>
              <w:rPr>
                <w:rFonts w:ascii="Arial" w:hAnsi="Arial"/>
                <w:b w:val="0"/>
                <w:color w:val="17324D"/>
                <w:sz w:val="18"/>
              </w:rPr>
              <w:t>Expected application flow</w:t>
              <w:br/>
              <w:t>Pull request to dev: validate the change and build the API container for verification without publishing it. After merge, a push to dev publishes the API image to ECR, runs the database migration task, updates the ECS service, builds the static React site, uploads it to S3, and invalidates CloudFront.</w:t>
            </w:r>
          </w:p>
        </w:tc>
      </w:tr>
    </w:tbl>
    <w:p>
      <w:pPr>
        <w:spacing w:after="40"/>
      </w:pPr>
      <w:r>
        <w:rPr>
          <w:rFonts w:ascii="Arial" w:hAnsi="Arial"/>
          <w:b w:val="0"/>
          <w:color w:val="17324D"/>
          <w:sz w:val="20"/>
        </w:rPr>
      </w:r>
    </w:p>
    <w:p>
      <w:pPr>
        <w:pStyle w:val="Heading1"/>
      </w:pPr>
      <w:r>
        <w:rPr>
          <w:rFonts w:ascii="Arial" w:hAnsi="Arial"/>
          <w:b/>
          <w:color w:val="17324D"/>
          <w:sz w:val="32"/>
        </w:rPr>
        <w:t>1. Events and run behavior</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088"/>
            <w:vAlign w:val="center"/>
            <w:shd w:fill="17324D"/>
          </w:tcPr>
          <w:p>
            <w:pPr>
              <w:keepNext/>
              <w:spacing w:after="20"/>
            </w:pPr>
            <w:r>
              <w:rPr>
                <w:rFonts w:ascii="Arial" w:hAnsi="Arial"/>
                <w:b/>
                <w:color w:val="FFFFFF"/>
                <w:sz w:val="18"/>
              </w:rPr>
              <w:t>Event</w:t>
            </w:r>
          </w:p>
        </w:tc>
        <w:tc>
          <w:tcPr>
            <w:tcW w:type="dxa" w:w="4320"/>
            <w:vAlign w:val="center"/>
            <w:shd w:fill="17324D"/>
          </w:tcPr>
          <w:p>
            <w:pPr>
              <w:keepNext/>
              <w:spacing w:after="20"/>
            </w:pPr>
            <w:r>
              <w:rPr>
                <w:rFonts w:ascii="Arial" w:hAnsi="Arial"/>
                <w:b/>
                <w:color w:val="FFFFFF"/>
                <w:sz w:val="18"/>
              </w:rPr>
              <w:t>What runs</w:t>
            </w:r>
          </w:p>
        </w:tc>
        <w:tc>
          <w:tcPr>
            <w:tcW w:type="dxa" w:w="3240"/>
            <w:vAlign w:val="center"/>
            <w:shd w:fill="17324D"/>
          </w:tcPr>
          <w:p>
            <w:pPr>
              <w:keepNext/>
              <w:spacing w:after="20"/>
            </w:pPr>
            <w:r>
              <w:rPr>
                <w:rFonts w:ascii="Arial" w:hAnsi="Arial"/>
                <w:b/>
                <w:color w:val="FFFFFF"/>
                <w:sz w:val="18"/>
              </w:rPr>
              <w:t>What does not happen</w:t>
            </w:r>
          </w:p>
        </w:tc>
      </w:tr>
      <w:tr>
        <w:trPr>
          <w:cantSplit/>
        </w:trPr>
        <w:tc>
          <w:tcPr>
            <w:tcW w:type="dxa" w:w="2088"/>
            <w:vAlign w:val="center"/>
          </w:tcPr>
          <w:p>
            <w:pPr>
              <w:keepLines/>
              <w:spacing w:after="20"/>
            </w:pPr>
            <w:r>
              <w:rPr>
                <w:rFonts w:ascii="Arial" w:hAnsi="Arial"/>
                <w:b w:val="0"/>
                <w:color w:val="17324D"/>
                <w:sz w:val="16"/>
              </w:rPr>
              <w:t>Pull request targeting dev</w:t>
            </w:r>
          </w:p>
        </w:tc>
        <w:tc>
          <w:tcPr>
            <w:tcW w:type="dxa" w:w="4320"/>
            <w:vAlign w:val="center"/>
          </w:tcPr>
          <w:p>
            <w:pPr>
              <w:keepLines/>
              <w:spacing w:after="20"/>
            </w:pPr>
            <w:r>
              <w:rPr>
                <w:rFonts w:ascii="Arial" w:hAnsi="Arial"/>
                <w:b w:val="0"/>
                <w:color w:val="17324D"/>
                <w:sz w:val="16"/>
              </w:rPr>
              <w:t>PR format, structure, lint, tests, scans, and a non-publishing API Docker build.</w:t>
            </w:r>
          </w:p>
        </w:tc>
        <w:tc>
          <w:tcPr>
            <w:tcW w:type="dxa" w:w="3240"/>
            <w:vAlign w:val="center"/>
          </w:tcPr>
          <w:p>
            <w:pPr>
              <w:keepLines/>
              <w:spacing w:after="20"/>
            </w:pPr>
            <w:r>
              <w:rPr>
                <w:rFonts w:ascii="Arial" w:hAnsi="Arial"/>
                <w:b w:val="0"/>
                <w:color w:val="17324D"/>
                <w:sz w:val="16"/>
              </w:rPr>
              <w:t>No AWS deployment, no ECR push, and no database migration.</w:t>
            </w:r>
          </w:p>
        </w:tc>
      </w:tr>
      <w:tr>
        <w:trPr>
          <w:cantSplit/>
        </w:trPr>
        <w:tc>
          <w:tcPr>
            <w:tcW w:type="dxa" w:w="2088"/>
            <w:vAlign w:val="center"/>
            <w:shd w:fill="F3F6F8"/>
          </w:tcPr>
          <w:p>
            <w:pPr>
              <w:spacing w:after="20"/>
            </w:pPr>
            <w:r>
              <w:rPr>
                <w:rFonts w:ascii="Arial" w:hAnsi="Arial"/>
                <w:b w:val="0"/>
                <w:color w:val="17324D"/>
                <w:sz w:val="16"/>
              </w:rPr>
              <w:t>Push to dev after merge</w:t>
            </w:r>
          </w:p>
        </w:tc>
        <w:tc>
          <w:tcPr>
            <w:tcW w:type="dxa" w:w="4320"/>
            <w:vAlign w:val="center"/>
            <w:shd w:fill="F3F6F8"/>
          </w:tcPr>
          <w:p>
            <w:pPr>
              <w:spacing w:after="20"/>
            </w:pPr>
            <w:r>
              <w:rPr>
                <w:rFonts w:ascii="Arial" w:hAnsi="Arial"/>
                <w:b w:val="0"/>
                <w:color w:val="17324D"/>
                <w:sz w:val="16"/>
              </w:rPr>
              <w:t>Validation jobs, then API image build and push to ECR, followed by ECS and frontend deployment.</w:t>
            </w:r>
          </w:p>
        </w:tc>
        <w:tc>
          <w:tcPr>
            <w:tcW w:type="dxa" w:w="3240"/>
            <w:vAlign w:val="center"/>
            <w:shd w:fill="F3F6F8"/>
          </w:tcPr>
          <w:p>
            <w:pPr>
              <w:spacing w:after="20"/>
            </w:pPr>
            <w:r>
              <w:rPr>
                <w:rFonts w:ascii="Arial" w:hAnsi="Arial"/>
                <w:b w:val="0"/>
                <w:color w:val="17324D"/>
                <w:sz w:val="16"/>
              </w:rPr>
              <w:t>No EC2 SSH deployment and no frontend container image.</w:t>
            </w:r>
          </w:p>
        </w:tc>
      </w:tr>
      <w:tr>
        <w:trPr>
          <w:cantSplit/>
        </w:trPr>
        <w:tc>
          <w:tcPr>
            <w:tcW w:type="dxa" w:w="2088"/>
            <w:vAlign w:val="center"/>
          </w:tcPr>
          <w:p>
            <w:pPr>
              <w:spacing w:after="20"/>
            </w:pPr>
            <w:r>
              <w:rPr>
                <w:rFonts w:ascii="Arial" w:hAnsi="Arial"/>
                <w:b w:val="0"/>
                <w:color w:val="17324D"/>
                <w:sz w:val="16"/>
              </w:rPr>
              <w:t>Terraform pull request</w:t>
            </w:r>
          </w:p>
        </w:tc>
        <w:tc>
          <w:tcPr>
            <w:tcW w:type="dxa" w:w="4320"/>
            <w:vAlign w:val="center"/>
          </w:tcPr>
          <w:p>
            <w:pPr>
              <w:spacing w:after="20"/>
            </w:pPr>
            <w:r>
              <w:rPr>
                <w:rFonts w:ascii="Arial" w:hAnsi="Arial"/>
                <w:b w:val="0"/>
                <w:color w:val="17324D"/>
                <w:sz w:val="16"/>
              </w:rPr>
              <w:t>Terraform formatting and backendless validation; the pull request does not apply infrastructure.</w:t>
            </w:r>
          </w:p>
        </w:tc>
        <w:tc>
          <w:tcPr>
            <w:tcW w:type="dxa" w:w="3240"/>
            <w:vAlign w:val="center"/>
          </w:tcPr>
          <w:p>
            <w:pPr>
              <w:spacing w:after="20"/>
            </w:pPr>
            <w:r>
              <w:rPr>
                <w:rFonts w:ascii="Arial" w:hAnsi="Arial"/>
                <w:b w:val="0"/>
                <w:color w:val="17324D"/>
                <w:sz w:val="16"/>
              </w:rPr>
              <w:t>No Terraform apply.</w:t>
            </w:r>
          </w:p>
        </w:tc>
      </w:tr>
      <w:tr>
        <w:trPr>
          <w:cantSplit/>
        </w:trPr>
        <w:tc>
          <w:tcPr>
            <w:tcW w:type="dxa" w:w="2088"/>
            <w:vAlign w:val="center"/>
            <w:shd w:fill="F3F6F8"/>
          </w:tcPr>
          <w:p>
            <w:pPr>
              <w:spacing w:after="20"/>
            </w:pPr>
            <w:r>
              <w:rPr>
                <w:rFonts w:ascii="Arial" w:hAnsi="Arial"/>
                <w:b w:val="0"/>
                <w:color w:val="17324D"/>
                <w:sz w:val="16"/>
              </w:rPr>
              <w:t>Terraform push to dev</w:t>
            </w:r>
          </w:p>
        </w:tc>
        <w:tc>
          <w:tcPr>
            <w:tcW w:type="dxa" w:w="4320"/>
            <w:vAlign w:val="center"/>
            <w:shd w:fill="F3F6F8"/>
          </w:tcPr>
          <w:p>
            <w:pPr>
              <w:spacing w:after="20"/>
            </w:pPr>
            <w:r>
              <w:rPr>
                <w:rFonts w:ascii="Arial" w:hAnsi="Arial"/>
                <w:b w:val="0"/>
                <w:color w:val="17324D"/>
                <w:sz w:val="16"/>
              </w:rPr>
              <w:t>Validation, then the OIDC-gated Terraform plan/apply path when the role is configured.</w:t>
            </w:r>
          </w:p>
        </w:tc>
        <w:tc>
          <w:tcPr>
            <w:tcW w:type="dxa" w:w="3240"/>
            <w:vAlign w:val="center"/>
            <w:shd w:fill="F3F6F8"/>
          </w:tcPr>
          <w:p>
            <w:pPr>
              <w:spacing w:after="20"/>
            </w:pPr>
            <w:r>
              <w:rPr>
                <w:rFonts w:ascii="Arial" w:hAnsi="Arial"/>
                <w:b w:val="0"/>
                <w:color w:val="17324D"/>
                <w:sz w:val="16"/>
              </w:rPr>
              <w:t>Apply remains skipped while the role or organization OIDC approval is missing.</w:t>
            </w:r>
          </w:p>
        </w:tc>
      </w:tr>
    </w:tbl>
    <w:p>
      <w:pPr>
        <w:spacing w:after="40"/>
      </w:pPr>
      <w:r>
        <w:rPr>
          <w:rFonts w:ascii="Arial" w:hAnsi="Arial"/>
          <w:b w:val="0"/>
          <w:color w:val="17324D"/>
          <w:sz w:val="20"/>
        </w:rPr>
      </w:r>
    </w:p>
    <w:p>
      <w:r>
        <w:rPr>
          <w:rFonts w:ascii="Arial" w:hAnsi="Arial"/>
          <w:b w:val="0"/>
          <w:color w:val="17324D"/>
          <w:sz w:val="20"/>
        </w:rPr>
        <w:t>A pull request update and a later merge push are separate GitHub events. They can produce two run records for the same code. Concurrency can cancel an older overlapping run for the same target branch, but it does not combine the PR check and post-merge deployment into one run.</w:t>
      </w:r>
    </w:p>
    <w:p>
      <w:pPr>
        <w:pStyle w:val="Heading1"/>
      </w:pPr>
      <w:r>
        <w:rPr>
          <w:rFonts w:ascii="Arial" w:hAnsi="Arial"/>
          <w:b/>
          <w:color w:val="17324D"/>
          <w:sz w:val="32"/>
        </w:rPr>
        <w:t>2. Application pipeline stages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944"/>
            <w:vAlign w:val="center"/>
            <w:shd w:fill="17324D"/>
          </w:tcPr>
          <w:p>
            <w:pPr>
              <w:keepNext/>
              <w:spacing w:after="20"/>
            </w:pPr>
            <w:r>
              <w:rPr>
                <w:rFonts w:ascii="Arial" w:hAnsi="Arial"/>
                <w:b/>
                <w:color w:val="FFFFFF"/>
                <w:sz w:val="18"/>
              </w:rPr>
              <w:t>Stage</w:t>
            </w:r>
          </w:p>
        </w:tc>
        <w:tc>
          <w:tcPr>
            <w:tcW w:type="dxa" w:w="2880"/>
            <w:vAlign w:val="center"/>
            <w:shd w:fill="17324D"/>
          </w:tcPr>
          <w:p>
            <w:pPr>
              <w:keepNext/>
              <w:spacing w:after="20"/>
            </w:pPr>
            <w:r>
              <w:rPr>
                <w:rFonts w:ascii="Arial" w:hAnsi="Arial"/>
                <w:b/>
                <w:color w:val="FFFFFF"/>
                <w:sz w:val="18"/>
              </w:rPr>
              <w:t>Purpose</w:t>
            </w:r>
          </w:p>
        </w:tc>
        <w:tc>
          <w:tcPr>
            <w:tcW w:type="dxa" w:w="4824"/>
            <w:vAlign w:val="center"/>
            <w:shd w:fill="17324D"/>
          </w:tcPr>
          <w:p>
            <w:pPr>
              <w:keepNext/>
              <w:spacing w:after="20"/>
            </w:pPr>
            <w:r>
              <w:rPr>
                <w:rFonts w:ascii="Arial" w:hAnsi="Arial"/>
                <w:b/>
                <w:color w:val="FFFFFF"/>
                <w:sz w:val="18"/>
              </w:rPr>
              <w:t>What it checks or changes</w:t>
            </w:r>
          </w:p>
        </w:tc>
      </w:tr>
      <w:tr>
        <w:trPr>
          <w:cantSplit/>
        </w:trPr>
        <w:tc>
          <w:tcPr>
            <w:tcW w:type="dxa" w:w="1944"/>
            <w:vAlign w:val="center"/>
          </w:tcPr>
          <w:p>
            <w:pPr>
              <w:keepLines/>
              <w:spacing w:after="20"/>
            </w:pPr>
            <w:r>
              <w:rPr>
                <w:rFonts w:ascii="Arial" w:hAnsi="Arial"/>
                <w:b w:val="0"/>
                <w:color w:val="17324D"/>
                <w:sz w:val="16"/>
              </w:rPr>
              <w:t>1. PR description</w:t>
            </w:r>
          </w:p>
        </w:tc>
        <w:tc>
          <w:tcPr>
            <w:tcW w:type="dxa" w:w="2880"/>
            <w:vAlign w:val="center"/>
          </w:tcPr>
          <w:p>
            <w:pPr>
              <w:keepLines/>
              <w:spacing w:after="20"/>
            </w:pPr>
            <w:r>
              <w:rPr>
                <w:rFonts w:ascii="Arial" w:hAnsi="Arial"/>
                <w:b w:val="0"/>
                <w:color w:val="17324D"/>
                <w:sz w:val="16"/>
              </w:rPr>
              <w:t>Keep PRs reviewable.</w:t>
            </w:r>
          </w:p>
        </w:tc>
        <w:tc>
          <w:tcPr>
            <w:tcW w:type="dxa" w:w="4824"/>
            <w:vAlign w:val="center"/>
          </w:tcPr>
          <w:p>
            <w:pPr>
              <w:keepLines/>
              <w:spacing w:after="20"/>
            </w:pPr>
            <w:r>
              <w:rPr>
                <w:rFonts w:ascii="Arial" w:hAnsi="Arial"/>
                <w:b w:val="0"/>
                <w:color w:val="17324D"/>
                <w:sz w:val="16"/>
              </w:rPr>
              <w:t>Checks required template headings on pull requests. It is independent from Stage 2; a failure here does not prevent the structure check from running.</w:t>
            </w:r>
          </w:p>
        </w:tc>
      </w:tr>
      <w:tr>
        <w:trPr>
          <w:cantSplit/>
        </w:trPr>
        <w:tc>
          <w:tcPr>
            <w:tcW w:type="dxa" w:w="1944"/>
            <w:vAlign w:val="center"/>
            <w:shd w:fill="F3F6F8"/>
          </w:tcPr>
          <w:p>
            <w:pPr>
              <w:spacing w:after="20"/>
            </w:pPr>
            <w:r>
              <w:rPr>
                <w:rFonts w:ascii="Arial" w:hAnsi="Arial"/>
                <w:b w:val="0"/>
                <w:color w:val="17324D"/>
                <w:sz w:val="16"/>
              </w:rPr>
              <w:t>2. Directory compliance</w:t>
            </w:r>
          </w:p>
        </w:tc>
        <w:tc>
          <w:tcPr>
            <w:tcW w:type="dxa" w:w="2880"/>
            <w:vAlign w:val="center"/>
            <w:shd w:fill="F3F6F8"/>
          </w:tcPr>
          <w:p>
            <w:pPr>
              <w:spacing w:after="20"/>
            </w:pPr>
            <w:r>
              <w:rPr>
                <w:rFonts w:ascii="Arial" w:hAnsi="Arial"/>
                <w:b w:val="0"/>
                <w:color w:val="17324D"/>
                <w:sz w:val="16"/>
              </w:rPr>
              <w:t>Protect the repository layout expected by the app.</w:t>
            </w:r>
          </w:p>
        </w:tc>
        <w:tc>
          <w:tcPr>
            <w:tcW w:type="dxa" w:w="4824"/>
            <w:vAlign w:val="center"/>
            <w:shd w:fill="F3F6F8"/>
          </w:tcPr>
          <w:p>
            <w:pPr>
              <w:spacing w:after="20"/>
            </w:pPr>
            <w:r>
              <w:rPr>
                <w:rFonts w:ascii="Arial" w:hAnsi="Arial"/>
                <w:b w:val="0"/>
                <w:color w:val="17324D"/>
                <w:sz w:val="16"/>
              </w:rPr>
              <w:t>Checks required frontend and backend folders and entry-point files. It runs independently of Stage 1.</w:t>
            </w:r>
          </w:p>
        </w:tc>
      </w:tr>
      <w:tr>
        <w:trPr>
          <w:cantSplit/>
        </w:trPr>
        <w:tc>
          <w:tcPr>
            <w:tcW w:type="dxa" w:w="1944"/>
            <w:vAlign w:val="center"/>
          </w:tcPr>
          <w:p>
            <w:pPr>
              <w:spacing w:after="20"/>
            </w:pPr>
            <w:r>
              <w:rPr>
                <w:rFonts w:ascii="Arial" w:hAnsi="Arial"/>
                <w:b w:val="0"/>
                <w:color w:val="17324D"/>
                <w:sz w:val="16"/>
              </w:rPr>
              <w:t>3. Lint and quality</w:t>
            </w:r>
          </w:p>
        </w:tc>
        <w:tc>
          <w:tcPr>
            <w:tcW w:type="dxa" w:w="2880"/>
            <w:vAlign w:val="center"/>
          </w:tcPr>
          <w:p>
            <w:pPr>
              <w:spacing w:after="20"/>
            </w:pPr>
            <w:r>
              <w:rPr>
                <w:rFonts w:ascii="Arial" w:hAnsi="Arial"/>
                <w:b w:val="0"/>
                <w:color w:val="17324D"/>
                <w:sz w:val="16"/>
              </w:rPr>
              <w:t>Catch style and basic code issues.</w:t>
            </w:r>
          </w:p>
        </w:tc>
        <w:tc>
          <w:tcPr>
            <w:tcW w:type="dxa" w:w="4824"/>
            <w:vAlign w:val="center"/>
          </w:tcPr>
          <w:p>
            <w:pPr>
              <w:spacing w:after="20"/>
            </w:pPr>
            <w:r>
              <w:rPr>
                <w:rFonts w:ascii="Arial" w:hAnsi="Arial"/>
                <w:b w:val="0"/>
                <w:color w:val="17324D"/>
                <w:sz w:val="16"/>
              </w:rPr>
              <w:t>ESLint checks React; Ruff checks Python lint and formatting.</w:t>
            </w:r>
          </w:p>
        </w:tc>
      </w:tr>
      <w:tr>
        <w:trPr>
          <w:cantSplit/>
        </w:trPr>
        <w:tc>
          <w:tcPr>
            <w:tcW w:type="dxa" w:w="1944"/>
            <w:vAlign w:val="center"/>
            <w:shd w:fill="F3F6F8"/>
          </w:tcPr>
          <w:p>
            <w:pPr>
              <w:spacing w:after="20"/>
            </w:pPr>
            <w:r>
              <w:rPr>
                <w:rFonts w:ascii="Arial" w:hAnsi="Arial"/>
                <w:b w:val="0"/>
                <w:color w:val="17324D"/>
                <w:sz w:val="16"/>
              </w:rPr>
              <w:t>4. Tests and coverage</w:t>
            </w:r>
          </w:p>
        </w:tc>
        <w:tc>
          <w:tcPr>
            <w:tcW w:type="dxa" w:w="2880"/>
            <w:vAlign w:val="center"/>
            <w:shd w:fill="F3F6F8"/>
          </w:tcPr>
          <w:p>
            <w:pPr>
              <w:spacing w:after="20"/>
            </w:pPr>
            <w:r>
              <w:rPr>
                <w:rFonts w:ascii="Arial" w:hAnsi="Arial"/>
                <w:b w:val="0"/>
                <w:color w:val="17324D"/>
                <w:sz w:val="16"/>
              </w:rPr>
              <w:t>Verify backend behavior.</w:t>
            </w:r>
          </w:p>
        </w:tc>
        <w:tc>
          <w:tcPr>
            <w:tcW w:type="dxa" w:w="4824"/>
            <w:vAlign w:val="center"/>
            <w:shd w:fill="F3F6F8"/>
          </w:tcPr>
          <w:p>
            <w:pPr>
              <w:spacing w:after="20"/>
            </w:pPr>
            <w:r>
              <w:rPr>
                <w:rFonts w:ascii="Arial" w:hAnsi="Arial"/>
                <w:b w:val="0"/>
                <w:color w:val="17324D"/>
                <w:sz w:val="16"/>
              </w:rPr>
              <w:t>Runs the backend test suite and enforces the configured 75% coverage floor.</w:t>
            </w:r>
          </w:p>
        </w:tc>
      </w:tr>
      <w:tr>
        <w:trPr>
          <w:cantSplit/>
        </w:trPr>
        <w:tc>
          <w:tcPr>
            <w:tcW w:type="dxa" w:w="1944"/>
            <w:vAlign w:val="center"/>
          </w:tcPr>
          <w:p>
            <w:pPr>
              <w:spacing w:after="20"/>
            </w:pPr>
            <w:r>
              <w:rPr>
                <w:rFonts w:ascii="Arial" w:hAnsi="Arial"/>
                <w:b w:val="0"/>
                <w:color w:val="17324D"/>
                <w:sz w:val="16"/>
              </w:rPr>
              <w:t>5. Secret and Dockerfile scans</w:t>
            </w:r>
          </w:p>
        </w:tc>
        <w:tc>
          <w:tcPr>
            <w:tcW w:type="dxa" w:w="2880"/>
            <w:vAlign w:val="center"/>
          </w:tcPr>
          <w:p>
            <w:pPr>
              <w:spacing w:after="20"/>
            </w:pPr>
            <w:r>
              <w:rPr>
                <w:rFonts w:ascii="Arial" w:hAnsi="Arial"/>
                <w:b w:val="0"/>
                <w:color w:val="17324D"/>
                <w:sz w:val="16"/>
              </w:rPr>
              <w:t>Catch exposed credentials and common image-file mistakes.</w:t>
            </w:r>
          </w:p>
        </w:tc>
        <w:tc>
          <w:tcPr>
            <w:tcW w:type="dxa" w:w="4824"/>
            <w:vAlign w:val="center"/>
          </w:tcPr>
          <w:p>
            <w:pPr>
              <w:spacing w:after="20"/>
            </w:pPr>
            <w:r>
              <w:rPr>
                <w:rFonts w:ascii="Arial" w:hAnsi="Arial"/>
                <w:b w:val="0"/>
                <w:color w:val="17324D"/>
                <w:sz w:val="16"/>
              </w:rPr>
              <w:t>Gitleaks scans repository history; Hadolint checks the backend Dockerfile.</w:t>
            </w:r>
          </w:p>
        </w:tc>
      </w:tr>
      <w:tr>
        <w:trPr>
          <w:cantSplit/>
        </w:trPr>
        <w:tc>
          <w:tcPr>
            <w:tcW w:type="dxa" w:w="1944"/>
            <w:vAlign w:val="center"/>
            <w:shd w:fill="F3F6F8"/>
          </w:tcPr>
          <w:p>
            <w:pPr>
              <w:spacing w:after="20"/>
            </w:pPr>
            <w:r>
              <w:rPr>
                <w:rFonts w:ascii="Arial" w:hAnsi="Arial"/>
                <w:b w:val="0"/>
                <w:color w:val="17324D"/>
                <w:sz w:val="16"/>
              </w:rPr>
              <w:t>6–7. Security scans</w:t>
            </w:r>
          </w:p>
        </w:tc>
        <w:tc>
          <w:tcPr>
            <w:tcW w:type="dxa" w:w="2880"/>
            <w:vAlign w:val="center"/>
            <w:shd w:fill="F3F6F8"/>
          </w:tcPr>
          <w:p>
            <w:pPr>
              <w:spacing w:after="20"/>
            </w:pPr>
            <w:r>
              <w:rPr>
                <w:rFonts w:ascii="Arial" w:hAnsi="Arial"/>
                <w:b w:val="0"/>
                <w:color w:val="17324D"/>
                <w:sz w:val="16"/>
              </w:rPr>
              <w:t>Check source code and locked dependencies.</w:t>
            </w:r>
          </w:p>
        </w:tc>
        <w:tc>
          <w:tcPr>
            <w:tcW w:type="dxa" w:w="4824"/>
            <w:vAlign w:val="center"/>
            <w:shd w:fill="F3F6F8"/>
          </w:tcPr>
          <w:p>
            <w:pPr>
              <w:spacing w:after="20"/>
            </w:pPr>
            <w:r>
              <w:rPr>
                <w:rFonts w:ascii="Arial" w:hAnsi="Arial"/>
                <w:b w:val="0"/>
                <w:color w:val="17324D"/>
                <w:sz w:val="16"/>
              </w:rPr>
              <w:t>Bandit scans Python source; Trivy checks Python and Node dependency lockfiles for critical vulnerabilities.</w:t>
            </w:r>
          </w:p>
        </w:tc>
      </w:tr>
      <w:tr>
        <w:trPr>
          <w:cantSplit/>
        </w:trPr>
        <w:tc>
          <w:tcPr>
            <w:tcW w:type="dxa" w:w="1944"/>
            <w:vAlign w:val="center"/>
          </w:tcPr>
          <w:p>
            <w:pPr>
              <w:spacing w:after="20"/>
            </w:pPr>
            <w:r>
              <w:rPr>
                <w:rFonts w:ascii="Arial" w:hAnsi="Arial"/>
                <w:b w:val="0"/>
                <w:color w:val="17324D"/>
                <w:sz w:val="16"/>
              </w:rPr>
              <w:t>8. Docker build and ECR publish</w:t>
            </w:r>
          </w:p>
        </w:tc>
        <w:tc>
          <w:tcPr>
            <w:tcW w:type="dxa" w:w="2880"/>
            <w:vAlign w:val="center"/>
          </w:tcPr>
          <w:p>
            <w:pPr>
              <w:spacing w:after="20"/>
            </w:pPr>
            <w:r>
              <w:rPr>
                <w:rFonts w:ascii="Arial" w:hAnsi="Arial"/>
                <w:b w:val="0"/>
                <w:color w:val="17324D"/>
                <w:sz w:val="16"/>
              </w:rPr>
              <w:t>Build the API image as a separate stage.</w:t>
            </w:r>
          </w:p>
        </w:tc>
        <w:tc>
          <w:tcPr>
            <w:tcW w:type="dxa" w:w="4824"/>
            <w:vAlign w:val="center"/>
          </w:tcPr>
          <w:p>
            <w:pPr>
              <w:spacing w:after="20"/>
            </w:pPr>
            <w:r>
              <w:rPr>
                <w:rFonts w:ascii="Arial" w:hAnsi="Arial"/>
                <w:b w:val="0"/>
                <w:color w:val="17324D"/>
                <w:sz w:val="16"/>
              </w:rPr>
              <w:t>On a PR, builds without publishing. On a push to dev, builds and pushes an immutable Git-SHA tag to ECR. The React frontend is static and is not containerized.</w:t>
            </w:r>
          </w:p>
        </w:tc>
      </w:tr>
      <w:tr>
        <w:trPr>
          <w:cantSplit/>
        </w:trPr>
        <w:tc>
          <w:tcPr>
            <w:tcW w:type="dxa" w:w="1944"/>
            <w:vAlign w:val="center"/>
            <w:shd w:fill="F3F6F8"/>
          </w:tcPr>
          <w:p>
            <w:pPr>
              <w:spacing w:after="20"/>
            </w:pPr>
            <w:r>
              <w:rPr>
                <w:rFonts w:ascii="Arial" w:hAnsi="Arial"/>
                <w:b w:val="0"/>
                <w:color w:val="17324D"/>
                <w:sz w:val="16"/>
              </w:rPr>
              <w:t>9. AWS deployment</w:t>
            </w:r>
          </w:p>
        </w:tc>
        <w:tc>
          <w:tcPr>
            <w:tcW w:type="dxa" w:w="2880"/>
            <w:vAlign w:val="center"/>
            <w:shd w:fill="F3F6F8"/>
          </w:tcPr>
          <w:p>
            <w:pPr>
              <w:spacing w:after="20"/>
            </w:pPr>
            <w:r>
              <w:rPr>
                <w:rFonts w:ascii="Arial" w:hAnsi="Arial"/>
                <w:b w:val="0"/>
                <w:color w:val="17324D"/>
                <w:sz w:val="16"/>
              </w:rPr>
              <w:t>Release the commit to the new AWS architecture.</w:t>
            </w:r>
          </w:p>
        </w:tc>
        <w:tc>
          <w:tcPr>
            <w:tcW w:type="dxa" w:w="4824"/>
            <w:vAlign w:val="center"/>
            <w:shd w:fill="F3F6F8"/>
          </w:tcPr>
          <w:p>
            <w:pPr>
              <w:spacing w:after="20"/>
            </w:pPr>
            <w:r>
              <w:rPr>
                <w:rFonts w:ascii="Arial" w:hAnsi="Arial"/>
                <w:b w:val="0"/>
                <w:color w:val="17324D"/>
                <w:sz w:val="16"/>
              </w:rPr>
              <w:t>Runs Alembic migration as a one-off Fargate task, updates ECS and waits for stability, builds the React site using public API/WebSocket build settings, syncs files to private S3, and invalidates CloudFront.</w:t>
            </w:r>
          </w:p>
        </w:tc>
      </w:tr>
    </w:tbl>
    <w:p>
      <w:pPr>
        <w:spacing w:after="40"/>
      </w:pPr>
      <w:r>
        <w:rPr>
          <w:rFonts w:ascii="Arial" w:hAnsi="Arial"/>
          <w:b w:val="0"/>
          <w:color w:val="17324D"/>
          <w:sz w:val="20"/>
        </w:rPr>
      </w:r>
    </w:p>
    <w:p>
      <w:pPr>
        <w:pStyle w:val="Heading1"/>
      </w:pPr>
      <w:r>
        <w:rPr>
          <w:rFonts w:ascii="Arial" w:hAnsi="Arial"/>
          <w:b/>
          <w:color w:val="17324D"/>
          <w:sz w:val="32"/>
        </w:rPr>
        <w:t>3. Why the API image build is a separate stage</w:t>
      </w:r>
    </w:p>
    <w:p>
      <w:r>
        <w:rPr>
          <w:rFonts w:ascii="Arial" w:hAnsi="Arial"/>
          <w:b w:val="0"/>
          <w:color w:val="17324D"/>
          <w:sz w:val="20"/>
        </w:rPr>
        <w:t>The build stage produces a versioned API image in Amazon ECR. The deployment stage consumes the image identified by the same Git commit SHA. This separation makes it clear whether a failure happened while building/publishing the image or while deploying it. A pull request can prove the Dockerfile builds without publishing an image or touching AWS resources.</w:t>
      </w:r>
    </w:p>
    <w:p>
      <w:pPr>
        <w:pStyle w:val="Heading1"/>
      </w:pPr>
      <w:r>
        <w:rPr>
          <w:rFonts w:ascii="Arial" w:hAnsi="Arial"/>
          <w:b/>
          <w:color w:val="17324D"/>
          <w:sz w:val="32"/>
        </w:rPr>
        <w:t>4. Frontend and backend configuration</w:t>
      </w:r>
    </w:p>
    <w:p>
      <w:pPr>
        <w:pStyle w:val="ListBullet"/>
        <w:spacing w:after="60"/>
      </w:pPr>
      <w:r>
        <w:rPr>
          <w:rFonts w:ascii="Arial" w:hAnsi="Arial"/>
          <w:b w:val="0"/>
          <w:color w:val="17324D"/>
          <w:sz w:val="20"/>
        </w:rPr>
        <w:t>The backend task definition references the backend JSON secret in AWS Secrets Manager. ECS injects runtime values into the container; the build workflow does not generate backend.env or SSH it to a server.</w:t>
      </w:r>
    </w:p>
    <w:p>
      <w:pPr>
        <w:pStyle w:val="ListBullet"/>
        <w:spacing w:after="60"/>
      </w:pPr>
      <w:r>
        <w:rPr>
          <w:rFonts w:ascii="Arial" w:hAnsi="Arial"/>
          <w:b w:val="0"/>
          <w:color w:val="17324D"/>
          <w:sz w:val="20"/>
        </w:rPr>
        <w:t>The frontend is static JavaScript delivered to browsers. Its API URL and WebSocket URL are public build settings, not secrets. The workflow reads those values from the frontend-config secret, builds the static site, and uploads the output to S3.</w:t>
      </w:r>
    </w:p>
    <w:p>
      <w:pPr>
        <w:pStyle w:val="ListBullet"/>
        <w:spacing w:after="60"/>
      </w:pPr>
      <w:r>
        <w:rPr>
          <w:rFonts w:ascii="Arial" w:hAnsi="Arial"/>
          <w:b w:val="0"/>
          <w:color w:val="17324D"/>
          <w:sz w:val="20"/>
        </w:rPr>
        <w:t>GitHub’s development environment contains deployment credentials. The environment must permit deployments from dev before the dev push jobs can read those credentials.</w:t>
      </w:r>
    </w:p>
    <w:p>
      <w:pPr>
        <w:pStyle w:val="Heading1"/>
      </w:pPr>
      <w:r>
        <w:rPr>
          <w:rFonts w:ascii="Arial" w:hAnsi="Arial"/>
          <w:b/>
          <w:color w:val="17324D"/>
          <w:sz w:val="32"/>
        </w:rPr>
        <w:t>5. Terraform pipeline stages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160"/>
            <w:vAlign w:val="center"/>
            <w:shd w:fill="17324D"/>
          </w:tcPr>
          <w:p>
            <w:pPr>
              <w:keepNext/>
              <w:spacing w:after="20"/>
            </w:pPr>
            <w:r>
              <w:rPr>
                <w:rFonts w:ascii="Arial" w:hAnsi="Arial"/>
                <w:b/>
                <w:color w:val="FFFFFF"/>
                <w:sz w:val="18"/>
              </w:rPr>
              <w:t>Stage</w:t>
            </w:r>
          </w:p>
        </w:tc>
        <w:tc>
          <w:tcPr>
            <w:tcW w:type="dxa" w:w="2952"/>
            <w:vAlign w:val="center"/>
            <w:shd w:fill="17324D"/>
          </w:tcPr>
          <w:p>
            <w:pPr>
              <w:keepNext/>
              <w:spacing w:after="20"/>
            </w:pPr>
            <w:r>
              <w:rPr>
                <w:rFonts w:ascii="Arial" w:hAnsi="Arial"/>
                <w:b/>
                <w:color w:val="FFFFFF"/>
                <w:sz w:val="18"/>
              </w:rPr>
              <w:t>Purpose</w:t>
            </w:r>
          </w:p>
        </w:tc>
        <w:tc>
          <w:tcPr>
            <w:tcW w:type="dxa" w:w="4536"/>
            <w:vAlign w:val="center"/>
            <w:shd w:fill="17324D"/>
          </w:tcPr>
          <w:p>
            <w:pPr>
              <w:keepNext/>
              <w:spacing w:after="20"/>
            </w:pPr>
            <w:r>
              <w:rPr>
                <w:rFonts w:ascii="Arial" w:hAnsi="Arial"/>
                <w:b/>
                <w:color w:val="FFFFFF"/>
                <w:sz w:val="18"/>
              </w:rPr>
              <w:t>Expected behavior</w:t>
            </w:r>
          </w:p>
        </w:tc>
      </w:tr>
      <w:tr>
        <w:trPr>
          <w:cantSplit/>
        </w:trPr>
        <w:tc>
          <w:tcPr>
            <w:tcW w:type="dxa" w:w="2160"/>
            <w:vAlign w:val="center"/>
          </w:tcPr>
          <w:p>
            <w:pPr>
              <w:keepLines/>
              <w:spacing w:after="20"/>
            </w:pPr>
            <w:r>
              <w:rPr>
                <w:rFonts w:ascii="Arial" w:hAnsi="Arial"/>
                <w:b w:val="0"/>
                <w:color w:val="17324D"/>
                <w:sz w:val="16"/>
              </w:rPr>
              <w:t>1. Format and validate</w:t>
            </w:r>
          </w:p>
        </w:tc>
        <w:tc>
          <w:tcPr>
            <w:tcW w:type="dxa" w:w="2952"/>
            <w:vAlign w:val="center"/>
          </w:tcPr>
          <w:p>
            <w:pPr>
              <w:keepLines/>
              <w:spacing w:after="20"/>
            </w:pPr>
            <w:r>
              <w:rPr>
                <w:rFonts w:ascii="Arial" w:hAnsi="Arial"/>
                <w:b w:val="0"/>
                <w:color w:val="17324D"/>
                <w:sz w:val="16"/>
              </w:rPr>
              <w:t>Catch syntax/style problems without AWS state access.</w:t>
            </w:r>
          </w:p>
        </w:tc>
        <w:tc>
          <w:tcPr>
            <w:tcW w:type="dxa" w:w="4536"/>
            <w:vAlign w:val="center"/>
          </w:tcPr>
          <w:p>
            <w:pPr>
              <w:keepLines/>
              <w:spacing w:after="20"/>
            </w:pPr>
            <w:r>
              <w:rPr>
                <w:rFonts w:ascii="Arial" w:hAnsi="Arial"/>
                <w:b w:val="0"/>
                <w:color w:val="17324D"/>
                <w:sz w:val="16"/>
              </w:rPr>
              <w:t>Runs terraform fmt -check and validates bootstrap and dev configurations with backend disabled.</w:t>
            </w:r>
          </w:p>
        </w:tc>
      </w:tr>
      <w:tr>
        <w:trPr>
          <w:cantSplit/>
        </w:trPr>
        <w:tc>
          <w:tcPr>
            <w:tcW w:type="dxa" w:w="2160"/>
            <w:vAlign w:val="center"/>
            <w:shd w:fill="F3F6F8"/>
          </w:tcPr>
          <w:p>
            <w:pPr>
              <w:spacing w:after="20"/>
            </w:pPr>
            <w:r>
              <w:rPr>
                <w:rFonts w:ascii="Arial" w:hAnsi="Arial"/>
                <w:b w:val="0"/>
                <w:color w:val="17324D"/>
                <w:sz w:val="16"/>
              </w:rPr>
              <w:t>2. Apply prerequisite gate</w:t>
            </w:r>
          </w:p>
        </w:tc>
        <w:tc>
          <w:tcPr>
            <w:tcW w:type="dxa" w:w="2952"/>
            <w:vAlign w:val="center"/>
            <w:shd w:fill="F3F6F8"/>
          </w:tcPr>
          <w:p>
            <w:pPr>
              <w:spacing w:after="20"/>
            </w:pPr>
            <w:r>
              <w:rPr>
                <w:rFonts w:ascii="Arial" w:hAnsi="Arial"/>
                <w:b w:val="0"/>
                <w:color w:val="17324D"/>
                <w:sz w:val="16"/>
              </w:rPr>
              <w:t>Explain why an apply cannot start.</w:t>
            </w:r>
          </w:p>
        </w:tc>
        <w:tc>
          <w:tcPr>
            <w:tcW w:type="dxa" w:w="4536"/>
            <w:vAlign w:val="center"/>
            <w:shd w:fill="F3F6F8"/>
          </w:tcPr>
          <w:p>
            <w:pPr>
              <w:spacing w:after="20"/>
            </w:pPr>
            <w:r>
              <w:rPr>
                <w:rFonts w:ascii="Arial" w:hAnsi="Arial"/>
                <w:b w:val="0"/>
                <w:color w:val="17324D"/>
                <w:sz w:val="16"/>
              </w:rPr>
              <w:t>On a dev push or manual apply request, reports that the AWS OIDC provider and AWS_DEPLOY_ROLE_ARN must be enabled/configured.</w:t>
            </w:r>
          </w:p>
        </w:tc>
      </w:tr>
      <w:tr>
        <w:trPr>
          <w:cantSplit/>
        </w:trPr>
        <w:tc>
          <w:tcPr>
            <w:tcW w:type="dxa" w:w="2160"/>
            <w:vAlign w:val="center"/>
          </w:tcPr>
          <w:p>
            <w:pPr>
              <w:spacing w:after="20"/>
            </w:pPr>
            <w:r>
              <w:rPr>
                <w:rFonts w:ascii="Arial" w:hAnsi="Arial"/>
                <w:b w:val="0"/>
                <w:color w:val="17324D"/>
                <w:sz w:val="16"/>
              </w:rPr>
              <w:t>3. Terraform plan and apply</w:t>
            </w:r>
          </w:p>
        </w:tc>
        <w:tc>
          <w:tcPr>
            <w:tcW w:type="dxa" w:w="2952"/>
            <w:vAlign w:val="center"/>
          </w:tcPr>
          <w:p>
            <w:pPr>
              <w:spacing w:after="20"/>
            </w:pPr>
            <w:r>
              <w:rPr>
                <w:rFonts w:ascii="Arial" w:hAnsi="Arial"/>
                <w:b w:val="0"/>
                <w:color w:val="17324D"/>
                <w:sz w:val="16"/>
              </w:rPr>
              <w:t>Reconcile AWS resources with code.</w:t>
            </w:r>
          </w:p>
        </w:tc>
        <w:tc>
          <w:tcPr>
            <w:tcW w:type="dxa" w:w="4536"/>
            <w:vAlign w:val="center"/>
          </w:tcPr>
          <w:p>
            <w:pPr>
              <w:spacing w:after="20"/>
            </w:pPr>
            <w:r>
              <w:rPr>
                <w:rFonts w:ascii="Arial" w:hAnsi="Arial"/>
                <w:b w:val="0"/>
                <w:color w:val="17324D"/>
                <w:sz w:val="16"/>
              </w:rPr>
              <w:t>Uses the configured AWS role, reads backend secret as a write-only input, initializes remote state, creates a plan, and applies only for an authorized dev push or manual apply request.</w:t>
            </w:r>
          </w:p>
        </w:tc>
      </w:tr>
    </w:tbl>
    <w:p>
      <w:pPr>
        <w:spacing w:after="40"/>
      </w:pPr>
      <w:r>
        <w:rPr>
          <w:rFonts w:ascii="Arial" w:hAnsi="Arial"/>
          <w:b w:val="0"/>
          <w:color w:val="17324D"/>
          <w:sz w:val="20"/>
        </w:rPr>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EAF3F6"/>
          </w:tcPr>
          <w:p>
            <w:pPr>
              <w:keepNext/>
              <w:spacing w:after="40"/>
            </w:pPr>
            <w:r>
              <w:rPr>
                <w:rFonts w:ascii="Arial" w:hAnsi="Arial"/>
                <w:b w:val="0"/>
                <w:color w:val="17324D"/>
                <w:sz w:val="18"/>
              </w:rPr>
              <w:t>Current deployment gate</w:t>
              <w:br/>
              <w:t>The application deployment has used a scoped AWS deploy credential. The Terraform pipeline is designed for OIDC, but the organization-level OIDC prerequisite and AWS_DEPLOY_ROLE_ARN have not been verified as complete. Until then, Terraform validation can pass while apply is skipped.</w:t>
            </w:r>
          </w:p>
        </w:tc>
      </w:tr>
    </w:tbl>
    <w:p>
      <w:pPr>
        <w:spacing w:after="40"/>
      </w:pPr>
      <w:r>
        <w:rPr>
          <w:rFonts w:ascii="Arial" w:hAnsi="Arial"/>
          <w:b w:val="0"/>
          <w:color w:val="17324D"/>
          <w:sz w:val="20"/>
        </w:rPr>
      </w:r>
    </w:p>
    <w:p>
      <w:pPr>
        <w:pStyle w:val="Heading1"/>
      </w:pPr>
      <w:r>
        <w:rPr>
          <w:rFonts w:ascii="Arial" w:hAnsi="Arial"/>
          <w:b/>
          <w:color w:val="17324D"/>
          <w:sz w:val="32"/>
        </w:rPr>
        <w:t>6. Reading a run when something fails</w:t>
      </w:r>
    </w:p>
    <w:p>
      <w:pPr>
        <w:pStyle w:val="ListNumber"/>
        <w:spacing w:after="60"/>
      </w:pPr>
      <w:r>
        <w:rPr>
          <w:rFonts w:ascii="Arial" w:hAnsi="Arial"/>
          <w:b w:val="0"/>
          <w:color w:val="17324D"/>
          <w:sz w:val="20"/>
        </w:rPr>
        <w:t>Open the failed job and identify its stage. A Docker build or ECR authentication error belongs to Stage 8; task registration, migration, or service stability errors belong to Stage 9.</w:t>
      </w:r>
    </w:p>
    <w:p>
      <w:pPr>
        <w:pStyle w:val="ListNumber"/>
        <w:spacing w:after="60"/>
      </w:pPr>
      <w:r>
        <w:rPr>
          <w:rFonts w:ascii="Arial" w:hAnsi="Arial"/>
          <w:b w:val="0"/>
          <w:color w:val="17324D"/>
          <w:sz w:val="20"/>
        </w:rPr>
        <w:t>For Stage 9, check the run order: image published, task definition registered, migration task exit code zero, ECS service stable, frontend build successful, S3 sync successful, CloudFront invalidation accepted.</w:t>
      </w:r>
    </w:p>
    <w:p>
      <w:pPr>
        <w:pStyle w:val="ListNumber"/>
        <w:spacing w:after="60"/>
      </w:pPr>
      <w:r>
        <w:rPr>
          <w:rFonts w:ascii="Arial" w:hAnsi="Arial"/>
          <w:b w:val="0"/>
          <w:color w:val="17324D"/>
          <w:sz w:val="20"/>
        </w:rPr>
        <w:t>For Terraform, distinguish validation from apply. A green validate job proves the Terraform source is syntactically valid; it does not prove AWS resources were applied.</w:t>
      </w:r>
    </w:p>
    <w:p>
      <w:pPr>
        <w:pStyle w:val="ListNumber"/>
        <w:spacing w:after="60"/>
      </w:pPr>
      <w:r>
        <w:rPr>
          <w:rFonts w:ascii="Arial" w:hAnsi="Arial"/>
          <w:b w:val="0"/>
          <w:color w:val="17324D"/>
          <w:sz w:val="20"/>
        </w:rPr>
        <w:t>A completed PR run is validation only. Check for a separate push-to-dev run to confirm deployment.</w:t>
      </w:r>
    </w:p>
    <w:p>
      <w:pPr>
        <w:pStyle w:val="Heading1"/>
      </w:pPr>
      <w:r>
        <w:rPr>
          <w:rFonts w:ascii="Arial" w:hAnsi="Arial"/>
          <w:b/>
          <w:color w:val="17324D"/>
          <w:sz w:val="32"/>
        </w:rPr>
        <w:t>7. Current limitations to resolve</w:t>
      </w:r>
    </w:p>
    <w:p>
      <w:pPr>
        <w:pStyle w:val="ListBullet"/>
        <w:spacing w:after="60"/>
      </w:pPr>
      <w:r>
        <w:rPr>
          <w:rFonts w:ascii="Arial" w:hAnsi="Arial"/>
          <w:b w:val="0"/>
          <w:color w:val="17324D"/>
          <w:sz w:val="20"/>
        </w:rPr>
        <w:t>The app repository development environment allow-list has now been changed from pre-dev to dev; verify the first dev deployment can read the scoped credentials.</w:t>
      </w:r>
    </w:p>
    <w:p>
      <w:pPr>
        <w:pStyle w:val="ListBullet"/>
        <w:spacing w:after="60"/>
      </w:pPr>
      <w:r>
        <w:rPr>
          <w:rFonts w:ascii="Arial" w:hAnsi="Arial"/>
          <w:b w:val="0"/>
          <w:color w:val="17324D"/>
          <w:sz w:val="20"/>
        </w:rPr>
        <w:t>The Terraform apply job remains conditional on organization approval of the GitHub OIDC provider and a configured AWS_DEPLOY_ROLE_ARN.</w:t>
      </w:r>
    </w:p>
    <w:p>
      <w:pPr>
        <w:pStyle w:val="ListBullet"/>
        <w:spacing w:after="60"/>
      </w:pPr>
      <w:r>
        <w:rPr>
          <w:rFonts w:ascii="Arial" w:hAnsi="Arial"/>
          <w:b w:val="0"/>
          <w:color w:val="17324D"/>
          <w:sz w:val="20"/>
        </w:rPr>
        <w:t>The custom domain is not yet attached to CloudFront. The dev site is available on its CloudFront hostname until the ACM certificate, CloudFront aliases, Route 53 records, and GoDaddy delegation are completed.</w:t>
      </w:r>
    </w:p>
    <w:sectPr w:rsidR="00FC693F" w:rsidRPr="0006063C" w:rsidSect="00034616">
      <w:footerReference w:type="default" r:id="rId9"/>
      <w:pgSz w:w="12240" w:h="15840"/>
      <w:pgMar w:top="936" w:right="1037" w:bottom="1152"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C6B78"/>
        <w:sz w:val="16"/>
      </w:rPr>
      <w:t>Deal and Drive  •  Internal delivery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