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17324D"/>
          <w:sz w:val="52"/>
        </w:rPr>
        <w:t>AWS Infrastructure and Migration Record</w:t>
      </w:r>
    </w:p>
    <w:p>
      <w:pPr>
        <w:spacing w:after="240"/>
      </w:pPr>
      <w:r>
        <w:rPr>
          <w:rFonts w:ascii="Arial" w:hAnsi="Arial"/>
          <w:b w:val="0"/>
          <w:color w:val="17324D"/>
          <w:sz w:val="20"/>
        </w:rPr>
        <w:t>What was configured, migrated, validated, and left pending for the dev environment</w:t>
      </w:r>
    </w:p>
    <w:p>
      <w:pPr>
        <w:spacing w:after="200"/>
      </w:pPr>
      <w:r>
        <w:rPr>
          <w:rFonts w:ascii="Arial" w:hAnsi="Arial"/>
          <w:b w:val="0"/>
          <w:color w:val="17324D"/>
          <w:sz w:val="20"/>
        </w:rPr>
        <w:t>Deal and Drive  |  Updated 28 October 2026</w:t>
      </w:r>
    </w:p>
    <w:p>
      <w:r>
        <w:t>This record summarizes the Deal and Drive dev AWS setup, Terraform management, application deployment path, and data migration. It distinguishes verified pipeline results from live application checks that should be repeated when needed. It contains no AWS access keys, database passwords, API tokens, or GitHub tokens.</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Environment target</w:t>
              <w:br/>
              <w:t>AWS account ending in 8736, region us-east-2, Deal and Drive dev resources, and a 100-user planning target. The application architecture is CloudFront and WAF in front of a private S3 frontend, with API traffic routed through an ALB to ECS Fargate tasks and a single-AZ PostgreSQL RDS instance.</w:t>
            </w:r>
          </w:p>
        </w:tc>
      </w:tr>
    </w:tbl>
    <w:p>
      <w:pPr>
        <w:spacing w:after="40"/>
      </w:pPr>
      <w:r>
        <w:rPr>
          <w:rFonts w:ascii="Arial" w:hAnsi="Arial"/>
          <w:b w:val="0"/>
          <w:color w:val="17324D"/>
          <w:sz w:val="20"/>
        </w:rPr>
      </w:r>
    </w:p>
    <w:p>
      <w:pPr>
        <w:pStyle w:val="Heading1"/>
      </w:pPr>
      <w:r>
        <w:rPr>
          <w:rFonts w:ascii="Arial" w:hAnsi="Arial"/>
          <w:b/>
          <w:color w:val="17324D"/>
          <w:sz w:val="32"/>
        </w:rPr>
        <w:t>1. Access and tool setup</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1800"/>
            <w:vAlign w:val="center"/>
            <w:shd w:fill="17324D"/>
          </w:tcPr>
          <w:p>
            <w:pPr>
              <w:keepNext/>
              <w:spacing w:after="20"/>
            </w:pPr>
            <w:r>
              <w:rPr>
                <w:rFonts w:ascii="Arial" w:hAnsi="Arial"/>
                <w:b/>
                <w:color w:val="FFFFFF"/>
                <w:sz w:val="18"/>
              </w:rPr>
              <w:t>Step</w:t>
            </w:r>
          </w:p>
        </w:tc>
        <w:tc>
          <w:tcPr>
            <w:tcW w:type="dxa" w:w="4608"/>
            <w:vAlign w:val="center"/>
            <w:shd w:fill="17324D"/>
          </w:tcPr>
          <w:p>
            <w:pPr>
              <w:keepNext/>
              <w:spacing w:after="20"/>
            </w:pPr>
            <w:r>
              <w:rPr>
                <w:rFonts w:ascii="Arial" w:hAnsi="Arial"/>
                <w:b/>
                <w:color w:val="FFFFFF"/>
                <w:sz w:val="18"/>
              </w:rPr>
              <w:t>What was done or used</w:t>
            </w:r>
          </w:p>
        </w:tc>
        <w:tc>
          <w:tcPr>
            <w:tcW w:type="dxa" w:w="3240"/>
            <w:vAlign w:val="center"/>
            <w:shd w:fill="17324D"/>
          </w:tcPr>
          <w:p>
            <w:pPr>
              <w:keepNext/>
              <w:spacing w:after="20"/>
            </w:pPr>
            <w:r>
              <w:rPr>
                <w:rFonts w:ascii="Arial" w:hAnsi="Arial"/>
                <w:b/>
                <w:color w:val="FFFFFF"/>
                <w:sz w:val="18"/>
              </w:rPr>
              <w:t>Safe verification</w:t>
            </w:r>
          </w:p>
        </w:tc>
      </w:tr>
      <w:tr>
        <w:trPr>
          <w:cantSplit/>
        </w:trPr>
        <w:tc>
          <w:tcPr>
            <w:tcW w:type="dxa" w:w="1800"/>
            <w:vAlign w:val="center"/>
          </w:tcPr>
          <w:p>
            <w:pPr>
              <w:keepLines/>
              <w:spacing w:after="20"/>
            </w:pPr>
            <w:r>
              <w:rPr>
                <w:rFonts w:ascii="Arial" w:hAnsi="Arial"/>
                <w:b w:val="0"/>
                <w:color w:val="17324D"/>
                <w:sz w:val="16"/>
              </w:rPr>
              <w:t>AWS CLI profiles</w:t>
            </w:r>
          </w:p>
        </w:tc>
        <w:tc>
          <w:tcPr>
            <w:tcW w:type="dxa" w:w="4608"/>
            <w:vAlign w:val="center"/>
          </w:tcPr>
          <w:p>
            <w:pPr>
              <w:keepLines/>
              <w:spacing w:after="20"/>
            </w:pPr>
            <w:r>
              <w:t>The new-account CLI profile is deal-drive-kishore-dev-iam-user; a separate syed-personal-iam-user profile was used for the legacy source account. Confirm the active identity before any write operation.</w:t>
            </w:r>
          </w:p>
        </w:tc>
        <w:tc>
          <w:tcPr>
            <w:tcW w:type="dxa" w:w="3240"/>
            <w:vAlign w:val="center"/>
          </w:tcPr>
          <w:p>
            <w:pPr>
              <w:keepLines/>
              <w:spacing w:after="20"/>
            </w:pPr>
            <w:r>
              <w:rPr>
                <w:rFonts w:ascii="Arial" w:hAnsi="Arial"/>
                <w:b w:val="0"/>
                <w:color w:val="17324D"/>
                <w:sz w:val="16"/>
              </w:rPr>
              <w:t>Run aws configure list-profiles, then aws sts get-caller-identity --profile &lt;profile&gt;. Confirm account ID and ARN before any write command.</w:t>
            </w:r>
          </w:p>
        </w:tc>
      </w:tr>
      <w:tr>
        <w:trPr>
          <w:cantSplit/>
        </w:trPr>
        <w:tc>
          <w:tcPr>
            <w:tcW w:type="dxa" w:w="1800"/>
            <w:vAlign w:val="center"/>
            <w:shd w:fill="F3F6F8"/>
          </w:tcPr>
          <w:p>
            <w:pPr>
              <w:spacing w:after="20"/>
            </w:pPr>
            <w:r>
              <w:rPr>
                <w:rFonts w:ascii="Arial" w:hAnsi="Arial"/>
                <w:b w:val="0"/>
                <w:color w:val="17324D"/>
                <w:sz w:val="16"/>
              </w:rPr>
              <w:t>Terraform install</w:t>
            </w:r>
          </w:p>
        </w:tc>
        <w:tc>
          <w:tcPr>
            <w:tcW w:type="dxa" w:w="4608"/>
            <w:vAlign w:val="center"/>
            <w:shd w:fill="F3F6F8"/>
          </w:tcPr>
          <w:p>
            <w:pPr>
              <w:spacing w:after="20"/>
            </w:pPr>
            <w:r>
              <w:rPr>
                <w:rFonts w:ascii="Arial" w:hAnsi="Arial"/>
                <w:b w:val="0"/>
                <w:color w:val="17324D"/>
                <w:sz w:val="16"/>
              </w:rPr>
              <w:t>Terraform 1.17.0 was installed using Chocolatey.</w:t>
            </w:r>
          </w:p>
        </w:tc>
        <w:tc>
          <w:tcPr>
            <w:tcW w:type="dxa" w:w="3240"/>
            <w:vAlign w:val="center"/>
            <w:shd w:fill="F3F6F8"/>
          </w:tcPr>
          <w:p>
            <w:pPr>
              <w:spacing w:after="20"/>
            </w:pPr>
            <w:r>
              <w:rPr>
                <w:rFonts w:ascii="Arial" w:hAnsi="Arial"/>
                <w:b w:val="0"/>
                <w:color w:val="17324D"/>
                <w:sz w:val="16"/>
              </w:rPr>
              <w:t>terraform version</w:t>
            </w:r>
          </w:p>
        </w:tc>
      </w:tr>
      <w:tr>
        <w:trPr>
          <w:cantSplit/>
        </w:trPr>
        <w:tc>
          <w:tcPr>
            <w:tcW w:type="dxa" w:w="1800"/>
            <w:vAlign w:val="center"/>
          </w:tcPr>
          <w:p>
            <w:pPr>
              <w:spacing w:after="20"/>
            </w:pPr>
            <w:r>
              <w:rPr>
                <w:rFonts w:ascii="Arial" w:hAnsi="Arial"/>
                <w:b w:val="0"/>
                <w:color w:val="17324D"/>
                <w:sz w:val="16"/>
              </w:rPr>
              <w:t>GitHub CLI</w:t>
            </w:r>
          </w:p>
        </w:tc>
        <w:tc>
          <w:tcPr>
            <w:tcW w:type="dxa" w:w="4608"/>
            <w:vAlign w:val="center"/>
          </w:tcPr>
          <w:p>
            <w:pPr>
              <w:spacing w:after="20"/>
            </w:pPr>
            <w:r>
              <w:rPr>
                <w:rFonts w:ascii="Arial" w:hAnsi="Arial"/>
                <w:b w:val="0"/>
                <w:color w:val="17324D"/>
                <w:sz w:val="16"/>
              </w:rPr>
              <w:t>GitHub CLI was authenticated for repository and Actions work.</w:t>
            </w:r>
          </w:p>
        </w:tc>
        <w:tc>
          <w:tcPr>
            <w:tcW w:type="dxa" w:w="3240"/>
            <w:vAlign w:val="center"/>
          </w:tcPr>
          <w:p>
            <w:pPr>
              <w:spacing w:after="20"/>
            </w:pPr>
            <w:r>
              <w:rPr>
                <w:rFonts w:ascii="Arial" w:hAnsi="Arial"/>
                <w:b w:val="0"/>
                <w:color w:val="17324D"/>
                <w:sz w:val="16"/>
              </w:rPr>
              <w:t>gh auth status; do not print or paste its token.</w:t>
            </w:r>
          </w:p>
        </w:tc>
      </w:tr>
      <w:tr>
        <w:trPr>
          <w:cantSplit/>
        </w:trPr>
        <w:tc>
          <w:tcPr>
            <w:tcW w:type="dxa" w:w="1800"/>
            <w:vAlign w:val="center"/>
            <w:shd w:fill="F3F6F8"/>
          </w:tcPr>
          <w:p>
            <w:pPr>
              <w:spacing w:after="20"/>
            </w:pPr>
            <w:r>
              <w:rPr>
                <w:rFonts w:ascii="Arial" w:hAnsi="Arial"/>
                <w:b w:val="0"/>
                <w:color w:val="17324D"/>
                <w:sz w:val="16"/>
              </w:rPr>
              <w:t>Secret handling</w:t>
            </w:r>
          </w:p>
        </w:tc>
        <w:tc>
          <w:tcPr>
            <w:tcW w:type="dxa" w:w="4608"/>
            <w:vAlign w:val="center"/>
            <w:shd w:fill="F3F6F8"/>
          </w:tcPr>
          <w:p>
            <w:pPr>
              <w:spacing w:after="20"/>
            </w:pPr>
            <w:r>
              <w:rPr>
                <w:rFonts w:ascii="Arial" w:hAnsi="Arial"/>
                <w:b w:val="0"/>
                <w:color w:val="17324D"/>
                <w:sz w:val="16"/>
              </w:rPr>
              <w:t>Credentials were supplied through CLI profiles or GitHub environment secrets; application runtime values belong in AWS Secrets Manager.</w:t>
            </w:r>
          </w:p>
        </w:tc>
        <w:tc>
          <w:tcPr>
            <w:tcW w:type="dxa" w:w="3240"/>
            <w:vAlign w:val="center"/>
            <w:shd w:fill="F3F6F8"/>
          </w:tcPr>
          <w:p>
            <w:pPr>
              <w:spacing w:after="20"/>
            </w:pPr>
            <w:r>
              <w:rPr>
                <w:rFonts w:ascii="Arial" w:hAnsi="Arial"/>
                <w:b w:val="0"/>
                <w:color w:val="17324D"/>
                <w:sz w:val="16"/>
              </w:rPr>
              <w:t>Never commit .env files, access keys, database passwords, PEM keys, or API keys.</w:t>
            </w:r>
          </w:p>
        </w:tc>
      </w:tr>
    </w:tbl>
    <w:p>
      <w:pPr>
        <w:spacing w:after="40"/>
      </w:pPr>
      <w:r>
        <w:rPr>
          <w:rFonts w:ascii="Arial" w:hAnsi="Arial"/>
          <w:b w:val="0"/>
          <w:color w:val="17324D"/>
          <w:sz w:val="20"/>
        </w:rPr>
      </w:r>
    </w:p>
    <w:p>
      <w:pPr>
        <w:pStyle w:val="Heading1"/>
      </w:pPr>
      <w:r>
        <w:rPr>
          <w:rFonts w:ascii="Arial" w:hAnsi="Arial"/>
          <w:b/>
          <w:color w:val="17324D"/>
          <w:sz w:val="32"/>
        </w:rPr>
        <w:t>2. Terraform repository and state</w:t>
      </w:r>
    </w:p>
    <w:p>
      <w:r>
        <w:t>Infrastructure code is maintained in the separate private deal-drive-iac-cloud repository. The bootstrap root manages Terraform state storage and deployment identity; envs/dev composes the network, platform, database, storage, edge, IAM, and logging resources. Dev state is stored remotely in S3. The current IaC workflow uses a dedicated Terraform IAM user through the IaC repository's development GitHub environment secrets because OIDC is not enabled in the organization. Terraform validation, AWS account verification, and plan/apply run as three sequential stages.</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Terraform command flow</w:t>
              <w:br/>
              <w:t>terraform fmt -check -recursive → terraform init → terraform validate → terraform plan -out=dev.tfplan → review the plan → terraform apply dev.tfplan. Bootstrap is initialized and validated separately. A successful plan or validation is not proof that apply ran.</w:t>
            </w:r>
          </w:p>
        </w:tc>
      </w:tr>
    </w:tbl>
    <w:p>
      <w:pPr>
        <w:spacing w:after="40"/>
      </w:pPr>
      <w:r>
        <w:rPr>
          <w:rFonts w:ascii="Arial" w:hAnsi="Arial"/>
          <w:b w:val="0"/>
          <w:color w:val="17324D"/>
          <w:sz w:val="20"/>
        </w:rPr>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3096"/>
            <w:vAlign w:val="center"/>
            <w:shd w:fill="17324D"/>
          </w:tcPr>
          <w:p>
            <w:pPr>
              <w:keepNext/>
              <w:spacing w:after="20"/>
            </w:pPr>
            <w:r>
              <w:rPr>
                <w:rFonts w:ascii="Arial" w:hAnsi="Arial"/>
                <w:b/>
                <w:color w:val="FFFFFF"/>
                <w:sz w:val="18"/>
              </w:rPr>
              <w:t>Command</w:t>
            </w:r>
          </w:p>
        </w:tc>
        <w:tc>
          <w:tcPr>
            <w:tcW w:type="dxa" w:w="3672"/>
            <w:vAlign w:val="center"/>
            <w:shd w:fill="17324D"/>
          </w:tcPr>
          <w:p>
            <w:pPr>
              <w:keepNext/>
              <w:spacing w:after="20"/>
            </w:pPr>
            <w:r>
              <w:rPr>
                <w:rFonts w:ascii="Arial" w:hAnsi="Arial"/>
                <w:b/>
                <w:color w:val="FFFFFF"/>
                <w:sz w:val="18"/>
              </w:rPr>
              <w:t>Meaning</w:t>
            </w:r>
          </w:p>
        </w:tc>
        <w:tc>
          <w:tcPr>
            <w:tcW w:type="dxa" w:w="2880"/>
            <w:vAlign w:val="center"/>
            <w:shd w:fill="17324D"/>
          </w:tcPr>
          <w:p>
            <w:pPr>
              <w:keepNext/>
              <w:spacing w:after="20"/>
            </w:pPr>
            <w:r>
              <w:rPr>
                <w:rFonts w:ascii="Arial" w:hAnsi="Arial"/>
                <w:b/>
                <w:color w:val="FFFFFF"/>
                <w:sz w:val="18"/>
              </w:rPr>
              <w:t>Use</w:t>
            </w:r>
          </w:p>
        </w:tc>
      </w:tr>
      <w:tr>
        <w:trPr>
          <w:cantSplit/>
        </w:trPr>
        <w:tc>
          <w:tcPr>
            <w:tcW w:type="dxa" w:w="3096"/>
            <w:vAlign w:val="center"/>
          </w:tcPr>
          <w:p>
            <w:pPr>
              <w:keepLines/>
              <w:spacing w:after="20"/>
            </w:pPr>
            <w:r>
              <w:rPr>
                <w:rFonts w:ascii="Arial" w:hAnsi="Arial"/>
                <w:b w:val="0"/>
                <w:color w:val="17324D"/>
                <w:sz w:val="16"/>
              </w:rPr>
              <w:t>terraform fmt -check -recursive</w:t>
            </w:r>
          </w:p>
        </w:tc>
        <w:tc>
          <w:tcPr>
            <w:tcW w:type="dxa" w:w="3672"/>
            <w:vAlign w:val="center"/>
          </w:tcPr>
          <w:p>
            <w:pPr>
              <w:keepLines/>
              <w:spacing w:after="20"/>
            </w:pPr>
            <w:r>
              <w:rPr>
                <w:rFonts w:ascii="Arial" w:hAnsi="Arial"/>
                <w:b w:val="0"/>
                <w:color w:val="17324D"/>
                <w:sz w:val="16"/>
              </w:rPr>
              <w:t>Checks Terraform formatting without editing files.</w:t>
            </w:r>
          </w:p>
        </w:tc>
        <w:tc>
          <w:tcPr>
            <w:tcW w:type="dxa" w:w="2880"/>
            <w:vAlign w:val="center"/>
          </w:tcPr>
          <w:p>
            <w:pPr>
              <w:keepLines/>
              <w:spacing w:after="20"/>
            </w:pPr>
            <w:r>
              <w:rPr>
                <w:rFonts w:ascii="Arial" w:hAnsi="Arial"/>
                <w:b w:val="0"/>
                <w:color w:val="17324D"/>
                <w:sz w:val="16"/>
              </w:rPr>
              <w:t>Local or CI validation.</w:t>
            </w:r>
          </w:p>
        </w:tc>
      </w:tr>
      <w:tr>
        <w:trPr>
          <w:cantSplit/>
        </w:trPr>
        <w:tc>
          <w:tcPr>
            <w:tcW w:type="dxa" w:w="3096"/>
            <w:vAlign w:val="center"/>
            <w:shd w:fill="F3F6F8"/>
          </w:tcPr>
          <w:p>
            <w:pPr>
              <w:spacing w:after="20"/>
            </w:pPr>
            <w:r>
              <w:rPr>
                <w:rFonts w:ascii="Arial" w:hAnsi="Arial"/>
                <w:b w:val="0"/>
                <w:color w:val="17324D"/>
                <w:sz w:val="16"/>
              </w:rPr>
              <w:t>terraform init</w:t>
            </w:r>
          </w:p>
        </w:tc>
        <w:tc>
          <w:tcPr>
            <w:tcW w:type="dxa" w:w="3672"/>
            <w:vAlign w:val="center"/>
            <w:shd w:fill="F3F6F8"/>
          </w:tcPr>
          <w:p>
            <w:pPr>
              <w:spacing w:after="20"/>
            </w:pPr>
            <w:r>
              <w:rPr>
                <w:rFonts w:ascii="Arial" w:hAnsi="Arial"/>
                <w:b w:val="0"/>
                <w:color w:val="17324D"/>
                <w:sz w:val="16"/>
              </w:rPr>
              <w:t>Downloads providers/modules and configures the backend.</w:t>
            </w:r>
          </w:p>
        </w:tc>
        <w:tc>
          <w:tcPr>
            <w:tcW w:type="dxa" w:w="2880"/>
            <w:vAlign w:val="center"/>
            <w:shd w:fill="F3F6F8"/>
          </w:tcPr>
          <w:p>
            <w:pPr>
              <w:spacing w:after="20"/>
            </w:pPr>
            <w:r>
              <w:rPr>
                <w:rFonts w:ascii="Arial" w:hAnsi="Arial"/>
                <w:b w:val="0"/>
                <w:color w:val="17324D"/>
                <w:sz w:val="16"/>
              </w:rPr>
              <w:t>Run from the selected bootstrap or env directory.</w:t>
            </w:r>
          </w:p>
        </w:tc>
      </w:tr>
      <w:tr>
        <w:trPr>
          <w:cantSplit/>
        </w:trPr>
        <w:tc>
          <w:tcPr>
            <w:tcW w:type="dxa" w:w="3096"/>
            <w:vAlign w:val="center"/>
          </w:tcPr>
          <w:p>
            <w:pPr>
              <w:spacing w:after="20"/>
            </w:pPr>
            <w:r>
              <w:rPr>
                <w:rFonts w:ascii="Arial" w:hAnsi="Arial"/>
                <w:b w:val="0"/>
                <w:color w:val="17324D"/>
                <w:sz w:val="16"/>
              </w:rPr>
              <w:t>terraform validate</w:t>
            </w:r>
          </w:p>
        </w:tc>
        <w:tc>
          <w:tcPr>
            <w:tcW w:type="dxa" w:w="3672"/>
            <w:vAlign w:val="center"/>
          </w:tcPr>
          <w:p>
            <w:pPr>
              <w:spacing w:after="20"/>
            </w:pPr>
            <w:r>
              <w:rPr>
                <w:rFonts w:ascii="Arial" w:hAnsi="Arial"/>
                <w:b w:val="0"/>
                <w:color w:val="17324D"/>
                <w:sz w:val="16"/>
              </w:rPr>
              <w:t>Checks configuration structure and provider schemas.</w:t>
            </w:r>
          </w:p>
        </w:tc>
        <w:tc>
          <w:tcPr>
            <w:tcW w:type="dxa" w:w="2880"/>
            <w:vAlign w:val="center"/>
          </w:tcPr>
          <w:p>
            <w:pPr>
              <w:spacing w:after="20"/>
            </w:pPr>
            <w:r>
              <w:rPr>
                <w:rFonts w:ascii="Arial" w:hAnsi="Arial"/>
                <w:b w:val="0"/>
                <w:color w:val="17324D"/>
                <w:sz w:val="16"/>
              </w:rPr>
              <w:t>Usually after init; CI may use -backend=false for validation only.</w:t>
            </w:r>
          </w:p>
        </w:tc>
      </w:tr>
      <w:tr>
        <w:trPr>
          <w:cantSplit/>
        </w:trPr>
        <w:tc>
          <w:tcPr>
            <w:tcW w:type="dxa" w:w="3096"/>
            <w:vAlign w:val="center"/>
            <w:shd w:fill="F3F6F8"/>
          </w:tcPr>
          <w:p>
            <w:pPr>
              <w:spacing w:after="20"/>
            </w:pPr>
            <w:r>
              <w:rPr>
                <w:rFonts w:ascii="Arial" w:hAnsi="Arial"/>
                <w:b w:val="0"/>
                <w:color w:val="17324D"/>
                <w:sz w:val="16"/>
              </w:rPr>
              <w:t>terraform plan -out=dev.tfplan</w:t>
            </w:r>
          </w:p>
        </w:tc>
        <w:tc>
          <w:tcPr>
            <w:tcW w:type="dxa" w:w="3672"/>
            <w:vAlign w:val="center"/>
            <w:shd w:fill="F3F6F8"/>
          </w:tcPr>
          <w:p>
            <w:pPr>
              <w:spacing w:after="20"/>
            </w:pPr>
            <w:r>
              <w:rPr>
                <w:rFonts w:ascii="Arial" w:hAnsi="Arial"/>
                <w:b w:val="0"/>
                <w:color w:val="17324D"/>
                <w:sz w:val="16"/>
              </w:rPr>
              <w:t>Shows proposed changes and saves the exact plan.</w:t>
            </w:r>
          </w:p>
        </w:tc>
        <w:tc>
          <w:tcPr>
            <w:tcW w:type="dxa" w:w="2880"/>
            <w:vAlign w:val="center"/>
            <w:shd w:fill="F3F6F8"/>
          </w:tcPr>
          <w:p>
            <w:pPr>
              <w:spacing w:after="20"/>
            </w:pPr>
            <w:r>
              <w:rPr>
                <w:rFonts w:ascii="Arial" w:hAnsi="Arial"/>
                <w:b w:val="0"/>
                <w:color w:val="17324D"/>
                <w:sz w:val="16"/>
              </w:rPr>
              <w:t>Review adds, updates, and destroys before apply.</w:t>
            </w:r>
          </w:p>
        </w:tc>
      </w:tr>
      <w:tr>
        <w:trPr>
          <w:cantSplit/>
        </w:trPr>
        <w:tc>
          <w:tcPr>
            <w:tcW w:type="dxa" w:w="3096"/>
            <w:vAlign w:val="center"/>
          </w:tcPr>
          <w:p>
            <w:pPr>
              <w:spacing w:after="20"/>
            </w:pPr>
            <w:r>
              <w:rPr>
                <w:rFonts w:ascii="Arial" w:hAnsi="Arial"/>
                <w:b w:val="0"/>
                <w:color w:val="17324D"/>
                <w:sz w:val="16"/>
              </w:rPr>
              <w:t>terraform apply dev.tfplan</w:t>
            </w:r>
          </w:p>
        </w:tc>
        <w:tc>
          <w:tcPr>
            <w:tcW w:type="dxa" w:w="3672"/>
            <w:vAlign w:val="center"/>
          </w:tcPr>
          <w:p>
            <w:pPr>
              <w:spacing w:after="20"/>
            </w:pPr>
            <w:r>
              <w:rPr>
                <w:rFonts w:ascii="Arial" w:hAnsi="Arial"/>
                <w:b w:val="0"/>
                <w:color w:val="17324D"/>
                <w:sz w:val="16"/>
              </w:rPr>
              <w:t>Applies the reviewed plan.</w:t>
            </w:r>
          </w:p>
        </w:tc>
        <w:tc>
          <w:tcPr>
            <w:tcW w:type="dxa" w:w="2880"/>
            <w:vAlign w:val="center"/>
          </w:tcPr>
          <w:p>
            <w:pPr>
              <w:spacing w:after="20"/>
            </w:pPr>
            <w:r>
              <w:rPr>
                <w:rFonts w:ascii="Arial" w:hAnsi="Arial"/>
                <w:b w:val="0"/>
                <w:color w:val="17324D"/>
                <w:sz w:val="16"/>
              </w:rPr>
              <w:t>Requires valid AWS permissions and correct remote state.</w:t>
            </w:r>
          </w:p>
        </w:tc>
      </w:tr>
      <w:tr>
        <w:trPr>
          <w:cantSplit/>
        </w:trPr>
        <w:tc>
          <w:tcPr>
            <w:tcW w:type="dxa" w:w="3096"/>
            <w:vAlign w:val="center"/>
            <w:shd w:fill="F3F6F8"/>
          </w:tcPr>
          <w:p>
            <w:pPr>
              <w:spacing w:after="20"/>
            </w:pPr>
            <w:r>
              <w:rPr>
                <w:rFonts w:ascii="Arial" w:hAnsi="Arial"/>
                <w:b w:val="0"/>
                <w:color w:val="17324D"/>
                <w:sz w:val="16"/>
              </w:rPr>
              <w:t>terraform output</w:t>
            </w:r>
          </w:p>
        </w:tc>
        <w:tc>
          <w:tcPr>
            <w:tcW w:type="dxa" w:w="3672"/>
            <w:vAlign w:val="center"/>
            <w:shd w:fill="F3F6F8"/>
          </w:tcPr>
          <w:p>
            <w:pPr>
              <w:spacing w:after="20"/>
            </w:pPr>
            <w:r>
              <w:rPr>
                <w:rFonts w:ascii="Arial" w:hAnsi="Arial"/>
                <w:b w:val="0"/>
                <w:color w:val="17324D"/>
                <w:sz w:val="16"/>
              </w:rPr>
              <w:t>Displays declared output values, including CloudFront host and Route 53 nameservers.</w:t>
            </w:r>
          </w:p>
        </w:tc>
        <w:tc>
          <w:tcPr>
            <w:tcW w:type="dxa" w:w="2880"/>
            <w:vAlign w:val="center"/>
            <w:shd w:fill="F3F6F8"/>
          </w:tcPr>
          <w:p>
            <w:pPr>
              <w:spacing w:after="20"/>
            </w:pPr>
            <w:r>
              <w:rPr>
                <w:rFonts w:ascii="Arial" w:hAnsi="Arial"/>
                <w:b w:val="0"/>
                <w:color w:val="17324D"/>
                <w:sz w:val="16"/>
              </w:rPr>
              <w:t>Do not confuse a hosted zone output with active domain delegation.</w:t>
            </w:r>
          </w:p>
        </w:tc>
      </w:tr>
    </w:tbl>
    <w:p>
      <w:pPr>
        <w:spacing w:after="40"/>
      </w:pPr>
      <w:r>
        <w:rPr>
          <w:rFonts w:ascii="Arial" w:hAnsi="Arial"/>
          <w:b w:val="0"/>
          <w:color w:val="17324D"/>
          <w:sz w:val="20"/>
        </w:rPr>
      </w:r>
    </w:p>
    <w:p>
      <w:pPr>
        <w:pStyle w:val="Heading1"/>
      </w:pPr>
      <w:r>
        <w:rPr>
          <w:rFonts w:ascii="Arial" w:hAnsi="Arial"/>
          <w:b/>
          <w:color w:val="17324D"/>
          <w:sz w:val="32"/>
        </w:rPr>
        <w:t>3. Resources created for dev</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088"/>
            <w:vAlign w:val="center"/>
            <w:shd w:fill="17324D"/>
          </w:tcPr>
          <w:p>
            <w:pPr>
              <w:keepNext/>
              <w:spacing w:after="20"/>
            </w:pPr>
            <w:r>
              <w:rPr>
                <w:rFonts w:ascii="Arial" w:hAnsi="Arial"/>
                <w:b/>
                <w:color w:val="FFFFFF"/>
                <w:sz w:val="18"/>
              </w:rPr>
              <w:t>AWS service</w:t>
            </w:r>
          </w:p>
        </w:tc>
        <w:tc>
          <w:tcPr>
            <w:tcW w:type="dxa" w:w="3816"/>
            <w:vAlign w:val="center"/>
            <w:shd w:fill="17324D"/>
          </w:tcPr>
          <w:p>
            <w:pPr>
              <w:keepNext/>
              <w:spacing w:after="20"/>
            </w:pPr>
            <w:r>
              <w:rPr>
                <w:rFonts w:ascii="Arial" w:hAnsi="Arial"/>
                <w:b/>
                <w:color w:val="FFFFFF"/>
                <w:sz w:val="18"/>
              </w:rPr>
              <w:t>Role in the architecture</w:t>
            </w:r>
          </w:p>
        </w:tc>
        <w:tc>
          <w:tcPr>
            <w:tcW w:type="dxa" w:w="3744"/>
            <w:vAlign w:val="center"/>
            <w:shd w:fill="17324D"/>
          </w:tcPr>
          <w:p>
            <w:pPr>
              <w:keepNext/>
              <w:spacing w:after="20"/>
            </w:pPr>
            <w:r>
              <w:rPr>
                <w:rFonts w:ascii="Arial" w:hAnsi="Arial"/>
                <w:b/>
                <w:color w:val="FFFFFF"/>
                <w:sz w:val="18"/>
              </w:rPr>
              <w:t>Recorded state</w:t>
            </w:r>
          </w:p>
        </w:tc>
      </w:tr>
      <w:tr>
        <w:trPr>
          <w:cantSplit/>
        </w:trPr>
        <w:tc>
          <w:tcPr>
            <w:tcW w:type="dxa" w:w="2088"/>
            <w:vAlign w:val="center"/>
          </w:tcPr>
          <w:p>
            <w:pPr>
              <w:keepLines/>
              <w:spacing w:after="20"/>
            </w:pPr>
            <w:r>
              <w:rPr>
                <w:rFonts w:ascii="Arial" w:hAnsi="Arial"/>
                <w:b w:val="0"/>
                <w:color w:val="17324D"/>
                <w:sz w:val="16"/>
              </w:rPr>
              <w:t>VPC and networking</w:t>
            </w:r>
          </w:p>
        </w:tc>
        <w:tc>
          <w:tcPr>
            <w:tcW w:type="dxa" w:w="3816"/>
            <w:vAlign w:val="center"/>
          </w:tcPr>
          <w:p>
            <w:pPr>
              <w:keepLines/>
              <w:spacing w:after="20"/>
            </w:pPr>
            <w:r>
              <w:rPr>
                <w:rFonts w:ascii="Arial" w:hAnsi="Arial"/>
                <w:b w:val="0"/>
                <w:color w:val="17324D"/>
                <w:sz w:val="16"/>
              </w:rPr>
              <w:t>Two availability zones, public and private subnets, route tables, outbound NAT, security groups, and S3 gateway endpoint.</w:t>
            </w:r>
          </w:p>
        </w:tc>
        <w:tc>
          <w:tcPr>
            <w:tcW w:type="dxa" w:w="3744"/>
            <w:vAlign w:val="center"/>
          </w:tcPr>
          <w:p>
            <w:pPr>
              <w:keepLines/>
              <w:spacing w:after="20"/>
            </w:pPr>
            <w:r>
              <w:rPr>
                <w:rFonts w:ascii="Arial" w:hAnsi="Arial"/>
                <w:b w:val="0"/>
                <w:color w:val="17324D"/>
                <w:sz w:val="16"/>
              </w:rPr>
              <w:t>Provisioned through Terraform for the dev platform.</w:t>
            </w:r>
          </w:p>
        </w:tc>
      </w:tr>
      <w:tr>
        <w:trPr>
          <w:cantSplit/>
        </w:trPr>
        <w:tc>
          <w:tcPr>
            <w:tcW w:type="dxa" w:w="2088"/>
            <w:vAlign w:val="center"/>
            <w:shd w:fill="F3F6F8"/>
          </w:tcPr>
          <w:p>
            <w:pPr>
              <w:spacing w:after="20"/>
            </w:pPr>
            <w:r>
              <w:rPr>
                <w:rFonts w:ascii="Arial" w:hAnsi="Arial"/>
                <w:b w:val="0"/>
                <w:color w:val="17324D"/>
                <w:sz w:val="16"/>
              </w:rPr>
              <w:t>Application Load Balancer</w:t>
            </w:r>
          </w:p>
        </w:tc>
        <w:tc>
          <w:tcPr>
            <w:tcW w:type="dxa" w:w="3816"/>
            <w:vAlign w:val="center"/>
            <w:shd w:fill="F3F6F8"/>
          </w:tcPr>
          <w:p>
            <w:pPr>
              <w:spacing w:after="20"/>
            </w:pPr>
            <w:r>
              <w:rPr>
                <w:rFonts w:ascii="Arial" w:hAnsi="Arial"/>
                <w:b w:val="0"/>
                <w:color w:val="17324D"/>
                <w:sz w:val="16"/>
              </w:rPr>
              <w:t>Receives API requests from CloudFront and forwards them to healthy ECS tasks.</w:t>
            </w:r>
          </w:p>
        </w:tc>
        <w:tc>
          <w:tcPr>
            <w:tcW w:type="dxa" w:w="3744"/>
            <w:vAlign w:val="center"/>
            <w:shd w:fill="F3F6F8"/>
          </w:tcPr>
          <w:p>
            <w:pPr>
              <w:spacing w:after="20"/>
            </w:pPr>
            <w:r>
              <w:rPr>
                <w:rFonts w:ascii="Arial" w:hAnsi="Arial"/>
                <w:b w:val="0"/>
                <w:color w:val="17324D"/>
                <w:sz w:val="16"/>
              </w:rPr>
              <w:t>Included in the platform resources.</w:t>
            </w:r>
          </w:p>
        </w:tc>
      </w:tr>
      <w:tr>
        <w:trPr>
          <w:cantSplit/>
        </w:trPr>
        <w:tc>
          <w:tcPr>
            <w:tcW w:type="dxa" w:w="2088"/>
            <w:vAlign w:val="center"/>
          </w:tcPr>
          <w:p>
            <w:pPr>
              <w:spacing w:after="20"/>
            </w:pPr>
            <w:r>
              <w:rPr>
                <w:rFonts w:ascii="Arial" w:hAnsi="Arial"/>
                <w:b w:val="0"/>
                <w:color w:val="17324D"/>
                <w:sz w:val="16"/>
              </w:rPr>
              <w:t>ECS Fargate and ECR</w:t>
            </w:r>
          </w:p>
        </w:tc>
        <w:tc>
          <w:tcPr>
            <w:tcW w:type="dxa" w:w="3816"/>
            <w:vAlign w:val="center"/>
          </w:tcPr>
          <w:p>
            <w:pPr>
              <w:spacing w:after="20"/>
            </w:pPr>
            <w:r>
              <w:rPr>
                <w:rFonts w:ascii="Arial" w:hAnsi="Arial"/>
                <w:b w:val="0"/>
                <w:color w:val="17324D"/>
                <w:sz w:val="16"/>
              </w:rPr>
              <w:t>Runs the FastAPI API without managing EC2 hosts; ECR stores versioned API images.</w:t>
            </w:r>
          </w:p>
        </w:tc>
        <w:tc>
          <w:tcPr>
            <w:tcW w:type="dxa" w:w="3744"/>
            <w:vAlign w:val="center"/>
          </w:tcPr>
          <w:p>
            <w:pPr>
              <w:spacing w:after="20"/>
            </w:pPr>
            <w:r>
              <w:rPr>
                <w:rFonts w:ascii="Arial" w:hAnsi="Arial"/>
                <w:b w:val="0"/>
                <w:color w:val="17324D"/>
                <w:sz w:val="16"/>
              </w:rPr>
              <w:t>Cluster/service and image repository were created; deployments use task definitions.</w:t>
            </w:r>
          </w:p>
        </w:tc>
      </w:tr>
      <w:tr>
        <w:trPr>
          <w:cantSplit/>
        </w:trPr>
        <w:tc>
          <w:tcPr>
            <w:tcW w:type="dxa" w:w="2088"/>
            <w:vAlign w:val="center"/>
            <w:shd w:fill="F3F6F8"/>
          </w:tcPr>
          <w:p>
            <w:pPr>
              <w:spacing w:after="20"/>
            </w:pPr>
            <w:r>
              <w:rPr>
                <w:rFonts w:ascii="Arial" w:hAnsi="Arial"/>
                <w:b w:val="0"/>
                <w:color w:val="17324D"/>
                <w:sz w:val="16"/>
              </w:rPr>
              <w:t>RDS PostgreSQL</w:t>
            </w:r>
          </w:p>
        </w:tc>
        <w:tc>
          <w:tcPr>
            <w:tcW w:type="dxa" w:w="3816"/>
            <w:vAlign w:val="center"/>
            <w:shd w:fill="F3F6F8"/>
          </w:tcPr>
          <w:p>
            <w:pPr>
              <w:spacing w:after="20"/>
            </w:pPr>
            <w:r>
              <w:rPr>
                <w:rFonts w:ascii="Arial" w:hAnsi="Arial"/>
                <w:b w:val="0"/>
                <w:color w:val="17324D"/>
                <w:sz w:val="16"/>
              </w:rPr>
              <w:t>Private application database.</w:t>
            </w:r>
          </w:p>
        </w:tc>
        <w:tc>
          <w:tcPr>
            <w:tcW w:type="dxa" w:w="3744"/>
            <w:vAlign w:val="center"/>
            <w:shd w:fill="F3F6F8"/>
          </w:tcPr>
          <w:p>
            <w:pPr>
              <w:spacing w:after="20"/>
            </w:pPr>
            <w:r>
              <w:rPr>
                <w:rFonts w:ascii="Arial" w:hAnsi="Arial"/>
                <w:b w:val="0"/>
                <w:color w:val="17324D"/>
                <w:sz w:val="16"/>
              </w:rPr>
              <w:t>PostgreSQL 18.3, db.t3.micro, single AZ, 20 GiB gp2; automated backup retention is zero by explicit approval.</w:t>
            </w:r>
          </w:p>
        </w:tc>
      </w:tr>
      <w:tr>
        <w:trPr>
          <w:cantSplit/>
        </w:trPr>
        <w:tc>
          <w:tcPr>
            <w:tcW w:type="dxa" w:w="2088"/>
            <w:vAlign w:val="center"/>
          </w:tcPr>
          <w:p>
            <w:pPr>
              <w:spacing w:after="20"/>
            </w:pPr>
            <w:r>
              <w:rPr>
                <w:rFonts w:ascii="Arial" w:hAnsi="Arial"/>
                <w:b w:val="0"/>
                <w:color w:val="17324D"/>
                <w:sz w:val="16"/>
              </w:rPr>
              <w:t>S3 frontend and uploads</w:t>
            </w:r>
          </w:p>
        </w:tc>
        <w:tc>
          <w:tcPr>
            <w:tcW w:type="dxa" w:w="3816"/>
            <w:vAlign w:val="center"/>
          </w:tcPr>
          <w:p>
            <w:pPr>
              <w:spacing w:after="20"/>
            </w:pPr>
            <w:r>
              <w:rPr>
                <w:rFonts w:ascii="Arial" w:hAnsi="Arial"/>
                <w:b w:val="0"/>
                <w:color w:val="17324D"/>
                <w:sz w:val="16"/>
              </w:rPr>
              <w:t>Private static-site origin and private user-document storage.</w:t>
            </w:r>
          </w:p>
        </w:tc>
        <w:tc>
          <w:tcPr>
            <w:tcW w:type="dxa" w:w="3744"/>
            <w:vAlign w:val="center"/>
          </w:tcPr>
          <w:p>
            <w:pPr>
              <w:spacing w:after="20"/>
            </w:pPr>
            <w:r>
              <w:t>The frontend bucket is private and served through CloudFront OAC; the uploads bucket is private. Migration counts differed across historical notes, so run a fresh object inventory before treating totals as a final audit.</w:t>
            </w:r>
          </w:p>
        </w:tc>
      </w:tr>
      <w:tr>
        <w:trPr>
          <w:cantSplit/>
        </w:trPr>
        <w:tc>
          <w:tcPr>
            <w:tcW w:type="dxa" w:w="2088"/>
            <w:vAlign w:val="center"/>
            <w:shd w:fill="F3F6F8"/>
          </w:tcPr>
          <w:p>
            <w:pPr>
              <w:spacing w:after="20"/>
            </w:pPr>
            <w:r>
              <w:rPr>
                <w:rFonts w:ascii="Arial" w:hAnsi="Arial"/>
                <w:b w:val="0"/>
                <w:color w:val="17324D"/>
                <w:sz w:val="16"/>
              </w:rPr>
              <w:t>CloudFront and WAF</w:t>
            </w:r>
          </w:p>
        </w:tc>
        <w:tc>
          <w:tcPr>
            <w:tcW w:type="dxa" w:w="3816"/>
            <w:vAlign w:val="center"/>
            <w:shd w:fill="F3F6F8"/>
          </w:tcPr>
          <w:p>
            <w:pPr>
              <w:spacing w:after="20"/>
            </w:pPr>
            <w:r>
              <w:rPr>
                <w:rFonts w:ascii="Arial" w:hAnsi="Arial"/>
                <w:b w:val="0"/>
                <w:color w:val="17324D"/>
                <w:sz w:val="16"/>
              </w:rPr>
              <w:t>Delivers static files, routes /api paths, and filters web traffic.</w:t>
            </w:r>
          </w:p>
        </w:tc>
        <w:tc>
          <w:tcPr>
            <w:tcW w:type="dxa" w:w="3744"/>
            <w:vAlign w:val="center"/>
            <w:shd w:fill="F3F6F8"/>
          </w:tcPr>
          <w:p>
            <w:pPr>
              <w:spacing w:after="20"/>
            </w:pPr>
            <w:r>
              <w:t>CloudFront is the public website entry point; WAF filters viewer traffic. Custom-domain support uses ACM in us-east-1 and CloudFront aliases; confirm current DNS and HTTPS response when troubleshooting.</w:t>
            </w:r>
          </w:p>
        </w:tc>
      </w:tr>
      <w:tr>
        <w:trPr>
          <w:cantSplit/>
        </w:trPr>
        <w:tc>
          <w:tcPr>
            <w:tcW w:type="dxa" w:w="2088"/>
            <w:vAlign w:val="center"/>
          </w:tcPr>
          <w:p>
            <w:pPr>
              <w:spacing w:after="20"/>
            </w:pPr>
            <w:r>
              <w:rPr>
                <w:rFonts w:ascii="Arial" w:hAnsi="Arial"/>
                <w:b w:val="0"/>
                <w:color w:val="17324D"/>
                <w:sz w:val="16"/>
              </w:rPr>
              <w:t>Secrets Manager</w:t>
            </w:r>
          </w:p>
        </w:tc>
        <w:tc>
          <w:tcPr>
            <w:tcW w:type="dxa" w:w="3816"/>
            <w:vAlign w:val="center"/>
          </w:tcPr>
          <w:p>
            <w:pPr>
              <w:spacing w:after="20"/>
            </w:pPr>
            <w:r>
              <w:rPr>
                <w:rFonts w:ascii="Arial" w:hAnsi="Arial"/>
                <w:b w:val="0"/>
                <w:color w:val="17324D"/>
                <w:sz w:val="16"/>
              </w:rPr>
              <w:t>Stores backend runtime values and public frontend build configuration separately.</w:t>
            </w:r>
          </w:p>
        </w:tc>
        <w:tc>
          <w:tcPr>
            <w:tcW w:type="dxa" w:w="3744"/>
            <w:vAlign w:val="center"/>
          </w:tcPr>
          <w:p>
            <w:pPr>
              <w:spacing w:after="20"/>
            </w:pPr>
            <w:r>
              <w:rPr>
                <w:rFonts w:ascii="Arial" w:hAnsi="Arial"/>
                <w:b w:val="0"/>
                <w:color w:val="17324D"/>
                <w:sz w:val="16"/>
              </w:rPr>
              <w:t>One backend secret and one frontend-config secret were configured.</w:t>
            </w:r>
          </w:p>
        </w:tc>
      </w:tr>
      <w:tr>
        <w:trPr>
          <w:cantSplit/>
        </w:trPr>
        <w:tc>
          <w:tcPr>
            <w:tcW w:type="dxa" w:w="2088"/>
            <w:vAlign w:val="center"/>
            <w:shd w:fill="F3F6F8"/>
          </w:tcPr>
          <w:p>
            <w:pPr>
              <w:spacing w:after="20"/>
            </w:pPr>
            <w:r>
              <w:rPr>
                <w:rFonts w:ascii="Arial" w:hAnsi="Arial"/>
                <w:b w:val="0"/>
                <w:color w:val="17324D"/>
                <w:sz w:val="16"/>
              </w:rPr>
              <w:t>CloudWatch</w:t>
            </w:r>
          </w:p>
        </w:tc>
        <w:tc>
          <w:tcPr>
            <w:tcW w:type="dxa" w:w="3816"/>
            <w:vAlign w:val="center"/>
            <w:shd w:fill="F3F6F8"/>
          </w:tcPr>
          <w:p>
            <w:pPr>
              <w:spacing w:after="20"/>
            </w:pPr>
            <w:r>
              <w:rPr>
                <w:rFonts w:ascii="Arial" w:hAnsi="Arial"/>
                <w:b w:val="0"/>
                <w:color w:val="17324D"/>
                <w:sz w:val="16"/>
              </w:rPr>
              <w:t>Stores container logs and supports alarms/monitoring.</w:t>
            </w:r>
          </w:p>
        </w:tc>
        <w:tc>
          <w:tcPr>
            <w:tcW w:type="dxa" w:w="3744"/>
            <w:vAlign w:val="center"/>
            <w:shd w:fill="F3F6F8"/>
          </w:tcPr>
          <w:p>
            <w:pPr>
              <w:spacing w:after="20"/>
            </w:pPr>
            <w:r>
              <w:rPr>
                <w:rFonts w:ascii="Arial" w:hAnsi="Arial"/>
                <w:b w:val="0"/>
                <w:color w:val="17324D"/>
                <w:sz w:val="16"/>
              </w:rPr>
              <w:t>Included in the platform deployment configuration.</w:t>
            </w:r>
          </w:p>
        </w:tc>
      </w:tr>
      <w:tr>
        <w:trPr>
          <w:cantSplit/>
        </w:trPr>
        <w:tc>
          <w:tcPr>
            <w:tcW w:type="dxa" w:w="2088"/>
            <w:vAlign w:val="center"/>
          </w:tcPr>
          <w:p>
            <w:pPr>
              <w:spacing w:after="20"/>
            </w:pPr>
            <w:r>
              <w:rPr>
                <w:rFonts w:ascii="Arial" w:hAnsi="Arial"/>
                <w:b w:val="0"/>
                <w:color w:val="17324D"/>
                <w:sz w:val="16"/>
              </w:rPr>
              <w:t>Route 53</w:t>
            </w:r>
          </w:p>
        </w:tc>
        <w:tc>
          <w:tcPr>
            <w:tcW w:type="dxa" w:w="3816"/>
            <w:vAlign w:val="center"/>
          </w:tcPr>
          <w:p>
            <w:pPr>
              <w:spacing w:after="20"/>
            </w:pPr>
            <w:r>
              <w:t>Hosts the public DNS zone and provides records that resolve the site to CloudFront.</w:t>
            </w:r>
          </w:p>
        </w:tc>
        <w:tc>
          <w:tcPr>
            <w:tcW w:type="dxa" w:w="3744"/>
            <w:vAlign w:val="center"/>
          </w:tcPr>
          <w:p>
            <w:pPr>
              <w:spacing w:after="20"/>
            </w:pPr>
            <w:r>
              <w:t>The public zone and website aliases are managed in Route 53; GoDaddy remains registrar and delegates the domain to the zone's nameservers. Confirm live DNS resolution independently when needed.</w:t>
            </w:r>
          </w:p>
        </w:tc>
      </w:tr>
    </w:tbl>
    <w:p>
      <w:pPr>
        <w:spacing w:after="40"/>
      </w:pPr>
      <w:r>
        <w:rPr>
          <w:rFonts w:ascii="Arial" w:hAnsi="Arial"/>
          <w:b w:val="0"/>
          <w:color w:val="17324D"/>
          <w:sz w:val="20"/>
        </w:rPr>
      </w:r>
    </w:p>
    <w:p>
      <w:pPr>
        <w:pStyle w:val="Heading1"/>
      </w:pPr>
      <w:r>
        <w:rPr>
          <w:rFonts w:ascii="Arial" w:hAnsi="Arial"/>
          <w:b/>
          <w:color w:val="17324D"/>
          <w:sz w:val="32"/>
        </w:rPr>
        <w:t>4. Database and object migration</w:t>
      </w:r>
    </w:p>
    <w:p>
      <w:pPr>
        <w:pStyle w:val="ListNumber"/>
        <w:spacing w:after="60"/>
      </w:pPr>
      <w:r>
        <w:rPr>
          <w:rFonts w:ascii="Arial" w:hAnsi="Arial"/>
          <w:b w:val="0"/>
          <w:color w:val="17324D"/>
          <w:sz w:val="20"/>
        </w:rPr>
        <w:t>The old AWS account was accessed through the separate personal profile in ap-south-1. The new dev account was the target in us-east-2. The source account was not converted into Terraform-managed infrastructure.</w:t>
      </w:r>
    </w:p>
    <w:p>
      <w:pPr>
        <w:pStyle w:val="ListNumber"/>
        <w:spacing w:after="60"/>
      </w:pPr>
      <w:r>
        <w:rPr>
          <w:rFonts w:ascii="Arial" w:hAnsi="Arial"/>
          <w:b w:val="0"/>
          <w:color w:val="17324D"/>
          <w:sz w:val="20"/>
        </w:rPr>
        <w:t>The PostgreSQL data was exported from the old database and restored into the new single-AZ RDS database. The transfer used database-level table/data migration, not a Terraform resource import; Terraform manages the new RDS infrastructure, while database contents are migrated separately.</w:t>
      </w:r>
    </w:p>
    <w:p>
      <w:pPr>
        <w:pStyle w:val="ListNumber"/>
        <w:spacing w:after="60"/>
      </w:pPr>
      <w:r>
        <w:rPr>
          <w:rFonts w:ascii="Arial" w:hAnsi="Arial"/>
          <w:b w:val="0"/>
          <w:color w:val="17324D"/>
          <w:sz w:val="20"/>
        </w:rPr>
        <w:t>Verification compared the public table row counts. Thirty-five public tables were reported with matching counts between source and target at the migration check.</w:t>
      </w:r>
    </w:p>
    <w:p>
      <w:pPr>
        <w:pStyle w:val="ListNumber"/>
        <w:spacing w:after="60"/>
      </w:pPr>
      <w:r>
        <w:rPr>
          <w:rFonts w:ascii="Arial" w:hAnsi="Arial"/>
          <w:b w:val="0"/>
          <w:color w:val="17324D"/>
          <w:sz w:val="20"/>
        </w:rPr>
        <w:t>Application upload objects were copied from the old S3 bucket into the new uploads bucket. The latest deployment note recorded 23 objects totaling about 2.85 MB. The IaC README has an earlier 21-object / 2,578,172-byte total, so take a fresh bucket inventory before treating the object count as an audit result.</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Backup setting</w:t>
              <w:br/>
              <w:t>The new RDS instance was created with automated backups disabled because the account rejected the configured retention period and the user approved proceeding without automated backups. This removes automated point-in-time recovery. Confirm a tested manual snapshot policy before relying on this database for important data.</w:t>
            </w:r>
          </w:p>
        </w:tc>
      </w:tr>
    </w:tbl>
    <w:p>
      <w:pPr>
        <w:spacing w:after="40"/>
      </w:pPr>
      <w:r>
        <w:rPr>
          <w:rFonts w:ascii="Arial" w:hAnsi="Arial"/>
          <w:b w:val="0"/>
          <w:color w:val="17324D"/>
          <w:sz w:val="20"/>
        </w:rPr>
      </w:r>
    </w:p>
    <w:p>
      <w:pPr>
        <w:pStyle w:val="Heading1"/>
      </w:pPr>
      <w:r>
        <w:rPr>
          <w:rFonts w:ascii="Arial" w:hAnsi="Arial"/>
          <w:b/>
          <w:color w:val="17324D"/>
          <w:sz w:val="32"/>
        </w:rPr>
        <w:t>5. Application deployment flow</w:t>
      </w:r>
    </w:p>
    <w:p>
      <w:pPr>
        <w:spacing w:after="80"/>
      </w:pPr>
      <w:r>
        <w:rPr>
          <w:rFonts w:ascii="Arial" w:hAnsi="Arial"/>
          <w:b w:val="0"/>
          <w:color w:val="17324D"/>
          <w:sz w:val="20"/>
        </w:rPr>
        <w:t>The intended dev release path is:</w:t>
      </w:r>
    </w:p>
    <w:tbl>
      <w:tblPr>
        <w:tblStyle w:val="TableGrid"/>
        <w:tblW w:type="auto" w:w="0"/>
        <w:jc w:val="center"/>
        <w:tblLook w:firstColumn="1" w:firstRow="1" w:lastColumn="0" w:lastRow="0" w:noHBand="0" w:noVBand="1" w:val="04A0"/>
      </w:tblPr>
      <w:tblGrid>
        <w:gridCol w:w="5083"/>
        <w:gridCol w:w="5083"/>
      </w:tblGrid>
      <w:tr>
        <w:trPr>
          <w:tblHeader w:val="true"/>
          <w:tblHeader w:val="true"/>
          <w:cantSplit/>
        </w:trPr>
        <w:tc>
          <w:tcPr>
            <w:tcW w:type="dxa" w:w="1008"/>
            <w:vAlign w:val="center"/>
            <w:shd w:fill="17324D"/>
          </w:tcPr>
          <w:p>
            <w:pPr>
              <w:keepNext/>
              <w:spacing w:after="20"/>
            </w:pPr>
            <w:r>
              <w:rPr>
                <w:rFonts w:ascii="Arial" w:hAnsi="Arial"/>
                <w:b/>
                <w:color w:val="FFFFFF"/>
                <w:sz w:val="18"/>
              </w:rPr>
              <w:t>Order</w:t>
            </w:r>
          </w:p>
        </w:tc>
        <w:tc>
          <w:tcPr>
            <w:tcW w:type="dxa" w:w="8640"/>
            <w:vAlign w:val="center"/>
            <w:shd w:fill="17324D"/>
          </w:tcPr>
          <w:p>
            <w:pPr>
              <w:keepNext/>
              <w:spacing w:after="20"/>
            </w:pPr>
            <w:r>
              <w:rPr>
                <w:rFonts w:ascii="Arial" w:hAnsi="Arial"/>
                <w:b/>
                <w:color w:val="FFFFFF"/>
                <w:sz w:val="18"/>
              </w:rPr>
              <w:t>Action</w:t>
            </w:r>
          </w:p>
        </w:tc>
      </w:tr>
      <w:tr>
        <w:trPr>
          <w:cantSplit/>
        </w:trPr>
        <w:tc>
          <w:tcPr>
            <w:tcW w:type="dxa" w:w="1008"/>
            <w:vAlign w:val="center"/>
          </w:tcPr>
          <w:p>
            <w:pPr>
              <w:keepLines/>
              <w:spacing w:after="20"/>
            </w:pPr>
            <w:r>
              <w:rPr>
                <w:rFonts w:ascii="Arial" w:hAnsi="Arial"/>
                <w:b w:val="0"/>
                <w:color w:val="17324D"/>
                <w:sz w:val="16"/>
              </w:rPr>
              <w:t>1</w:t>
            </w:r>
          </w:p>
        </w:tc>
        <w:tc>
          <w:tcPr>
            <w:tcW w:type="dxa" w:w="8640"/>
            <w:vAlign w:val="center"/>
          </w:tcPr>
          <w:p>
            <w:pPr>
              <w:keepLines/>
              <w:spacing w:after="20"/>
            </w:pPr>
            <w:r>
              <w:t>A pull request to dev runs validation and builds the API Docker image without publishing. It does not apply Terraform or deploy the app.</w:t>
            </w:r>
          </w:p>
        </w:tc>
      </w:tr>
      <w:tr>
        <w:trPr>
          <w:cantSplit/>
        </w:trPr>
        <w:tc>
          <w:tcPr>
            <w:tcW w:type="dxa" w:w="1008"/>
            <w:vAlign w:val="center"/>
            <w:shd w:fill="F3F6F8"/>
          </w:tcPr>
          <w:p>
            <w:pPr>
              <w:spacing w:after="20"/>
            </w:pPr>
            <w:r>
              <w:rPr>
                <w:rFonts w:ascii="Arial" w:hAnsi="Arial"/>
                <w:b w:val="0"/>
                <w:color w:val="17324D"/>
                <w:sz w:val="16"/>
              </w:rPr>
              <w:t>2</w:t>
            </w:r>
          </w:p>
        </w:tc>
        <w:tc>
          <w:tcPr>
            <w:tcW w:type="dxa" w:w="8640"/>
            <w:vAlign w:val="center"/>
            <w:shd w:fill="F3F6F8"/>
          </w:tcPr>
          <w:p>
            <w:pPr>
              <w:spacing w:after="20"/>
            </w:pPr>
            <w:r>
              <w:t>After merge, a push to dev publishes an immutable commit-SHA API image to the dev ECR repository.</w:t>
            </w:r>
          </w:p>
        </w:tc>
      </w:tr>
      <w:tr>
        <w:trPr>
          <w:cantSplit/>
        </w:trPr>
        <w:tc>
          <w:tcPr>
            <w:tcW w:type="dxa" w:w="1008"/>
            <w:vAlign w:val="center"/>
          </w:tcPr>
          <w:p>
            <w:pPr>
              <w:spacing w:after="20"/>
            </w:pPr>
            <w:r>
              <w:rPr>
                <w:rFonts w:ascii="Arial" w:hAnsi="Arial"/>
                <w:b w:val="0"/>
                <w:color w:val="17324D"/>
                <w:sz w:val="16"/>
              </w:rPr>
              <w:t>3</w:t>
            </w:r>
          </w:p>
        </w:tc>
        <w:tc>
          <w:tcPr>
            <w:tcW w:type="dxa" w:w="8640"/>
            <w:vAlign w:val="center"/>
          </w:tcPr>
          <w:p>
            <w:pPr>
              <w:spacing w:after="20"/>
            </w:pPr>
            <w:r>
              <w:rPr>
                <w:rFonts w:ascii="Arial" w:hAnsi="Arial"/>
                <w:b w:val="0"/>
                <w:color w:val="17324D"/>
                <w:sz w:val="16"/>
              </w:rPr>
              <w:t>The deployment job registers a task definition using that image while retaining required task-definition tags.</w:t>
            </w:r>
          </w:p>
        </w:tc>
      </w:tr>
      <w:tr>
        <w:trPr>
          <w:cantSplit/>
        </w:trPr>
        <w:tc>
          <w:tcPr>
            <w:tcW w:type="dxa" w:w="1008"/>
            <w:vAlign w:val="center"/>
            <w:shd w:fill="F3F6F8"/>
          </w:tcPr>
          <w:p>
            <w:pPr>
              <w:spacing w:after="20"/>
            </w:pPr>
            <w:r>
              <w:rPr>
                <w:rFonts w:ascii="Arial" w:hAnsi="Arial"/>
                <w:b w:val="0"/>
                <w:color w:val="17324D"/>
                <w:sz w:val="16"/>
              </w:rPr>
              <w:t>4</w:t>
            </w:r>
          </w:p>
        </w:tc>
        <w:tc>
          <w:tcPr>
            <w:tcW w:type="dxa" w:w="8640"/>
            <w:vAlign w:val="center"/>
            <w:shd w:fill="F3F6F8"/>
          </w:tcPr>
          <w:p>
            <w:pPr>
              <w:spacing w:after="20"/>
            </w:pPr>
            <w:r>
              <w:rPr>
                <w:rFonts w:ascii="Arial" w:hAnsi="Arial"/>
                <w:b w:val="0"/>
                <w:color w:val="17324D"/>
                <w:sz w:val="16"/>
              </w:rPr>
              <w:t>ECS runs Alembic migrations as a one-off Fargate task in the private subnets. The service is not updated if migrations fail.</w:t>
            </w:r>
          </w:p>
        </w:tc>
      </w:tr>
      <w:tr>
        <w:trPr>
          <w:cantSplit/>
        </w:trPr>
        <w:tc>
          <w:tcPr>
            <w:tcW w:type="dxa" w:w="1008"/>
            <w:vAlign w:val="center"/>
          </w:tcPr>
          <w:p>
            <w:pPr>
              <w:spacing w:after="20"/>
            </w:pPr>
            <w:r>
              <w:rPr>
                <w:rFonts w:ascii="Arial" w:hAnsi="Arial"/>
                <w:b w:val="0"/>
                <w:color w:val="17324D"/>
                <w:sz w:val="16"/>
              </w:rPr>
              <w:t>5</w:t>
            </w:r>
          </w:p>
        </w:tc>
        <w:tc>
          <w:tcPr>
            <w:tcW w:type="dxa" w:w="8640"/>
            <w:vAlign w:val="center"/>
          </w:tcPr>
          <w:p>
            <w:pPr>
              <w:spacing w:after="20"/>
            </w:pPr>
            <w:r>
              <w:rPr>
                <w:rFonts w:ascii="Arial" w:hAnsi="Arial"/>
                <w:b w:val="0"/>
                <w:color w:val="17324D"/>
                <w:sz w:val="16"/>
              </w:rPr>
              <w:t>The ECS service rolls out the new task definition and the workflow waits for a stable service.</w:t>
            </w:r>
          </w:p>
        </w:tc>
      </w:tr>
      <w:tr>
        <w:trPr>
          <w:cantSplit/>
        </w:trPr>
        <w:tc>
          <w:tcPr>
            <w:tcW w:type="dxa" w:w="1008"/>
            <w:vAlign w:val="center"/>
            <w:shd w:fill="F3F6F8"/>
          </w:tcPr>
          <w:p>
            <w:pPr>
              <w:spacing w:after="20"/>
            </w:pPr>
            <w:r>
              <w:rPr>
                <w:rFonts w:ascii="Arial" w:hAnsi="Arial"/>
                <w:b w:val="0"/>
                <w:color w:val="17324D"/>
                <w:sz w:val="16"/>
              </w:rPr>
              <w:t>6</w:t>
            </w:r>
          </w:p>
        </w:tc>
        <w:tc>
          <w:tcPr>
            <w:tcW w:type="dxa" w:w="8640"/>
            <w:vAlign w:val="center"/>
            <w:shd w:fill="F3F6F8"/>
          </w:tcPr>
          <w:p>
            <w:pPr>
              <w:spacing w:after="20"/>
            </w:pPr>
            <w:r>
              <w:rPr>
                <w:rFonts w:ascii="Arial" w:hAnsi="Arial"/>
                <w:b w:val="0"/>
                <w:color w:val="17324D"/>
                <w:sz w:val="16"/>
              </w:rPr>
              <w:t>The workflow loads public frontend API/WebSocket settings, builds the React bundle, syncs it to private S3, and invalidates CloudFront.</w:t>
            </w:r>
          </w:p>
        </w:tc>
      </w:tr>
    </w:tbl>
    <w:p>
      <w:pPr>
        <w:spacing w:after="40"/>
      </w:pPr>
      <w:r>
        <w:rPr>
          <w:rFonts w:ascii="Arial" w:hAnsi="Arial"/>
          <w:b w:val="0"/>
          <w:color w:val="17324D"/>
          <w:sz w:val="20"/>
        </w:rPr>
      </w:r>
    </w:p>
    <w:p>
      <w:pPr>
        <w:pStyle w:val="Heading1"/>
      </w:pPr>
      <w:r>
        <w:rPr>
          <w:rFonts w:ascii="Arial" w:hAnsi="Arial"/>
          <w:b/>
          <w:color w:val="17324D"/>
          <w:sz w:val="32"/>
        </w:rPr>
        <w:t>6. Validation results recorded</w:t>
      </w:r>
    </w:p>
    <w:p>
      <w:pPr>
        <w:pStyle w:val="ListBullet"/>
        <w:spacing w:after="60"/>
      </w:pPr>
      <w:r>
        <w:rPr>
          <w:rFonts w:ascii="Arial" w:hAnsi="Arial"/>
          <w:b w:val="0"/>
          <w:color w:val="17324D"/>
          <w:sz w:val="20"/>
        </w:rPr>
        <w:t>Terraform formatting and validation completed for the bootstrap and dev configurations. A later Terraform plan reported no changes against the then-current deployed infrastructure.</w:t>
      </w:r>
    </w:p>
    <w:p>
      <w:pPr>
        <w:pStyle w:val="ListBullet"/>
        <w:spacing w:after="60"/>
      </w:pPr>
      <w:r>
        <w:rPr>
          <w:rFonts w:ascii="Arial" w:hAnsi="Arial"/>
          <w:b w:val="0"/>
          <w:color w:val="17324D"/>
          <w:sz w:val="20"/>
        </w:rPr>
        <w:t>The API health endpoint on the CloudFront hostname returned HTTP 200 with a healthy JSON status during an earlier verification. The frontend root also returned HTTP 200 at that time.</w:t>
      </w:r>
    </w:p>
    <w:p>
      <w:pPr>
        <w:pStyle w:val="ListBullet"/>
        <w:spacing w:after="60"/>
      </w:pPr>
      <w:r>
        <w:t>The latest recorded Terraform dev workflow completed successfully: recursive formatting, bootstrap and dev validation, AWS account verification, remote-state initialization, plan, and apply all passed. This verifies the IaC deployment run; it does not by itself verify the separate application repository's most recent release or the public website's current response.</w:t>
      </w:r>
    </w:p>
    <w:p>
      <w:pPr>
        <w:pStyle w:val="ListBullet"/>
        <w:spacing w:after="60"/>
      </w:pPr>
      <w:r>
        <w:t>A direct ECS deployment preflight previously completed task registration, migration task, service update, and service stability checks after fixing the missing ecs:TagResource permission and the API security group lookup.</w:t>
      </w:r>
    </w:p>
    <w:p>
      <w:pPr>
        <w:pStyle w:val="Heading1"/>
      </w:pPr>
      <w:r>
        <w:t>7. Follow-up and operational checks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232"/>
            <w:vAlign w:val="center"/>
            <w:shd w:fill="17324D"/>
          </w:tcPr>
          <w:p>
            <w:pPr>
              <w:keepNext/>
              <w:spacing w:after="20"/>
            </w:pPr>
            <w:r>
              <w:rPr>
                <w:rFonts w:ascii="Arial" w:hAnsi="Arial"/>
                <w:b/>
                <w:color w:val="FFFFFF"/>
                <w:sz w:val="18"/>
              </w:rPr>
              <w:t>Item</w:t>
            </w:r>
          </w:p>
        </w:tc>
        <w:tc>
          <w:tcPr>
            <w:tcW w:type="dxa" w:w="3672"/>
            <w:vAlign w:val="center"/>
            <w:shd w:fill="17324D"/>
          </w:tcPr>
          <w:p>
            <w:pPr>
              <w:keepNext/>
              <w:spacing w:after="20"/>
            </w:pPr>
            <w:r>
              <w:rPr>
                <w:rFonts w:ascii="Arial" w:hAnsi="Arial"/>
                <w:b/>
                <w:color w:val="FFFFFF"/>
                <w:sz w:val="18"/>
              </w:rPr>
              <w:t>Why it is pending</w:t>
            </w:r>
          </w:p>
        </w:tc>
        <w:tc>
          <w:tcPr>
            <w:tcW w:type="dxa" w:w="3744"/>
            <w:vAlign w:val="center"/>
            <w:shd w:fill="17324D"/>
          </w:tcPr>
          <w:p>
            <w:pPr>
              <w:keepNext/>
              <w:spacing w:after="20"/>
            </w:pPr>
            <w:r>
              <w:rPr>
                <w:rFonts w:ascii="Arial" w:hAnsi="Arial"/>
                <w:b/>
                <w:color w:val="FFFFFF"/>
                <w:sz w:val="18"/>
              </w:rPr>
              <w:t>Next action</w:t>
            </w:r>
          </w:p>
        </w:tc>
      </w:tr>
      <w:tr>
        <w:trPr>
          <w:cantSplit/>
        </w:trPr>
        <w:tc>
          <w:tcPr>
            <w:tcW w:type="dxa" w:w="2232"/>
            <w:vAlign w:val="center"/>
          </w:tcPr>
          <w:p>
            <w:pPr>
              <w:keepLines/>
              <w:spacing w:after="20"/>
            </w:pPr>
            <w:r>
              <w:t>Migrate Terraform CI to OIDC</w:t>
            </w:r>
          </w:p>
        </w:tc>
        <w:tc>
          <w:tcPr>
            <w:tcW w:type="dxa" w:w="3672"/>
            <w:vAlign w:val="center"/>
          </w:tcPr>
          <w:p>
            <w:pPr>
              <w:keepLines/>
              <w:spacing w:after="20"/>
            </w:pPr>
            <w:r>
              <w:t>Organization-level OIDC is not currently enabled. The IaC pipeline uses a dedicated static-key IAM user stored in the IaC development environment.</w:t>
            </w:r>
          </w:p>
        </w:tc>
        <w:tc>
          <w:tcPr>
            <w:tcW w:type="dxa" w:w="3744"/>
            <w:vAlign w:val="center"/>
          </w:tcPr>
          <w:p>
            <w:pPr>
              <w:keepLines/>
              <w:spacing w:after="20"/>
            </w:pPr>
            <w:r>
              <w:t>When allowed, configure GitHub OIDC trust scoped to this repository and dev environment, switch the workflow to role assumption, then revoke the static IAM access key.</w:t>
            </w:r>
          </w:p>
        </w:tc>
      </w:tr>
      <w:tr>
        <w:trPr>
          <w:cantSplit/>
        </w:trPr>
        <w:tc>
          <w:tcPr>
            <w:tcW w:type="dxa" w:w="2232"/>
            <w:vAlign w:val="center"/>
            <w:shd w:fill="F3F6F8"/>
          </w:tcPr>
          <w:p>
            <w:r>
              <w:t>Verify application dev release</w:t>
            </w:r>
          </w:p>
        </w:tc>
        <w:tc>
          <w:tcPr>
            <w:tcW w:type="dxa" w:w="3672"/>
            <w:vAlign w:val="center"/>
            <w:shd w:fill="F3F6F8"/>
          </w:tcPr>
          <w:p>
            <w:r>
              <w:t>The successful Terraform run confirms infrastructure plan/apply, not the latest app deployment.</w:t>
            </w:r>
          </w:p>
        </w:tc>
        <w:tc>
          <w:tcPr>
            <w:tcW w:type="dxa" w:w="3744"/>
            <w:vAlign w:val="center"/>
            <w:shd w:fill="F3F6F8"/>
          </w:tcPr>
          <w:p>
            <w:r>
              <w:t>Check the application repository's GitHub Actions dev push run and confirm Stage 8 ECR publish and Stage 9 deployment succeeded.</w:t>
            </w:r>
          </w:p>
        </w:tc>
      </w:tr>
      <w:tr>
        <w:trPr>
          <w:cantSplit/>
        </w:trPr>
        <w:tc>
          <w:tcPr>
            <w:tcW w:type="dxa" w:w="2232"/>
            <w:vAlign w:val="center"/>
          </w:tcPr>
          <w:p>
            <w:pPr>
              <w:spacing w:after="20"/>
            </w:pPr>
            <w:r>
              <w:t>Verify custom-domain response</w:t>
            </w:r>
          </w:p>
        </w:tc>
        <w:tc>
          <w:tcPr>
            <w:tcW w:type="dxa" w:w="3672"/>
            <w:vAlign w:val="center"/>
          </w:tcPr>
          <w:p>
            <w:pPr>
              <w:spacing w:after="20"/>
            </w:pPr>
            <w:r>
              <w:t>Route 53 and CloudFront configuration is managed in Terraform; a successful apply is not a substitute for checking browser and DNS behavior.</w:t>
            </w:r>
          </w:p>
        </w:tc>
        <w:tc>
          <w:tcPr>
            <w:tcW w:type="dxa" w:w="3744"/>
            <w:vAlign w:val="center"/>
          </w:tcPr>
          <w:p>
            <w:pPr>
              <w:spacing w:after="20"/>
            </w:pPr>
            <w:r>
              <w:t>Check DNS resolution, ACM certificate status, CloudFront distribution configuration, and the site response for both apex and www hostnames.</w:t>
            </w:r>
          </w:p>
        </w:tc>
      </w:tr>
      <w:tr>
        <w:trPr>
          <w:cantSplit/>
        </w:trPr>
        <w:tc>
          <w:tcPr>
            <w:tcW w:type="dxa" w:w="2232"/>
            <w:vAlign w:val="center"/>
            <w:shd w:fill="F3F6F8"/>
          </w:tcPr>
          <w:p>
            <w:pPr>
              <w:spacing w:after="20"/>
            </w:pPr>
            <w:r>
              <w:t>Database recovery</w:t>
            </w:r>
          </w:p>
        </w:tc>
        <w:tc>
          <w:tcPr>
            <w:tcW w:type="dxa" w:w="3672"/>
            <w:vAlign w:val="center"/>
            <w:shd w:fill="F3F6F8"/>
          </w:tcPr>
          <w:p>
            <w:pPr>
              <w:spacing w:after="20"/>
            </w:pPr>
            <w:r>
              <w:t>Automated backups are disabled by prior user approval; the database has no automated point-in-time recovery.</w:t>
            </w:r>
          </w:p>
        </w:tc>
        <w:tc>
          <w:tcPr>
            <w:tcW w:type="dxa" w:w="3744"/>
            <w:vAlign w:val="center"/>
            <w:shd w:fill="F3F6F8"/>
          </w:tcPr>
          <w:p>
            <w:pPr>
              <w:spacing w:after="20"/>
            </w:pPr>
            <w:r>
              <w:t>Create and test a manual snapshot process, and review backup retention before storing important production data.</w:t>
            </w:r>
          </w:p>
        </w:tc>
      </w:tr>
    </w:tbl>
    <w:p>
      <w:pPr>
        <w:spacing w:after="40"/>
      </w:pPr>
      <w:r>
        <w:rPr>
          <w:rFonts w:ascii="Arial" w:hAnsi="Arial"/>
          <w:b w:val="0"/>
          <w:color w:val="17324D"/>
          <w:sz w:val="20"/>
        </w:rPr>
      </w:r>
    </w:p>
    <w:p>
      <w:pPr>
        <w:pStyle w:val="Heading1"/>
      </w:pPr>
      <w:r>
        <w:rPr>
          <w:rFonts w:ascii="Arial" w:hAnsi="Arial"/>
          <w:b/>
          <w:color w:val="17324D"/>
          <w:sz w:val="32"/>
        </w:rPr>
        <w:t>8. Commands for safe verification</w:t>
      </w:r>
    </w:p>
    <w:p>
      <w:pPr>
        <w:spacing w:after="60"/>
        <w:ind w:left="259"/>
      </w:pPr>
      <w:r>
        <w:rPr>
          <w:rFonts w:ascii="Consolas" w:hAnsi="Consolas"/>
          <w:b w:val="0"/>
          <w:color w:val="087E8B"/>
          <w:sz w:val="17"/>
        </w:rPr>
        <w:t>aws configure list-profiles</w:t>
      </w:r>
    </w:p>
    <w:p>
      <w:pPr>
        <w:spacing w:after="60"/>
        <w:ind w:left="259"/>
      </w:pPr>
      <w:r>
        <w:rPr>
          <w:rFonts w:ascii="Consolas" w:hAnsi="Consolas"/>
          <w:b w:val="0"/>
          <w:color w:val="087E8B"/>
          <w:sz w:val="17"/>
        </w:rPr>
        <w:t>aws sts get-caller-identity --profile deal-drive-kishore-dev-iam-user</w:t>
      </w:r>
    </w:p>
    <w:p>
      <w:pPr>
        <w:spacing w:after="60"/>
        <w:ind w:left="259"/>
      </w:pPr>
      <w:r>
        <w:rPr>
          <w:rFonts w:ascii="Consolas" w:hAnsi="Consolas"/>
          <w:b w:val="0"/>
          <w:color w:val="087E8B"/>
          <w:sz w:val="17"/>
        </w:rPr>
        <w:t>terraform version</w:t>
      </w:r>
    </w:p>
    <w:p>
      <w:pPr>
        <w:spacing w:after="60"/>
        <w:ind w:left="259"/>
      </w:pPr>
      <w:r>
        <w:rPr>
          <w:rFonts w:ascii="Consolas" w:hAnsi="Consolas"/>
          <w:b w:val="0"/>
          <w:color w:val="087E8B"/>
          <w:sz w:val="17"/>
        </w:rPr>
        <w:t>terraform -chdir=infra/terraform/bootstrap init -backend=false</w:t>
      </w:r>
    </w:p>
    <w:p>
      <w:pPr>
        <w:spacing w:after="60"/>
        <w:ind w:left="259"/>
      </w:pPr>
      <w:r>
        <w:rPr>
          <w:rFonts w:ascii="Consolas" w:hAnsi="Consolas"/>
          <w:b w:val="0"/>
          <w:color w:val="087E8B"/>
          <w:sz w:val="17"/>
        </w:rPr>
        <w:t>terraform -chdir=infra/terraform/bootstrap validate</w:t>
      </w:r>
    </w:p>
    <w:p>
      <w:pPr>
        <w:spacing w:after="60"/>
        <w:ind w:left="259"/>
      </w:pPr>
      <w:r>
        <w:rPr>
          <w:rFonts w:ascii="Consolas" w:hAnsi="Consolas"/>
          <w:b w:val="0"/>
          <w:color w:val="087E8B"/>
          <w:sz w:val="17"/>
        </w:rPr>
        <w:t>terraform -chdir=infra/terraform/envs/dev init</w:t>
      </w:r>
    </w:p>
    <w:p>
      <w:pPr>
        <w:spacing w:after="60"/>
        <w:ind w:left="259"/>
      </w:pPr>
      <w:r>
        <w:rPr>
          <w:rFonts w:ascii="Consolas" w:hAnsi="Consolas"/>
          <w:b w:val="0"/>
          <w:color w:val="087E8B"/>
          <w:sz w:val="17"/>
        </w:rPr>
        <w:t>terraform -chdir=infra/terraform/envs/dev plan -out=dev.tfplan</w:t>
      </w:r>
    </w:p>
    <w:p>
      <w:pPr>
        <w:spacing w:after="60"/>
        <w:ind w:left="259"/>
      </w:pPr>
      <w:r>
        <w:rPr>
          <w:rFonts w:ascii="Consolas" w:hAnsi="Consolas"/>
          <w:b w:val="0"/>
          <w:color w:val="087E8B"/>
          <w:sz w:val="17"/>
        </w:rPr>
        <w:t>terraform -chdir=infra/terraform/envs/dev apply dev.tfplan</w:t>
      </w:r>
    </w:p>
    <w:p>
      <w:pPr>
        <w:spacing w:after="60"/>
        <w:ind w:left="259"/>
      </w:pPr>
      <w:r>
        <w:rPr>
          <w:rFonts w:ascii="Consolas" w:hAnsi="Consolas"/>
          <w:b w:val="0"/>
          <w:color w:val="087E8B"/>
          <w:sz w:val="17"/>
        </w:rPr>
        <w:t>aws ecs describe-services --cluster deal-and-drive-dev --services deal-and-drive-dev-api --region us-east-2</w:t>
      </w:r>
    </w:p>
    <w:p>
      <w:pPr>
        <w:spacing w:after="60"/>
        <w:ind w:left="259"/>
      </w:pPr>
      <w:r>
        <w:rPr>
          <w:rFonts w:ascii="Consolas" w:hAnsi="Consolas"/>
          <w:b w:val="0"/>
          <w:color w:val="087E8B"/>
          <w:sz w:val="17"/>
        </w:rPr>
        <w:t>aws route53 list-hosted-zones-by-name --dns-name dealndrive.ai --region us-east-2</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Before running apply</w:t>
              <w:br/>
              <w:t>Confirm the active AWS account, region, Terraform workspace, and saved plan. Do not run the old-account profile against the new-account Terraform state. Keep secret values out of command history and chat.</w:t>
            </w:r>
          </w:p>
        </w:tc>
      </w:tr>
    </w:tbl>
    <w:p>
      <w:pPr>
        <w:spacing w:after="40"/>
      </w:pPr>
      <w:r>
        <w:rPr>
          <w:rFonts w:ascii="Arial" w:hAnsi="Arial"/>
          <w:b w:val="0"/>
          <w:color w:val="17324D"/>
          <w:sz w:val="20"/>
        </w:rPr>
      </w:r>
    </w:p>
    <w:sectPr w:rsidR="00FC693F" w:rsidRPr="0006063C" w:rsidSect="00034616">
      <w:footerReference w:type="default" r:id="rId9"/>
      <w:pgSz w:w="12240" w:h="15840"/>
      <w:pgMar w:top="936" w:right="1037" w:bottom="1152"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C6B78"/>
        <w:sz w:val="16"/>
      </w:rPr>
      <w:t>Deal and Drive  •  Internal delivery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732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