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color w:val="17324D"/>
          <w:sz w:val="52"/>
        </w:rPr>
        <w:t>Deal and Drive Pipeline Guide</w:t>
      </w:r>
    </w:p>
    <w:p>
      <w:pPr>
        <w:spacing w:after="240"/>
      </w:pPr>
      <w:r>
        <w:rPr>
          <w:rFonts w:ascii="Arial" w:hAnsi="Arial"/>
          <w:b w:val="0"/>
          <w:color w:val="17324D"/>
          <w:sz w:val="20"/>
        </w:rPr>
        <w:t>How application and infrastructure changes move from pull request to AWS</w:t>
      </w:r>
    </w:p>
    <w:p>
      <w:pPr>
        <w:spacing w:after="200"/>
      </w:pPr>
      <w:r>
        <w:rPr>
          <w:rFonts w:ascii="Arial" w:hAnsi="Arial"/>
          <w:b w:val="0"/>
          <w:color w:val="17324D"/>
          <w:sz w:val="20"/>
        </w:rPr>
        <w:t>Deal and Drive  |  Updated 28 October 2026</w:t>
      </w:r>
    </w:p>
    <w:p>
      <w:r>
        <w:t>This guide explains how application changes and infrastructure changes reach the Deal and Drive dev environment. It follows the current GitHub Actions workflow in this repository and the separate Terraform workflow in deal-drive-iac-cloud. Pull requests validate changes; a push to dev deploys the application and applies approved Terraform changes through separate pipelines.</w:t>
      </w:r>
    </w:p>
    <w:tbl>
      <w:tblPr>
        <w:tblStyle w:val="TableGrid"/>
        <w:tblW w:type="auto" w:w="0"/>
        <w:jc w:val="center"/>
        <w:tblLook w:firstColumn="1" w:firstRow="1" w:lastColumn="0" w:lastRow="0" w:noHBand="0" w:noVBand="1" w:val="04A0"/>
      </w:tblPr>
      <w:tblGrid>
        <w:gridCol w:w="10166"/>
      </w:tblGrid>
      <w:tr>
        <w:trPr>
          <w:tblHeader w:val="true"/>
          <w:cantSplit/>
        </w:trPr>
        <w:tc>
          <w:tcPr>
            <w:tcW w:type="dxa" w:w="10166"/>
            <w:shd w:fill="EAF3F6"/>
          </w:tcPr>
          <w:p>
            <w:pPr>
              <w:keepNext/>
              <w:spacing w:after="40"/>
            </w:pPr>
            <w:r>
              <w:t>Expected application flow</w:t>
              <w:br/>
              <w:t>A pull request to dev runs validation and a non-publishing API Docker build. After merge, a dev push builds and pushes the API image to ECR, migrates the database, deploys the API to ECS Fargate, builds the static React site, uploads it to private S3, and invalidates CloudFront.</w:t>
            </w:r>
          </w:p>
        </w:tc>
      </w:tr>
    </w:tbl>
    <w:p>
      <w:pPr>
        <w:spacing w:after="40"/>
      </w:pPr>
      <w:r>
        <w:rPr>
          <w:rFonts w:ascii="Arial" w:hAnsi="Arial"/>
          <w:b w:val="0"/>
          <w:color w:val="17324D"/>
          <w:sz w:val="20"/>
        </w:rPr>
      </w:r>
    </w:p>
    <w:p>
      <w:pPr>
        <w:pStyle w:val="Heading1"/>
      </w:pPr>
      <w:r>
        <w:rPr>
          <w:rFonts w:ascii="Arial" w:hAnsi="Arial"/>
          <w:b/>
          <w:color w:val="17324D"/>
          <w:sz w:val="32"/>
        </w:rPr>
        <w:t>1. Events and run behavior</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val="true"/>
          <w:cantSplit/>
        </w:trPr>
        <w:tc>
          <w:tcPr>
            <w:tcW w:type="dxa" w:w="2088"/>
            <w:vAlign w:val="center"/>
            <w:shd w:fill="17324D"/>
          </w:tcPr>
          <w:p>
            <w:pPr>
              <w:keepNext/>
              <w:spacing w:after="20"/>
            </w:pPr>
            <w:r>
              <w:rPr>
                <w:rFonts w:ascii="Arial" w:hAnsi="Arial"/>
                <w:b/>
                <w:color w:val="FFFFFF"/>
                <w:sz w:val="18"/>
              </w:rPr>
              <w:t>Event</w:t>
            </w:r>
          </w:p>
        </w:tc>
        <w:tc>
          <w:tcPr>
            <w:tcW w:type="dxa" w:w="4320"/>
            <w:vAlign w:val="center"/>
            <w:shd w:fill="17324D"/>
          </w:tcPr>
          <w:p>
            <w:pPr>
              <w:keepNext/>
              <w:spacing w:after="20"/>
            </w:pPr>
            <w:r>
              <w:rPr>
                <w:rFonts w:ascii="Arial" w:hAnsi="Arial"/>
                <w:b/>
                <w:color w:val="FFFFFF"/>
                <w:sz w:val="18"/>
              </w:rPr>
              <w:t>What runs</w:t>
            </w:r>
          </w:p>
        </w:tc>
        <w:tc>
          <w:tcPr>
            <w:tcW w:type="dxa" w:w="3240"/>
            <w:vAlign w:val="center"/>
            <w:shd w:fill="17324D"/>
          </w:tcPr>
          <w:p>
            <w:pPr>
              <w:keepNext/>
              <w:spacing w:after="20"/>
            </w:pPr>
            <w:r>
              <w:rPr>
                <w:rFonts w:ascii="Arial" w:hAnsi="Arial"/>
                <w:b/>
                <w:color w:val="FFFFFF"/>
                <w:sz w:val="18"/>
              </w:rPr>
              <w:t>What does not happen</w:t>
            </w:r>
          </w:p>
        </w:tc>
      </w:tr>
      <w:tr>
        <w:trPr>
          <w:cantSplit/>
        </w:trPr>
        <w:tc>
          <w:tcPr>
            <w:tcW w:type="dxa" w:w="2088"/>
            <w:vAlign w:val="center"/>
          </w:tcPr>
          <w:p>
            <w:pPr>
              <w:keepLines/>
              <w:spacing w:after="20"/>
            </w:pPr>
            <w:r>
              <w:rPr>
                <w:rFonts w:ascii="Arial" w:hAnsi="Arial"/>
                <w:b w:val="0"/>
                <w:color w:val="17324D"/>
                <w:sz w:val="16"/>
              </w:rPr>
              <w:t>Pull request targeting dev</w:t>
            </w:r>
          </w:p>
        </w:tc>
        <w:tc>
          <w:tcPr>
            <w:tcW w:type="dxa" w:w="4320"/>
            <w:vAlign w:val="center"/>
          </w:tcPr>
          <w:p>
            <w:pPr>
              <w:keepLines/>
              <w:spacing w:after="20"/>
            </w:pPr>
            <w:r>
              <w:rPr>
                <w:rFonts w:ascii="Arial" w:hAnsi="Arial"/>
                <w:b w:val="0"/>
                <w:color w:val="17324D"/>
                <w:sz w:val="16"/>
              </w:rPr>
              <w:t>PR format, structure, lint, tests, scans, and a non-publishing API Docker build.</w:t>
            </w:r>
          </w:p>
        </w:tc>
        <w:tc>
          <w:tcPr>
            <w:tcW w:type="dxa" w:w="3240"/>
            <w:vAlign w:val="center"/>
          </w:tcPr>
          <w:p>
            <w:pPr>
              <w:keepLines/>
              <w:spacing w:after="20"/>
            </w:pPr>
            <w:r>
              <w:rPr>
                <w:rFonts w:ascii="Arial" w:hAnsi="Arial"/>
                <w:b w:val="0"/>
                <w:color w:val="17324D"/>
                <w:sz w:val="16"/>
              </w:rPr>
              <w:t>No AWS deployment, no ECR push, and no database migration.</w:t>
            </w:r>
          </w:p>
        </w:tc>
      </w:tr>
      <w:tr>
        <w:trPr>
          <w:cantSplit/>
        </w:trPr>
        <w:tc>
          <w:tcPr>
            <w:tcW w:type="dxa" w:w="2088"/>
            <w:vAlign w:val="center"/>
            <w:shd w:fill="F3F6F8"/>
          </w:tcPr>
          <w:p>
            <w:pPr>
              <w:spacing w:after="20"/>
            </w:pPr>
            <w:r>
              <w:rPr>
                <w:rFonts w:ascii="Arial" w:hAnsi="Arial"/>
                <w:b w:val="0"/>
                <w:color w:val="17324D"/>
                <w:sz w:val="16"/>
              </w:rPr>
              <w:t>Push to dev after merge</w:t>
            </w:r>
          </w:p>
        </w:tc>
        <w:tc>
          <w:tcPr>
            <w:tcW w:type="dxa" w:w="4320"/>
            <w:vAlign w:val="center"/>
            <w:shd w:fill="F3F6F8"/>
          </w:tcPr>
          <w:p>
            <w:pPr>
              <w:spacing w:after="20"/>
            </w:pPr>
            <w:r>
              <w:rPr>
                <w:rFonts w:ascii="Arial" w:hAnsi="Arial"/>
                <w:b w:val="0"/>
                <w:color w:val="17324D"/>
                <w:sz w:val="16"/>
              </w:rPr>
              <w:t>Validation jobs, then API image build and push to ECR, followed by ECS and frontend deployment.</w:t>
            </w:r>
          </w:p>
        </w:tc>
        <w:tc>
          <w:tcPr>
            <w:tcW w:type="dxa" w:w="3240"/>
            <w:vAlign w:val="center"/>
            <w:shd w:fill="F3F6F8"/>
          </w:tcPr>
          <w:p>
            <w:pPr>
              <w:spacing w:after="20"/>
            </w:pPr>
            <w:r>
              <w:rPr>
                <w:rFonts w:ascii="Arial" w:hAnsi="Arial"/>
                <w:b w:val="0"/>
                <w:color w:val="17324D"/>
                <w:sz w:val="16"/>
              </w:rPr>
              <w:t>No EC2 SSH deployment and no frontend container image.</w:t>
            </w:r>
          </w:p>
        </w:tc>
      </w:tr>
      <w:tr>
        <w:trPr>
          <w:cantSplit/>
        </w:trPr>
        <w:tc>
          <w:tcPr>
            <w:tcW w:type="dxa" w:w="2088"/>
            <w:vAlign w:val="center"/>
          </w:tcPr>
          <w:p>
            <w:pPr>
              <w:spacing w:after="20"/>
            </w:pPr>
            <w:r>
              <w:rPr>
                <w:rFonts w:ascii="Arial" w:hAnsi="Arial"/>
                <w:b w:val="0"/>
                <w:color w:val="17324D"/>
                <w:sz w:val="16"/>
              </w:rPr>
              <w:t>Terraform pull request</w:t>
            </w:r>
          </w:p>
        </w:tc>
        <w:tc>
          <w:tcPr>
            <w:tcW w:type="dxa" w:w="4320"/>
            <w:vAlign w:val="center"/>
          </w:tcPr>
          <w:p>
            <w:pPr>
              <w:spacing w:after="20"/>
            </w:pPr>
            <w:r>
              <w:rPr>
                <w:rFonts w:ascii="Arial" w:hAnsi="Arial"/>
                <w:b w:val="0"/>
                <w:color w:val="17324D"/>
                <w:sz w:val="16"/>
              </w:rPr>
              <w:t>Terraform formatting and backendless validation; the pull request does not apply infrastructure.</w:t>
            </w:r>
          </w:p>
        </w:tc>
        <w:tc>
          <w:tcPr>
            <w:tcW w:type="dxa" w:w="3240"/>
            <w:vAlign w:val="center"/>
          </w:tcPr>
          <w:p>
            <w:pPr>
              <w:spacing w:after="20"/>
            </w:pPr>
            <w:r>
              <w:rPr>
                <w:rFonts w:ascii="Arial" w:hAnsi="Arial"/>
                <w:b w:val="0"/>
                <w:color w:val="17324D"/>
                <w:sz w:val="16"/>
              </w:rPr>
              <w:t>No Terraform apply.</w:t>
            </w:r>
          </w:p>
        </w:tc>
      </w:tr>
      <w:tr>
        <w:trPr>
          <w:cantSplit/>
        </w:trPr>
        <w:tc>
          <w:tcPr>
            <w:tcW w:type="dxa" w:w="2088"/>
            <w:vAlign w:val="center"/>
            <w:shd w:fill="F3F6F8"/>
          </w:tcPr>
          <w:p>
            <w:pPr>
              <w:spacing w:after="20"/>
            </w:pPr>
            <w:r>
              <w:rPr>
                <w:rFonts w:ascii="Arial" w:hAnsi="Arial"/>
                <w:b w:val="0"/>
                <w:color w:val="17324D"/>
                <w:sz w:val="16"/>
              </w:rPr>
              <w:t>Terraform push to dev</w:t>
            </w:r>
          </w:p>
        </w:tc>
        <w:tc>
          <w:tcPr>
            <w:tcW w:type="dxa" w:w="4320"/>
            <w:vAlign w:val="center"/>
            <w:shd w:fill="F3F6F8"/>
          </w:tcPr>
          <w:p>
            <w:pPr>
              <w:spacing w:after="20"/>
            </w:pPr>
            <w:r>
              <w:t>Terraform validation, then sequential AWS credential/account verification and dev plan/apply through the IaC repository workflow. Static credentials are stored in that repository's development environment.</w:t>
            </w:r>
          </w:p>
        </w:tc>
        <w:tc>
          <w:tcPr>
            <w:tcW w:type="dxa" w:w="3240"/>
            <w:vAlign w:val="center"/>
            <w:shd w:fill="F3F6F8"/>
          </w:tcPr>
          <w:p>
            <w:pPr>
              <w:spacing w:after="20"/>
            </w:pPr>
            <w:r>
              <w:t>No Terraform apply on pull requests. OIDC is not enabled; the IaC pipeline currently uses a dedicated IAM user and static GitHub environment secrets.</w:t>
            </w:r>
          </w:p>
        </w:tc>
      </w:tr>
    </w:tbl>
    <w:p>
      <w:pPr>
        <w:spacing w:after="40"/>
      </w:pPr>
      <w:r>
        <w:rPr>
          <w:rFonts w:ascii="Arial" w:hAnsi="Arial"/>
          <w:b w:val="0"/>
          <w:color w:val="17324D"/>
          <w:sz w:val="20"/>
        </w:rPr>
      </w:r>
    </w:p>
    <w:p>
      <w:r>
        <w:t>Pull request updates and the later merge push are separate GitHub events, so the same commit can appear in two runs. Within the application workflow, Stage 1 (PR description checks) and Stage 2 (directory compliance) start independently. Stage 3 depends on Stage 2, and Stages 4 through 8 continue in order. Stage 9 runs only for a push to dev and waits for Stage 8. In the Terraform workflow, Stage 1 validation leads to Stage 2 AWS credential verification and then Stage 3 plan/apply.</w:t>
      </w:r>
    </w:p>
    <w:p>
      <w:pPr>
        <w:pStyle w:val="Heading1"/>
      </w:pPr>
      <w:r>
        <w:rPr>
          <w:rFonts w:ascii="Arial" w:hAnsi="Arial"/>
          <w:b/>
          <w:color w:val="17324D"/>
          <w:sz w:val="32"/>
        </w:rPr>
        <w:t>2. Application pipeline stages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val="true"/>
          <w:cantSplit/>
        </w:trPr>
        <w:tc>
          <w:tcPr>
            <w:tcW w:type="dxa" w:w="1944"/>
            <w:vAlign w:val="center"/>
            <w:shd w:fill="17324D"/>
          </w:tcPr>
          <w:p>
            <w:pPr>
              <w:keepNext/>
              <w:spacing w:after="20"/>
            </w:pPr>
            <w:r>
              <w:rPr>
                <w:rFonts w:ascii="Arial" w:hAnsi="Arial"/>
                <w:b/>
                <w:color w:val="FFFFFF"/>
                <w:sz w:val="18"/>
              </w:rPr>
              <w:t>Stage</w:t>
            </w:r>
          </w:p>
        </w:tc>
        <w:tc>
          <w:tcPr>
            <w:tcW w:type="dxa" w:w="2880"/>
            <w:vAlign w:val="center"/>
            <w:shd w:fill="17324D"/>
          </w:tcPr>
          <w:p>
            <w:pPr>
              <w:keepNext/>
              <w:spacing w:after="20"/>
            </w:pPr>
            <w:r>
              <w:rPr>
                <w:rFonts w:ascii="Arial" w:hAnsi="Arial"/>
                <w:b/>
                <w:color w:val="FFFFFF"/>
                <w:sz w:val="18"/>
              </w:rPr>
              <w:t>Purpose</w:t>
            </w:r>
          </w:p>
        </w:tc>
        <w:tc>
          <w:tcPr>
            <w:tcW w:type="dxa" w:w="4824"/>
            <w:vAlign w:val="center"/>
            <w:shd w:fill="17324D"/>
          </w:tcPr>
          <w:p>
            <w:pPr>
              <w:keepNext/>
              <w:spacing w:after="20"/>
            </w:pPr>
            <w:r>
              <w:rPr>
                <w:rFonts w:ascii="Arial" w:hAnsi="Arial"/>
                <w:b/>
                <w:color w:val="FFFFFF"/>
                <w:sz w:val="18"/>
              </w:rPr>
              <w:t>What it checks or changes</w:t>
            </w:r>
          </w:p>
        </w:tc>
      </w:tr>
      <w:tr>
        <w:trPr>
          <w:cantSplit/>
        </w:trPr>
        <w:tc>
          <w:tcPr>
            <w:tcW w:type="dxa" w:w="1944"/>
            <w:vAlign w:val="center"/>
          </w:tcPr>
          <w:p>
            <w:pPr>
              <w:keepLines/>
              <w:spacing w:after="20"/>
            </w:pPr>
            <w:r>
              <w:rPr>
                <w:rFonts w:ascii="Arial" w:hAnsi="Arial"/>
                <w:b w:val="0"/>
                <w:color w:val="17324D"/>
                <w:sz w:val="16"/>
              </w:rPr>
              <w:t>1. PR description</w:t>
            </w:r>
          </w:p>
        </w:tc>
        <w:tc>
          <w:tcPr>
            <w:tcW w:type="dxa" w:w="2880"/>
            <w:vAlign w:val="center"/>
          </w:tcPr>
          <w:p>
            <w:pPr>
              <w:keepLines/>
              <w:spacing w:after="20"/>
            </w:pPr>
            <w:r>
              <w:rPr>
                <w:rFonts w:ascii="Arial" w:hAnsi="Arial"/>
                <w:b w:val="0"/>
                <w:color w:val="17324D"/>
                <w:sz w:val="16"/>
              </w:rPr>
              <w:t>Keep PRs reviewable.</w:t>
            </w:r>
          </w:p>
        </w:tc>
        <w:tc>
          <w:tcPr>
            <w:tcW w:type="dxa" w:w="4824"/>
            <w:vAlign w:val="center"/>
          </w:tcPr>
          <w:p>
            <w:pPr>
              <w:keepLines/>
              <w:spacing w:after="20"/>
            </w:pPr>
            <w:r>
              <w:t>Checks required PR template headings. It runs independently of Stage 2; its failure does not prevent the directory check from starting.</w:t>
            </w:r>
          </w:p>
        </w:tc>
      </w:tr>
      <w:tr>
        <w:trPr>
          <w:cantSplit/>
        </w:trPr>
        <w:tc>
          <w:tcPr>
            <w:tcW w:type="dxa" w:w="1944"/>
            <w:vAlign w:val="center"/>
            <w:shd w:fill="F3F6F8"/>
          </w:tcPr>
          <w:p>
            <w:pPr>
              <w:spacing w:after="20"/>
            </w:pPr>
            <w:r>
              <w:rPr>
                <w:rFonts w:ascii="Arial" w:hAnsi="Arial"/>
                <w:b w:val="0"/>
                <w:color w:val="17324D"/>
                <w:sz w:val="16"/>
              </w:rPr>
              <w:t>2. Directory compliance</w:t>
            </w:r>
          </w:p>
        </w:tc>
        <w:tc>
          <w:tcPr>
            <w:tcW w:type="dxa" w:w="2880"/>
            <w:vAlign w:val="center"/>
            <w:shd w:fill="F3F6F8"/>
          </w:tcPr>
          <w:p>
            <w:pPr>
              <w:spacing w:after="20"/>
            </w:pPr>
            <w:r>
              <w:rPr>
                <w:rFonts w:ascii="Arial" w:hAnsi="Arial"/>
                <w:b w:val="0"/>
                <w:color w:val="17324D"/>
                <w:sz w:val="16"/>
              </w:rPr>
              <w:t>Protect the repository layout expected by the app.</w:t>
            </w:r>
          </w:p>
        </w:tc>
        <w:tc>
          <w:tcPr>
            <w:tcW w:type="dxa" w:w="4824"/>
            <w:vAlign w:val="center"/>
            <w:shd w:fill="F3F6F8"/>
          </w:tcPr>
          <w:p>
            <w:pPr>
              <w:spacing w:after="20"/>
            </w:pPr>
            <w:r>
              <w:t>Checks required frontend/backend folders and entry-point files. It runs independently of Stage 1; Stage 3 depends on this job.</w:t>
            </w:r>
          </w:p>
        </w:tc>
      </w:tr>
      <w:tr>
        <w:trPr>
          <w:cantSplit/>
        </w:trPr>
        <w:tc>
          <w:tcPr>
            <w:tcW w:type="dxa" w:w="1944"/>
            <w:vAlign w:val="center"/>
          </w:tcPr>
          <w:p>
            <w:pPr>
              <w:spacing w:after="20"/>
            </w:pPr>
            <w:r>
              <w:rPr>
                <w:rFonts w:ascii="Arial" w:hAnsi="Arial"/>
                <w:b w:val="0"/>
                <w:color w:val="17324D"/>
                <w:sz w:val="16"/>
              </w:rPr>
              <w:t>3. Lint and quality</w:t>
            </w:r>
          </w:p>
        </w:tc>
        <w:tc>
          <w:tcPr>
            <w:tcW w:type="dxa" w:w="2880"/>
            <w:vAlign w:val="center"/>
          </w:tcPr>
          <w:p>
            <w:pPr>
              <w:spacing w:after="20"/>
            </w:pPr>
            <w:r>
              <w:rPr>
                <w:rFonts w:ascii="Arial" w:hAnsi="Arial"/>
                <w:b w:val="0"/>
                <w:color w:val="17324D"/>
                <w:sz w:val="16"/>
              </w:rPr>
              <w:t>Catch style and basic code issues.</w:t>
            </w:r>
          </w:p>
        </w:tc>
        <w:tc>
          <w:tcPr>
            <w:tcW w:type="dxa" w:w="4824"/>
            <w:vAlign w:val="center"/>
          </w:tcPr>
          <w:p>
            <w:pPr>
              <w:spacing w:after="20"/>
            </w:pPr>
            <w:r>
              <w:rPr>
                <w:rFonts w:ascii="Arial" w:hAnsi="Arial"/>
                <w:b w:val="0"/>
                <w:color w:val="17324D"/>
                <w:sz w:val="16"/>
              </w:rPr>
              <w:t>ESLint checks React; Ruff checks Python lint and formatting.</w:t>
            </w:r>
          </w:p>
        </w:tc>
      </w:tr>
      <w:tr>
        <w:trPr>
          <w:cantSplit/>
        </w:trPr>
        <w:tc>
          <w:tcPr>
            <w:tcW w:type="dxa" w:w="1944"/>
            <w:vAlign w:val="center"/>
            <w:shd w:fill="F3F6F8"/>
          </w:tcPr>
          <w:p>
            <w:pPr>
              <w:spacing w:after="20"/>
            </w:pPr>
            <w:r>
              <w:rPr>
                <w:rFonts w:ascii="Arial" w:hAnsi="Arial"/>
                <w:b w:val="0"/>
                <w:color w:val="17324D"/>
                <w:sz w:val="16"/>
              </w:rPr>
              <w:t>4. Tests and coverage</w:t>
            </w:r>
          </w:p>
        </w:tc>
        <w:tc>
          <w:tcPr>
            <w:tcW w:type="dxa" w:w="2880"/>
            <w:vAlign w:val="center"/>
            <w:shd w:fill="F3F6F8"/>
          </w:tcPr>
          <w:p>
            <w:pPr>
              <w:spacing w:after="20"/>
            </w:pPr>
            <w:r>
              <w:rPr>
                <w:rFonts w:ascii="Arial" w:hAnsi="Arial"/>
                <w:b w:val="0"/>
                <w:color w:val="17324D"/>
                <w:sz w:val="16"/>
              </w:rPr>
              <w:t>Verify backend behavior.</w:t>
            </w:r>
          </w:p>
        </w:tc>
        <w:tc>
          <w:tcPr>
            <w:tcW w:type="dxa" w:w="4824"/>
            <w:vAlign w:val="center"/>
            <w:shd w:fill="F3F6F8"/>
          </w:tcPr>
          <w:p>
            <w:pPr>
              <w:spacing w:after="20"/>
            </w:pPr>
            <w:r>
              <w:rPr>
                <w:rFonts w:ascii="Arial" w:hAnsi="Arial"/>
                <w:b w:val="0"/>
                <w:color w:val="17324D"/>
                <w:sz w:val="16"/>
              </w:rPr>
              <w:t>Runs the backend test suite and enforces the configured 75% coverage floor.</w:t>
            </w:r>
          </w:p>
        </w:tc>
      </w:tr>
      <w:tr>
        <w:trPr>
          <w:cantSplit/>
        </w:trPr>
        <w:tc>
          <w:tcPr>
            <w:tcW w:type="dxa" w:w="1944"/>
            <w:vAlign w:val="center"/>
          </w:tcPr>
          <w:p>
            <w:pPr>
              <w:spacing w:after="20"/>
            </w:pPr>
            <w:r>
              <w:rPr>
                <w:rFonts w:ascii="Arial" w:hAnsi="Arial"/>
                <w:b w:val="0"/>
                <w:color w:val="17324D"/>
                <w:sz w:val="16"/>
              </w:rPr>
              <w:t>5. Secret and Dockerfile scans</w:t>
            </w:r>
          </w:p>
        </w:tc>
        <w:tc>
          <w:tcPr>
            <w:tcW w:type="dxa" w:w="2880"/>
            <w:vAlign w:val="center"/>
          </w:tcPr>
          <w:p>
            <w:pPr>
              <w:spacing w:after="20"/>
            </w:pPr>
            <w:r>
              <w:rPr>
                <w:rFonts w:ascii="Arial" w:hAnsi="Arial"/>
                <w:b w:val="0"/>
                <w:color w:val="17324D"/>
                <w:sz w:val="16"/>
              </w:rPr>
              <w:t>Catch exposed credentials and common image-file mistakes.</w:t>
            </w:r>
          </w:p>
        </w:tc>
        <w:tc>
          <w:tcPr>
            <w:tcW w:type="dxa" w:w="4824"/>
            <w:vAlign w:val="center"/>
          </w:tcPr>
          <w:p>
            <w:pPr>
              <w:spacing w:after="20"/>
            </w:pPr>
            <w:r>
              <w:rPr>
                <w:rFonts w:ascii="Arial" w:hAnsi="Arial"/>
                <w:b w:val="0"/>
                <w:color w:val="17324D"/>
                <w:sz w:val="16"/>
              </w:rPr>
              <w:t>Gitleaks scans repository history; Hadolint checks the backend Dockerfile.</w:t>
            </w:r>
          </w:p>
        </w:tc>
      </w:tr>
      <w:tr>
        <w:trPr>
          <w:cantSplit/>
        </w:trPr>
        <w:tc>
          <w:tcPr>
            <w:tcW w:type="dxa" w:w="1944"/>
            <w:vAlign w:val="center"/>
            <w:shd w:fill="F3F6F8"/>
          </w:tcPr>
          <w:p>
            <w:pPr>
              <w:spacing w:after="20"/>
            </w:pPr>
            <w:r>
              <w:rPr>
                <w:rFonts w:ascii="Arial" w:hAnsi="Arial"/>
                <w:b w:val="0"/>
                <w:color w:val="17324D"/>
                <w:sz w:val="16"/>
              </w:rPr>
              <w:t>6–7. Security scans</w:t>
            </w:r>
          </w:p>
        </w:tc>
        <w:tc>
          <w:tcPr>
            <w:tcW w:type="dxa" w:w="2880"/>
            <w:vAlign w:val="center"/>
            <w:shd w:fill="F3F6F8"/>
          </w:tcPr>
          <w:p>
            <w:pPr>
              <w:spacing w:after="20"/>
            </w:pPr>
            <w:r>
              <w:rPr>
                <w:rFonts w:ascii="Arial" w:hAnsi="Arial"/>
                <w:b w:val="0"/>
                <w:color w:val="17324D"/>
                <w:sz w:val="16"/>
              </w:rPr>
              <w:t>Check source code and locked dependencies.</w:t>
            </w:r>
          </w:p>
        </w:tc>
        <w:tc>
          <w:tcPr>
            <w:tcW w:type="dxa" w:w="4824"/>
            <w:vAlign w:val="center"/>
            <w:shd w:fill="F3F6F8"/>
          </w:tcPr>
          <w:p>
            <w:pPr>
              <w:spacing w:after="20"/>
            </w:pPr>
            <w:r>
              <w:rPr>
                <w:rFonts w:ascii="Arial" w:hAnsi="Arial"/>
                <w:b w:val="0"/>
                <w:color w:val="17324D"/>
                <w:sz w:val="16"/>
              </w:rPr>
              <w:t>Bandit scans Python source; Trivy checks Python and Node dependency lockfiles for critical vulnerabilities.</w:t>
            </w:r>
          </w:p>
        </w:tc>
      </w:tr>
      <w:tr>
        <w:trPr>
          <w:cantSplit/>
        </w:trPr>
        <w:tc>
          <w:tcPr>
            <w:tcW w:type="dxa" w:w="1944"/>
            <w:vAlign w:val="center"/>
          </w:tcPr>
          <w:p>
            <w:pPr>
              <w:spacing w:after="20"/>
            </w:pPr>
            <w:r>
              <w:rPr>
                <w:rFonts w:ascii="Arial" w:hAnsi="Arial"/>
                <w:b w:val="0"/>
                <w:color w:val="17324D"/>
                <w:sz w:val="16"/>
              </w:rPr>
              <w:t>8. Docker build and ECR publish</w:t>
            </w:r>
          </w:p>
        </w:tc>
        <w:tc>
          <w:tcPr>
            <w:tcW w:type="dxa" w:w="2880"/>
            <w:vAlign w:val="center"/>
          </w:tcPr>
          <w:p>
            <w:pPr>
              <w:spacing w:after="20"/>
            </w:pPr>
            <w:r>
              <w:rPr>
                <w:rFonts w:ascii="Arial" w:hAnsi="Arial"/>
                <w:b w:val="0"/>
                <w:color w:val="17324D"/>
                <w:sz w:val="16"/>
              </w:rPr>
              <w:t>Build the API image as a separate stage.</w:t>
            </w:r>
          </w:p>
        </w:tc>
        <w:tc>
          <w:tcPr>
            <w:tcW w:type="dxa" w:w="4824"/>
            <w:vAlign w:val="center"/>
          </w:tcPr>
          <w:p>
            <w:pPr>
              <w:spacing w:after="20"/>
            </w:pPr>
            <w:r>
              <w:t>One visible Stage 8 job builds the API image for both event types. Pull requests build locally without publishing; dev pushes authenticate to the expected AWS account and push an immutable commit-SHA tag to ECR. The React frontend is static, not containerized.</w:t>
            </w:r>
          </w:p>
        </w:tc>
      </w:tr>
      <w:tr>
        <w:trPr>
          <w:cantSplit/>
        </w:trPr>
        <w:tc>
          <w:tcPr>
            <w:tcW w:type="dxa" w:w="1944"/>
            <w:vAlign w:val="center"/>
            <w:shd w:fill="F3F6F8"/>
          </w:tcPr>
          <w:p>
            <w:pPr>
              <w:spacing w:after="20"/>
            </w:pPr>
            <w:r>
              <w:rPr>
                <w:rFonts w:ascii="Arial" w:hAnsi="Arial"/>
                <w:b w:val="0"/>
                <w:color w:val="17324D"/>
                <w:sz w:val="16"/>
              </w:rPr>
              <w:t>9. AWS deployment</w:t>
            </w:r>
          </w:p>
        </w:tc>
        <w:tc>
          <w:tcPr>
            <w:tcW w:type="dxa" w:w="2880"/>
            <w:vAlign w:val="center"/>
            <w:shd w:fill="F3F6F8"/>
          </w:tcPr>
          <w:p>
            <w:pPr>
              <w:spacing w:after="20"/>
            </w:pPr>
            <w:r>
              <w:rPr>
                <w:rFonts w:ascii="Arial" w:hAnsi="Arial"/>
                <w:b w:val="0"/>
                <w:color w:val="17324D"/>
                <w:sz w:val="16"/>
              </w:rPr>
              <w:t>Release the commit to the new AWS architecture.</w:t>
            </w:r>
          </w:p>
        </w:tc>
        <w:tc>
          <w:tcPr>
            <w:tcW w:type="dxa" w:w="4824"/>
            <w:vAlign w:val="center"/>
            <w:shd w:fill="F3F6F8"/>
          </w:tcPr>
          <w:p>
            <w:pPr>
              <w:spacing w:after="20"/>
            </w:pPr>
            <w:r>
              <w:t>Runs only on a dev push after Stage 8. Registers a task definition with the published image, runs Alembic as a one-off Fargate task, updates ECS after migration succeeds, builds the React site with public API/WebSocket URLs, syncs to private S3, then invalidates CloudFront.</w:t>
            </w:r>
          </w:p>
        </w:tc>
      </w:tr>
    </w:tbl>
    <w:p>
      <w:pPr>
        <w:spacing w:after="40"/>
      </w:pPr>
      <w:r>
        <w:rPr>
          <w:rFonts w:ascii="Arial" w:hAnsi="Arial"/>
          <w:b w:val="0"/>
          <w:color w:val="17324D"/>
          <w:sz w:val="20"/>
        </w:rPr>
      </w:r>
    </w:p>
    <w:p>
      <w:pPr>
        <w:pStyle w:val="Heading1"/>
      </w:pPr>
      <w:r>
        <w:rPr>
          <w:rFonts w:ascii="Arial" w:hAnsi="Arial"/>
          <w:b/>
          <w:color w:val="17324D"/>
          <w:sz w:val="32"/>
        </w:rPr>
        <w:t>3. Why the API image build is a separate stage</w:t>
      </w:r>
    </w:p>
    <w:p>
      <w:r>
        <w:t>Stage 8 is one visible job with event-specific behavior. On a pull request it builds the API Docker image for validation without AWS credentials or publishing. On a push to dev it uses the development environment credentials, checks the expected AWS account, and pushes an immutable commit-SHA image tag to the dev ECR repository. Stage 9 is separate so image-build failures and deployment failures are easy to distinguish. The React frontend is static and is not containerized.</w:t>
      </w:r>
    </w:p>
    <w:p>
      <w:pPr>
        <w:pStyle w:val="Heading1"/>
      </w:pPr>
      <w:r>
        <w:rPr>
          <w:rFonts w:ascii="Arial" w:hAnsi="Arial"/>
          <w:b/>
          <w:color w:val="17324D"/>
          <w:sz w:val="32"/>
        </w:rPr>
        <w:t>4. Frontend and backend configuration</w:t>
      </w:r>
    </w:p>
    <w:p>
      <w:pPr>
        <w:pStyle w:val="ListBullet"/>
        <w:spacing w:after="60"/>
      </w:pPr>
      <w:r>
        <w:t>The ECS task definition references the backend secret in AWS Secrets Manager. ECS injects those runtime values into the FastAPI container; the workflow does not generate backend.env or SSH to a host.</w:t>
      </w:r>
    </w:p>
    <w:p>
      <w:pPr>
        <w:pStyle w:val="ListBullet"/>
        <w:spacing w:after="60"/>
      </w:pPr>
      <w:r>
        <w:t>The React site is static JavaScript delivered to browsers through CloudFront from a private S3 origin. Its API and WebSocket URLs are public build-time configuration, not secrets. The dev deployment reads them from the frontend-config secret, builds the bundle, syncs it to S3, and invalidates CloudFront. Do not put private API keys in frontend configuration.</w:t>
      </w:r>
    </w:p>
    <w:p>
      <w:pPr>
        <w:pStyle w:val="ListBullet"/>
        <w:spacing w:after="60"/>
      </w:pPr>
      <w:r>
        <w:t>The application repository uses the development GitHub environment for its AWS deployment access-key secrets. The IaC repository has its own dedicated Terraform IAM user and separate access-key secrets in its development environment. Neither pipeline stores these values in source files. Static IAM keys are a temporary fallback; short-lived GitHub OIDC role credentials are preferred when the organization permits OIDC.</w:t>
      </w:r>
    </w:p>
    <w:p>
      <w:pPr>
        <w:pStyle w:val="Heading1"/>
      </w:pPr>
      <w:r>
        <w:rPr>
          <w:rFonts w:ascii="Arial" w:hAnsi="Arial"/>
          <w:b/>
          <w:color w:val="17324D"/>
          <w:sz w:val="32"/>
        </w:rPr>
        <w:t>5. Terraform pipeline stages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val="true"/>
          <w:cantSplit/>
        </w:trPr>
        <w:tc>
          <w:tcPr>
            <w:tcW w:type="dxa" w:w="2160"/>
            <w:vAlign w:val="center"/>
            <w:shd w:fill="17324D"/>
          </w:tcPr>
          <w:p>
            <w:pPr>
              <w:keepNext/>
              <w:spacing w:after="20"/>
            </w:pPr>
            <w:r>
              <w:rPr>
                <w:rFonts w:ascii="Arial" w:hAnsi="Arial"/>
                <w:b/>
                <w:color w:val="FFFFFF"/>
                <w:sz w:val="18"/>
              </w:rPr>
              <w:t>Stage</w:t>
            </w:r>
          </w:p>
        </w:tc>
        <w:tc>
          <w:tcPr>
            <w:tcW w:type="dxa" w:w="2952"/>
            <w:vAlign w:val="center"/>
            <w:shd w:fill="17324D"/>
          </w:tcPr>
          <w:p>
            <w:pPr>
              <w:keepNext/>
              <w:spacing w:after="20"/>
            </w:pPr>
            <w:r>
              <w:rPr>
                <w:rFonts w:ascii="Arial" w:hAnsi="Arial"/>
                <w:b/>
                <w:color w:val="FFFFFF"/>
                <w:sz w:val="18"/>
              </w:rPr>
              <w:t>Purpose</w:t>
            </w:r>
          </w:p>
        </w:tc>
        <w:tc>
          <w:tcPr>
            <w:tcW w:type="dxa" w:w="4536"/>
            <w:vAlign w:val="center"/>
            <w:shd w:fill="17324D"/>
          </w:tcPr>
          <w:p>
            <w:pPr>
              <w:keepNext/>
              <w:spacing w:after="20"/>
            </w:pPr>
            <w:r>
              <w:rPr>
                <w:rFonts w:ascii="Arial" w:hAnsi="Arial"/>
                <w:b/>
                <w:color w:val="FFFFFF"/>
                <w:sz w:val="18"/>
              </w:rPr>
              <w:t>Expected behavior</w:t>
            </w:r>
          </w:p>
        </w:tc>
      </w:tr>
      <w:tr>
        <w:trPr>
          <w:cantSplit/>
        </w:trPr>
        <w:tc>
          <w:tcPr>
            <w:tcW w:type="dxa" w:w="2160"/>
            <w:vAlign w:val="center"/>
          </w:tcPr>
          <w:p>
            <w:pPr>
              <w:keepLines/>
              <w:spacing w:after="20"/>
            </w:pPr>
            <w:r>
              <w:rPr>
                <w:rFonts w:ascii="Arial" w:hAnsi="Arial"/>
                <w:b w:val="0"/>
                <w:color w:val="17324D"/>
                <w:sz w:val="16"/>
              </w:rPr>
              <w:t>1. Format and validate</w:t>
            </w:r>
          </w:p>
        </w:tc>
        <w:tc>
          <w:tcPr>
            <w:tcW w:type="dxa" w:w="2952"/>
            <w:vAlign w:val="center"/>
          </w:tcPr>
          <w:p>
            <w:pPr>
              <w:keepLines/>
              <w:spacing w:after="20"/>
            </w:pPr>
            <w:r>
              <w:rPr>
                <w:rFonts w:ascii="Arial" w:hAnsi="Arial"/>
                <w:b w:val="0"/>
                <w:color w:val="17324D"/>
                <w:sz w:val="16"/>
              </w:rPr>
              <w:t>Catch syntax/style problems without AWS state access.</w:t>
            </w:r>
          </w:p>
        </w:tc>
        <w:tc>
          <w:tcPr>
            <w:tcW w:type="dxa" w:w="4536"/>
            <w:vAlign w:val="center"/>
          </w:tcPr>
          <w:p>
            <w:pPr>
              <w:keepLines/>
              <w:spacing w:after="20"/>
            </w:pPr>
            <w:r>
              <w:rPr>
                <w:rFonts w:ascii="Arial" w:hAnsi="Arial"/>
                <w:b w:val="0"/>
                <w:color w:val="17324D"/>
                <w:sz w:val="16"/>
              </w:rPr>
              <w:t>Runs terraform fmt -check and validates bootstrap and dev configurations with backend disabled.</w:t>
            </w:r>
          </w:p>
        </w:tc>
      </w:tr>
      <w:tr>
        <w:trPr>
          <w:cantSplit/>
        </w:trPr>
        <w:tc>
          <w:tcPr>
            <w:tcW w:type="dxa" w:w="2160"/>
            <w:vAlign w:val="center"/>
            <w:shd w:fill="F3F6F8"/>
          </w:tcPr>
          <w:p>
            <w:pPr>
              <w:spacing w:after="20"/>
            </w:pPr>
            <w:r>
              <w:t>2. Verify AWS credentials</w:t>
            </w:r>
          </w:p>
        </w:tc>
        <w:tc>
          <w:tcPr>
            <w:tcW w:type="dxa" w:w="2952"/>
            <w:vAlign w:val="center"/>
            <w:shd w:fill="F3F6F8"/>
          </w:tcPr>
          <w:p>
            <w:pPr>
              <w:spacing w:after="20"/>
            </w:pPr>
            <w:r>
              <w:t>Confirm the deploy identity before accessing infrastructure.</w:t>
            </w:r>
          </w:p>
        </w:tc>
        <w:tc>
          <w:tcPr>
            <w:tcW w:type="dxa" w:w="4536"/>
            <w:vAlign w:val="center"/>
            <w:shd w:fill="F3F6F8"/>
          </w:tcPr>
          <w:p>
            <w:pPr>
              <w:spacing w:after="20"/>
            </w:pPr>
            <w:r>
              <w:t>Runs after Stage 1 on a dev push or manual run. Uses the dedicated Terraform IAM user's development environment secrets and checks that STS returns the expected account ID.</w:t>
            </w:r>
          </w:p>
        </w:tc>
      </w:tr>
      <w:tr>
        <w:trPr>
          <w:cantSplit/>
        </w:trPr>
        <w:tc>
          <w:tcPr>
            <w:tcW w:type="dxa" w:w="2160"/>
            <w:vAlign w:val="center"/>
          </w:tcPr>
          <w:p>
            <w:pPr>
              <w:spacing w:after="20"/>
            </w:pPr>
            <w:r>
              <w:rPr>
                <w:rFonts w:ascii="Arial" w:hAnsi="Arial"/>
                <w:b w:val="0"/>
                <w:color w:val="17324D"/>
                <w:sz w:val="16"/>
              </w:rPr>
              <w:t>3. Terraform plan and apply</w:t>
            </w:r>
          </w:p>
        </w:tc>
        <w:tc>
          <w:tcPr>
            <w:tcW w:type="dxa" w:w="2952"/>
            <w:vAlign w:val="center"/>
          </w:tcPr>
          <w:p>
            <w:pPr>
              <w:spacing w:after="20"/>
            </w:pPr>
            <w:r>
              <w:t>Reconcile dev AWS resources with Terraform code.</w:t>
            </w:r>
          </w:p>
        </w:tc>
        <w:tc>
          <w:tcPr>
            <w:tcW w:type="dxa" w:w="4536"/>
            <w:vAlign w:val="center"/>
          </w:tcPr>
          <w:p>
            <w:pPr>
              <w:spacing w:after="20"/>
            </w:pPr>
            <w:r>
              <w:t>Runs after Stage 2. Reads the backend secret as a write-only input, initializes the S3 state backend, creates a plan, and applies on a dev push; a manual run can select plan or apply. Pull requests do not deploy.</w:t>
            </w:r>
          </w:p>
        </w:tc>
      </w:tr>
    </w:tbl>
    <w:p>
      <w:pPr>
        <w:spacing w:after="40"/>
      </w:pPr>
      <w:r>
        <w:rPr>
          <w:rFonts w:ascii="Arial" w:hAnsi="Arial"/>
          <w:b w:val="0"/>
          <w:color w:val="17324D"/>
          <w:sz w:val="20"/>
        </w:rPr>
      </w:r>
    </w:p>
    <w:tbl>
      <w:tblPr>
        <w:tblStyle w:val="TableGrid"/>
        <w:tblW w:type="auto" w:w="0"/>
        <w:jc w:val="center"/>
        <w:tblLook w:firstColumn="1" w:firstRow="1" w:lastColumn="0" w:lastRow="0" w:noHBand="0" w:noVBand="1" w:val="04A0"/>
      </w:tblPr>
      <w:tblGrid>
        <w:gridCol w:w="10166"/>
      </w:tblGrid>
      <w:tr>
        <w:trPr>
          <w:tblHeader w:val="true"/>
          <w:cantSplit/>
        </w:trPr>
        <w:tc>
          <w:tcPr>
            <w:tcW w:type="dxa" w:w="10166"/>
            <w:shd w:fill="EAF3F6"/>
          </w:tcPr>
          <w:p>
            <w:pPr>
              <w:keepNext/>
              <w:spacing w:after="40"/>
            </w:pPr>
            <w:r>
              <w:t>Current deployment configuration</w:t>
              <w:br/>
              <w:t>Application and infrastructure deploy from separate repositories. The application workflow uses its own dev credentials for ECR and deployment. The IaC workflow uses a separate dedicated Terraform IAM user and environment secrets because organization-level OIDC is not currently enabled. Rotate the static key and migrate to OIDC when allowed.</w:t>
            </w:r>
          </w:p>
        </w:tc>
      </w:tr>
    </w:tbl>
    <w:p>
      <w:pPr>
        <w:spacing w:after="40"/>
      </w:pPr>
      <w:r>
        <w:rPr>
          <w:rFonts w:ascii="Arial" w:hAnsi="Arial"/>
          <w:b w:val="0"/>
          <w:color w:val="17324D"/>
          <w:sz w:val="20"/>
        </w:rPr>
      </w:r>
    </w:p>
    <w:p>
      <w:pPr>
        <w:pStyle w:val="Heading1"/>
      </w:pPr>
      <w:r>
        <w:rPr>
          <w:rFonts w:ascii="Arial" w:hAnsi="Arial"/>
          <w:b/>
          <w:color w:val="17324D"/>
          <w:sz w:val="32"/>
        </w:rPr>
        <w:t>6. Reading a run when something fails</w:t>
      </w:r>
    </w:p>
    <w:p>
      <w:pPr>
        <w:pStyle w:val="ListNumber"/>
        <w:spacing w:after="60"/>
      </w:pPr>
      <w:r>
        <w:t>If a step fails, start with the failed job and stage. Stage 8 covers the API Docker build and ECR publish; Stage 9 covers task-definition registration, migration, ECS rollout, frontend build, S3 sync, and CloudFront invalidation.</w:t>
      </w:r>
    </w:p>
    <w:p>
      <w:pPr>
        <w:pStyle w:val="ListNumber"/>
        <w:spacing w:after="60"/>
      </w:pPr>
      <w:r>
        <w:t>For Stage 9, verify this order: image exists in ECR, task definition registers, the one-off migration task exits successfully, ECS reaches steady state, frontend build succeeds, S3 sync completes, and CloudFront accepts the invalidation.</w:t>
      </w:r>
    </w:p>
    <w:p>
      <w:pPr>
        <w:pStyle w:val="ListNumber"/>
        <w:spacing w:after="60"/>
      </w:pPr>
      <w:r>
        <w:t>For Terraform, a green validation stage proves the configuration passes formatting and validation; it does not prove apply ran. Confirm all three Terraform stages succeeded and the plan/apply step completed.</w:t>
      </w:r>
    </w:p>
    <w:p>
      <w:pPr>
        <w:pStyle w:val="ListNumber"/>
        <w:spacing w:after="60"/>
      </w:pPr>
      <w:r>
        <w:t>A pull request run validates only. After merge, check for a separate dev push run to confirm application deployment. Terraform apply is handled by the separate IaC repository workflow, not by this application workflow.</w:t>
      </w:r>
    </w:p>
    <w:p>
      <w:pPr>
        <w:pStyle w:val="Heading1"/>
      </w:pPr>
      <w:r>
        <w:t>7. Current deployment configuration</w:t>
      </w:r>
    </w:p>
    <w:p>
      <w:pPr>
        <w:pStyle w:val="ListBullet"/>
        <w:spacing w:after="60"/>
      </w:pPr>
      <w:r>
        <w:t>The application workflow targets dev. Its Stage 8 job builds without publishing on pull requests and publishes the commit-SHA image to ECR on dev pushes; Stage 9 deploys only on dev pushes. The job graph intentionally starts PR description and directory checks independently, then uses explicit dependencies for the remaining stages.</w:t>
      </w:r>
    </w:p>
    <w:p>
      <w:pPr>
        <w:pStyle w:val="ListBullet"/>
        <w:spacing w:after="60"/>
      </w:pPr>
      <w:r>
        <w:t>The IaC workflow uses a dedicated static-key Terraform IAM user stored in the IaC repository's development GitHub environment. It does not currently use OIDC. That workflow now runs sequentially: Terraform validation, AWS account verification, then remote-state plan/apply. The latest recorded run completed successfully; see the IaC repository Actions history for the run details.</w:t>
      </w:r>
    </w:p>
    <w:p>
      <w:pPr>
        <w:pStyle w:val="ListBullet"/>
        <w:spacing w:after="60"/>
      </w:pPr>
      <w:r>
        <w:t>The architecture configures CloudFront as the website entry point, with Route 53 DNS aliases and an ACM certificate for the custom hostnames. GoDaddy remains the registrar and delegates DNS to Route 53. Check live DNS, certificate status, and CloudFront behavior separately when troubleshooting the public URL.</w:t>
      </w:r>
    </w:p>
    <w:sectPr w:rsidR="00FC693F" w:rsidRPr="0006063C" w:rsidSect="00034616">
      <w:footerReference w:type="default" r:id="rId9"/>
      <w:pgSz w:w="12240" w:h="15840"/>
      <w:pgMar w:top="936" w:right="1037" w:bottom="1152"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color w:val="5C6B78"/>
        <w:sz w:val="16"/>
      </w:rPr>
      <w:t>Deal and Drive  •  Internal delivery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1732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87E8B"/>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1732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