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sz w:val="28"/>
          <w:szCs w:val="28"/>
        </w:rPr>
      </w:pPr>
      <w:r>
        <w:rPr>
          <w:rFonts w:cs="Arial"/>
          <w:b/>
          <w:sz w:val="28"/>
          <w:szCs w:val="28"/>
        </w:rPr>
        <w:t>CENTRO PAULA SOUZA</w:t>
      </w:r>
    </w:p>
    <w:p>
      <w:pPr>
        <w:jc w:val="center"/>
        <w:rPr>
          <w:rFonts w:cs="Arial"/>
          <w:b/>
          <w:sz w:val="28"/>
          <w:szCs w:val="28"/>
        </w:rPr>
      </w:pPr>
      <w:r>
        <w:rPr>
          <w:rFonts w:cs="Arial"/>
          <w:b/>
          <w:sz w:val="28"/>
          <w:szCs w:val="28"/>
        </w:rPr>
        <w:t>ETEC PROF. ARMANDO BAYEUX DA SILVA</w:t>
      </w:r>
    </w:p>
    <w:p>
      <w:pPr>
        <w:jc w:val="center"/>
        <w:rPr>
          <w:rFonts w:cs="Arial"/>
          <w:b/>
          <w:sz w:val="28"/>
          <w:szCs w:val="28"/>
        </w:rPr>
      </w:pPr>
      <w:r>
        <w:rPr>
          <w:rFonts w:cs="Arial"/>
          <w:b/>
          <w:sz w:val="28"/>
          <w:szCs w:val="28"/>
        </w:rPr>
        <w:t>Técnico em Desenvolvimento de Sistemas</w:t>
      </w: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r>
        <w:rPr>
          <w:rFonts w:cs="Arial"/>
          <w:b/>
          <w:sz w:val="28"/>
          <w:szCs w:val="28"/>
        </w:rPr>
        <w:t>Giovanni Bautto Rohrig</w:t>
      </w:r>
    </w:p>
    <w:p>
      <w:pPr>
        <w:jc w:val="center"/>
        <w:rPr>
          <w:rFonts w:cs="Arial"/>
          <w:b/>
          <w:sz w:val="28"/>
          <w:szCs w:val="28"/>
        </w:rPr>
      </w:pPr>
      <w:r>
        <w:rPr>
          <w:rFonts w:cs="Arial"/>
          <w:b/>
          <w:sz w:val="28"/>
          <w:szCs w:val="28"/>
        </w:rPr>
        <w:t>Natan Righi</w:t>
      </w: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r>
        <w:rPr>
          <w:rFonts w:cs="Arial"/>
          <w:b/>
          <w:sz w:val="28"/>
          <w:szCs w:val="28"/>
        </w:rPr>
        <w:t>ETEC GAMES</w:t>
      </w: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r>
        <w:rPr>
          <w:rFonts w:cs="Arial"/>
          <w:b/>
          <w:sz w:val="28"/>
          <w:szCs w:val="28"/>
        </w:rPr>
        <w:t>Rio Claro</w:t>
      </w:r>
    </w:p>
    <w:p>
      <w:pPr>
        <w:jc w:val="center"/>
        <w:rPr>
          <w:rFonts w:cs="Arial"/>
          <w:b/>
          <w:sz w:val="28"/>
          <w:szCs w:val="28"/>
        </w:rPr>
      </w:pPr>
      <w:r>
        <w:rPr>
          <w:rFonts w:cs="Arial"/>
          <w:b/>
          <w:sz w:val="28"/>
          <w:szCs w:val="28"/>
        </w:rPr>
        <w:t>2025</w:t>
      </w:r>
    </w:p>
    <w:p>
      <w:pPr>
        <w:jc w:val="center"/>
        <w:rPr>
          <w:rFonts w:cs="Arial"/>
          <w:b/>
          <w:sz w:val="28"/>
          <w:szCs w:val="28"/>
        </w:rPr>
      </w:pPr>
      <w:r>
        <w:rPr>
          <w:rFonts w:cs="Arial"/>
          <w:b/>
          <w:sz w:val="28"/>
          <w:szCs w:val="28"/>
        </w:rPr>
        <w:t>Giovanni Bautto Rohrig</w:t>
      </w:r>
    </w:p>
    <w:p>
      <w:pPr>
        <w:jc w:val="center"/>
        <w:rPr>
          <w:rFonts w:cs="Arial"/>
          <w:b/>
          <w:sz w:val="28"/>
          <w:szCs w:val="28"/>
        </w:rPr>
      </w:pPr>
      <w:r>
        <w:rPr>
          <w:rFonts w:cs="Arial"/>
          <w:b/>
          <w:sz w:val="28"/>
          <w:szCs w:val="28"/>
        </w:rPr>
        <w:t>Natan Righi</w:t>
      </w: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r>
        <w:rPr>
          <w:rFonts w:cs="Arial"/>
          <w:b/>
          <w:sz w:val="28"/>
          <w:szCs w:val="28"/>
        </w:rPr>
        <w:t>ETEC GAMES</w:t>
      </w: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2509"/>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76" w:hRule="atLeast"/>
        </w:trPr>
        <w:tc>
          <w:tcPr>
            <w:tcW w:w="3020" w:type="dxa"/>
            <w:tcBorders>
              <w:top w:val="nil"/>
              <w:left w:val="nil"/>
              <w:bottom w:val="nil"/>
              <w:right w:val="nil"/>
            </w:tcBorders>
          </w:tcPr>
          <w:p>
            <w:pPr>
              <w:spacing w:after="0" w:line="240" w:lineRule="auto"/>
              <w:jc w:val="center"/>
              <w:rPr>
                <w:rFonts w:cs="Arial"/>
                <w:b/>
                <w:sz w:val="28"/>
                <w:szCs w:val="28"/>
              </w:rPr>
            </w:pPr>
          </w:p>
        </w:tc>
        <w:tc>
          <w:tcPr>
            <w:tcW w:w="2509" w:type="dxa"/>
            <w:tcBorders>
              <w:top w:val="nil"/>
              <w:left w:val="nil"/>
              <w:bottom w:val="nil"/>
              <w:right w:val="nil"/>
            </w:tcBorders>
          </w:tcPr>
          <w:p>
            <w:pPr>
              <w:spacing w:after="0" w:line="240" w:lineRule="auto"/>
              <w:jc w:val="center"/>
              <w:rPr>
                <w:rFonts w:cs="Arial"/>
                <w:b/>
                <w:sz w:val="28"/>
                <w:szCs w:val="28"/>
              </w:rPr>
            </w:pPr>
          </w:p>
        </w:tc>
        <w:tc>
          <w:tcPr>
            <w:tcW w:w="3532" w:type="dxa"/>
            <w:tcBorders>
              <w:top w:val="nil"/>
              <w:left w:val="nil"/>
              <w:bottom w:val="nil"/>
              <w:right w:val="nil"/>
            </w:tcBorders>
          </w:tcPr>
          <w:p>
            <w:pPr>
              <w:spacing w:after="0" w:line="240" w:lineRule="auto"/>
              <w:jc w:val="both"/>
              <w:rPr>
                <w:rFonts w:cs="Arial"/>
              </w:rPr>
            </w:pPr>
            <w:r>
              <w:rPr>
                <w:rFonts w:eastAsia="Calibri" w:cs="Arial"/>
              </w:rPr>
              <w:t>Trabalho de Conclusão de Curso</w:t>
            </w:r>
          </w:p>
          <w:p>
            <w:pPr>
              <w:spacing w:after="0" w:line="240" w:lineRule="auto"/>
              <w:jc w:val="both"/>
              <w:rPr>
                <w:rFonts w:cs="Arial"/>
              </w:rPr>
            </w:pPr>
            <w:r>
              <w:rPr>
                <w:rFonts w:eastAsia="Calibri" w:cs="Arial"/>
              </w:rPr>
              <w:t>Apresentado ao Curso Técnico em Desenvolvimento de Sistemas da Etec Prof Armando Bayeux da Silva, orientado pelo Prof Valdeci Ançanello e pela Profa Kátia Regina Borgi, como requisito parcial para obtenção do título de técnico em Desenvolvimento de Sistemas</w:t>
            </w:r>
          </w:p>
        </w:tc>
      </w:tr>
    </w:tbl>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p>
    <w:p>
      <w:pPr>
        <w:jc w:val="center"/>
        <w:rPr>
          <w:rFonts w:cs="Arial"/>
          <w:b/>
          <w:sz w:val="28"/>
          <w:szCs w:val="28"/>
        </w:rPr>
      </w:pPr>
      <w:r>
        <w:rPr>
          <w:rFonts w:cs="Arial"/>
          <w:b/>
          <w:sz w:val="28"/>
          <w:szCs w:val="28"/>
        </w:rPr>
        <w:t>Rio Claro</w:t>
      </w:r>
    </w:p>
    <w:p>
      <w:pPr>
        <w:jc w:val="center"/>
        <w:rPr>
          <w:rFonts w:cs="Arial"/>
          <w:b/>
          <w:sz w:val="28"/>
          <w:szCs w:val="28"/>
        </w:rPr>
      </w:pPr>
      <w:r>
        <w:rPr>
          <w:rFonts w:cs="Arial"/>
          <w:b/>
          <w:sz w:val="28"/>
          <w:szCs w:val="28"/>
        </w:rPr>
        <w:t>2025</w:t>
      </w:r>
    </w:p>
    <w:p>
      <w:pPr>
        <w:jc w:val="center"/>
      </w:pPr>
    </w:p>
    <w:sdt>
      <w:sdtPr>
        <w:id w:val="-1"/>
        <w:docPartObj>
          <w:docPartGallery w:val="Table of Contents"/>
          <w:docPartUnique/>
        </w:docPartObj>
      </w:sdtPr>
      <w:sdtEndPr>
        <w:rPr>
          <w:rFonts w:ascii="Arial" w:hAnsi="Arial" w:eastAsiaTheme="minorHAnsi" w:cstheme="minorBidi"/>
          <w:b/>
          <w:bCs/>
          <w:color w:val="auto"/>
          <w:sz w:val="24"/>
          <w:szCs w:val="22"/>
          <w:lang w:eastAsia="en-US"/>
        </w:rPr>
      </w:sdtEndPr>
      <w:sdtContent>
        <w:p>
          <w:pPr>
            <w:pStyle w:val="25"/>
          </w:pPr>
          <w:r>
            <w:t>Sumário</w:t>
          </w:r>
        </w:p>
        <w:p>
          <w:pPr>
            <w:pStyle w:val="17"/>
            <w:tabs>
              <w:tab w:val="right" w:leader="dot" w:pos="9071"/>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_Toc1077810831 </w:instrText>
          </w:r>
          <w:r>
            <w:rPr>
              <w:bCs/>
            </w:rPr>
            <w:fldChar w:fldCharType="separate"/>
          </w:r>
          <w:r>
            <w:t>CAPÍTULO I</w:t>
          </w:r>
          <w:r>
            <w:tab/>
          </w:r>
          <w:r>
            <w:fldChar w:fldCharType="begin"/>
          </w:r>
          <w:r>
            <w:instrText xml:space="preserve"> PAGEREF _Toc1077810831 \h </w:instrText>
          </w:r>
          <w:r>
            <w:fldChar w:fldCharType="separate"/>
          </w:r>
          <w:r>
            <w:t>5</w:t>
          </w:r>
          <w:r>
            <w:fldChar w:fldCharType="end"/>
          </w:r>
          <w:r>
            <w:rPr>
              <w:bCs/>
            </w:rPr>
            <w:fldChar w:fldCharType="end"/>
          </w:r>
        </w:p>
        <w:p>
          <w:pPr>
            <w:pStyle w:val="18"/>
            <w:tabs>
              <w:tab w:val="right" w:leader="dot" w:pos="9071"/>
            </w:tabs>
          </w:pPr>
          <w:r>
            <w:rPr>
              <w:bCs/>
            </w:rPr>
            <w:fldChar w:fldCharType="begin"/>
          </w:r>
          <w:r>
            <w:rPr>
              <w:bCs/>
            </w:rPr>
            <w:instrText xml:space="preserve"> HYPERLINK \l _Toc534178203 </w:instrText>
          </w:r>
          <w:r>
            <w:rPr>
              <w:bCs/>
            </w:rPr>
            <w:fldChar w:fldCharType="separate"/>
          </w:r>
          <w:r>
            <w:t>1. O Centro Paula Souza</w:t>
          </w:r>
          <w:r>
            <w:tab/>
          </w:r>
          <w:r>
            <w:fldChar w:fldCharType="begin"/>
          </w:r>
          <w:r>
            <w:instrText xml:space="preserve"> PAGEREF _Toc534178203 \h </w:instrText>
          </w:r>
          <w:r>
            <w:fldChar w:fldCharType="separate"/>
          </w:r>
          <w:r>
            <w:t>5</w:t>
          </w:r>
          <w:r>
            <w:fldChar w:fldCharType="end"/>
          </w:r>
          <w:r>
            <w:rPr>
              <w:bCs/>
            </w:rPr>
            <w:fldChar w:fldCharType="end"/>
          </w:r>
        </w:p>
        <w:p>
          <w:pPr>
            <w:pStyle w:val="18"/>
            <w:tabs>
              <w:tab w:val="right" w:leader="dot" w:pos="9071"/>
            </w:tabs>
          </w:pPr>
          <w:r>
            <w:rPr>
              <w:bCs/>
            </w:rPr>
            <w:fldChar w:fldCharType="begin"/>
          </w:r>
          <w:r>
            <w:rPr>
              <w:bCs/>
            </w:rPr>
            <w:instrText xml:space="preserve"> HYPERLINK \l _Toc1831977638 </w:instrText>
          </w:r>
          <w:r>
            <w:rPr>
              <w:bCs/>
            </w:rPr>
            <w:fldChar w:fldCharType="separate"/>
          </w:r>
          <w:r>
            <w:t>1.1 Origem do Centro Paula Souza</w:t>
          </w:r>
          <w:r>
            <w:tab/>
          </w:r>
          <w:r>
            <w:fldChar w:fldCharType="begin"/>
          </w:r>
          <w:r>
            <w:instrText xml:space="preserve"> PAGEREF _Toc1831977638 \h </w:instrText>
          </w:r>
          <w:r>
            <w:fldChar w:fldCharType="separate"/>
          </w:r>
          <w:r>
            <w:t>5</w:t>
          </w:r>
          <w:r>
            <w:fldChar w:fldCharType="end"/>
          </w:r>
          <w:r>
            <w:rPr>
              <w:bCs/>
            </w:rPr>
            <w:fldChar w:fldCharType="end"/>
          </w:r>
        </w:p>
        <w:p>
          <w:pPr>
            <w:pStyle w:val="18"/>
            <w:tabs>
              <w:tab w:val="right" w:leader="dot" w:pos="9071"/>
            </w:tabs>
          </w:pPr>
          <w:r>
            <w:rPr>
              <w:bCs/>
            </w:rPr>
            <w:fldChar w:fldCharType="begin"/>
          </w:r>
          <w:r>
            <w:rPr>
              <w:bCs/>
            </w:rPr>
            <w:instrText xml:space="preserve"> HYPERLINK \l _Toc436873456 </w:instrText>
          </w:r>
          <w:r>
            <w:rPr>
              <w:bCs/>
            </w:rPr>
            <w:fldChar w:fldCharType="separate"/>
          </w:r>
          <w:r>
            <w:t>1.2. O Bayeux</w:t>
          </w:r>
          <w:r>
            <w:tab/>
          </w:r>
          <w:r>
            <w:fldChar w:fldCharType="begin"/>
          </w:r>
          <w:r>
            <w:instrText xml:space="preserve"> PAGEREF _Toc436873456 \h </w:instrText>
          </w:r>
          <w:r>
            <w:fldChar w:fldCharType="separate"/>
          </w:r>
          <w:r>
            <w:t>6</w:t>
          </w:r>
          <w:r>
            <w:fldChar w:fldCharType="end"/>
          </w:r>
          <w:r>
            <w:rPr>
              <w:bCs/>
            </w:rPr>
            <w:fldChar w:fldCharType="end"/>
          </w:r>
        </w:p>
        <w:p>
          <w:pPr>
            <w:pStyle w:val="17"/>
            <w:tabs>
              <w:tab w:val="right" w:leader="dot" w:pos="9071"/>
            </w:tabs>
          </w:pPr>
          <w:r>
            <w:rPr>
              <w:bCs/>
            </w:rPr>
            <w:fldChar w:fldCharType="begin"/>
          </w:r>
          <w:r>
            <w:rPr>
              <w:bCs/>
            </w:rPr>
            <w:instrText xml:space="preserve"> HYPERLINK \l _Toc1503362256 </w:instrText>
          </w:r>
          <w:r>
            <w:rPr>
              <w:bCs/>
            </w:rPr>
            <w:fldChar w:fldCharType="separate"/>
          </w:r>
          <w:r>
            <w:t>CAPÍTULO II</w:t>
          </w:r>
          <w:r>
            <w:tab/>
          </w:r>
          <w:r>
            <w:fldChar w:fldCharType="begin"/>
          </w:r>
          <w:r>
            <w:instrText xml:space="preserve"> PAGEREF _Toc1503362256 \h </w:instrText>
          </w:r>
          <w:r>
            <w:fldChar w:fldCharType="separate"/>
          </w:r>
          <w:r>
            <w:t>7</w:t>
          </w:r>
          <w:r>
            <w:fldChar w:fldCharType="end"/>
          </w:r>
          <w:r>
            <w:rPr>
              <w:bCs/>
            </w:rPr>
            <w:fldChar w:fldCharType="end"/>
          </w:r>
        </w:p>
        <w:p>
          <w:pPr>
            <w:pStyle w:val="18"/>
            <w:tabs>
              <w:tab w:val="right" w:leader="dot" w:pos="9071"/>
            </w:tabs>
          </w:pPr>
          <w:r>
            <w:rPr>
              <w:bCs/>
            </w:rPr>
            <w:fldChar w:fldCharType="begin"/>
          </w:r>
          <w:r>
            <w:rPr>
              <w:bCs/>
            </w:rPr>
            <w:instrText xml:space="preserve"> HYPERLINK \l _Toc1950230214 </w:instrText>
          </w:r>
          <w:r>
            <w:rPr>
              <w:bCs/>
            </w:rPr>
            <w:fldChar w:fldCharType="separate"/>
          </w:r>
          <w:r>
            <w:rPr>
              <w:rFonts w:cs="Arial"/>
            </w:rPr>
            <w:t xml:space="preserve">2. </w:t>
          </w:r>
          <w:r>
            <w:t>Histórico do Curso Técnico em Desenvolvimento de Sistemas no Estado de São Paulo</w:t>
          </w:r>
          <w:r>
            <w:tab/>
          </w:r>
          <w:r>
            <w:fldChar w:fldCharType="begin"/>
          </w:r>
          <w:r>
            <w:instrText xml:space="preserve"> PAGEREF _Toc1950230214 \h </w:instrText>
          </w:r>
          <w:r>
            <w:fldChar w:fldCharType="separate"/>
          </w:r>
          <w:r>
            <w:t>7</w:t>
          </w:r>
          <w:r>
            <w:fldChar w:fldCharType="end"/>
          </w:r>
          <w:r>
            <w:rPr>
              <w:bCs/>
            </w:rPr>
            <w:fldChar w:fldCharType="end"/>
          </w:r>
        </w:p>
        <w:p>
          <w:pPr>
            <w:pStyle w:val="18"/>
            <w:tabs>
              <w:tab w:val="right" w:leader="dot" w:pos="9071"/>
            </w:tabs>
          </w:pPr>
          <w:r>
            <w:rPr>
              <w:bCs/>
            </w:rPr>
            <w:fldChar w:fldCharType="begin"/>
          </w:r>
          <w:r>
            <w:rPr>
              <w:bCs/>
            </w:rPr>
            <w:instrText xml:space="preserve"> HYPERLINK \l _Toc738658592 </w:instrText>
          </w:r>
          <w:r>
            <w:rPr>
              <w:bCs/>
            </w:rPr>
            <w:fldChar w:fldCharType="separate"/>
          </w:r>
          <w:r>
            <w:t>2.1. A Evolução dos Jogos Eletrônicos no Mundo</w:t>
          </w:r>
          <w:r>
            <w:tab/>
          </w:r>
          <w:r>
            <w:fldChar w:fldCharType="begin"/>
          </w:r>
          <w:r>
            <w:instrText xml:space="preserve"> PAGEREF _Toc738658592 \h </w:instrText>
          </w:r>
          <w:r>
            <w:fldChar w:fldCharType="separate"/>
          </w:r>
          <w:r>
            <w:t>8</w:t>
          </w:r>
          <w:r>
            <w:fldChar w:fldCharType="end"/>
          </w:r>
          <w:r>
            <w:rPr>
              <w:bCs/>
            </w:rPr>
            <w:fldChar w:fldCharType="end"/>
          </w:r>
        </w:p>
        <w:p>
          <w:pPr>
            <w:pStyle w:val="18"/>
            <w:tabs>
              <w:tab w:val="right" w:leader="dot" w:pos="9071"/>
            </w:tabs>
          </w:pPr>
          <w:r>
            <w:rPr>
              <w:bCs/>
            </w:rPr>
            <w:fldChar w:fldCharType="begin"/>
          </w:r>
          <w:r>
            <w:rPr>
              <w:bCs/>
            </w:rPr>
            <w:instrText xml:space="preserve"> HYPERLINK \l _Toc1453012941 </w:instrText>
          </w:r>
          <w:r>
            <w:rPr>
              <w:bCs/>
            </w:rPr>
            <w:fldChar w:fldCharType="separate"/>
          </w:r>
          <w:r>
            <w:t>2.2. O Desenvolvimento de Jogos no Brasil</w:t>
          </w:r>
          <w:r>
            <w:tab/>
          </w:r>
          <w:r>
            <w:fldChar w:fldCharType="begin"/>
          </w:r>
          <w:r>
            <w:instrText xml:space="preserve"> PAGEREF _Toc1453012941 \h </w:instrText>
          </w:r>
          <w:r>
            <w:fldChar w:fldCharType="separate"/>
          </w:r>
          <w:r>
            <w:t>9</w:t>
          </w:r>
          <w:r>
            <w:fldChar w:fldCharType="end"/>
          </w:r>
          <w:r>
            <w:rPr>
              <w:bCs/>
            </w:rPr>
            <w:fldChar w:fldCharType="end"/>
          </w:r>
        </w:p>
        <w:p>
          <w:pPr>
            <w:pStyle w:val="18"/>
            <w:tabs>
              <w:tab w:val="right" w:leader="dot" w:pos="9071"/>
            </w:tabs>
          </w:pPr>
          <w:r>
            <w:rPr>
              <w:bCs/>
            </w:rPr>
            <w:fldChar w:fldCharType="begin"/>
          </w:r>
          <w:r>
            <w:rPr>
              <w:bCs/>
            </w:rPr>
            <w:instrText xml:space="preserve"> HYPERLINK \l _Toc1849117496 </w:instrText>
          </w:r>
          <w:r>
            <w:rPr>
              <w:bCs/>
            </w:rPr>
            <w:fldChar w:fldCharType="separate"/>
          </w:r>
          <w:r>
            <w:t>2.3. A Relação entre o Curso de Desenvolvimento de Sistemas e a Criação de Jogos Digitais</w:t>
          </w:r>
          <w:r>
            <w:tab/>
          </w:r>
          <w:r>
            <w:fldChar w:fldCharType="begin"/>
          </w:r>
          <w:r>
            <w:instrText xml:space="preserve"> PAGEREF _Toc1849117496 \h </w:instrText>
          </w:r>
          <w:r>
            <w:fldChar w:fldCharType="separate"/>
          </w:r>
          <w:r>
            <w:t>11</w:t>
          </w:r>
          <w:r>
            <w:fldChar w:fldCharType="end"/>
          </w:r>
          <w:r>
            <w:rPr>
              <w:bCs/>
            </w:rPr>
            <w:fldChar w:fldCharType="end"/>
          </w:r>
        </w:p>
        <w:p>
          <w:pPr>
            <w:pStyle w:val="17"/>
            <w:tabs>
              <w:tab w:val="right" w:leader="dot" w:pos="9071"/>
            </w:tabs>
          </w:pPr>
          <w:r>
            <w:rPr>
              <w:bCs/>
            </w:rPr>
            <w:fldChar w:fldCharType="begin"/>
          </w:r>
          <w:r>
            <w:rPr>
              <w:bCs/>
            </w:rPr>
            <w:instrText xml:space="preserve"> HYPERLINK \l _Toc1326674768 </w:instrText>
          </w:r>
          <w:r>
            <w:rPr>
              <w:bCs/>
            </w:rPr>
            <w:fldChar w:fldCharType="separate"/>
          </w:r>
          <w:r>
            <w:t>CAPÍTULO III</w:t>
          </w:r>
          <w:r>
            <w:tab/>
          </w:r>
          <w:r>
            <w:fldChar w:fldCharType="begin"/>
          </w:r>
          <w:r>
            <w:instrText xml:space="preserve"> PAGEREF _Toc1326674768 \h </w:instrText>
          </w:r>
          <w:r>
            <w:fldChar w:fldCharType="separate"/>
          </w:r>
          <w:r>
            <w:t>13</w:t>
          </w:r>
          <w:r>
            <w:fldChar w:fldCharType="end"/>
          </w:r>
          <w:r>
            <w:rPr>
              <w:bCs/>
            </w:rPr>
            <w:fldChar w:fldCharType="end"/>
          </w:r>
        </w:p>
        <w:p>
          <w:pPr>
            <w:pStyle w:val="18"/>
            <w:tabs>
              <w:tab w:val="right" w:leader="dot" w:pos="9071"/>
            </w:tabs>
          </w:pPr>
          <w:r>
            <w:rPr>
              <w:bCs/>
            </w:rPr>
            <w:fldChar w:fldCharType="begin"/>
          </w:r>
          <w:r>
            <w:rPr>
              <w:bCs/>
            </w:rPr>
            <w:instrText xml:space="preserve"> HYPERLINK \l _Toc1673088778 </w:instrText>
          </w:r>
          <w:r>
            <w:rPr>
              <w:bCs/>
            </w:rPr>
            <w:fldChar w:fldCharType="separate"/>
          </w:r>
          <w:r>
            <w:t>3.1 O que é um Repositório de Projetos Digitais</w:t>
          </w:r>
          <w:r>
            <w:tab/>
          </w:r>
          <w:r>
            <w:fldChar w:fldCharType="begin"/>
          </w:r>
          <w:r>
            <w:instrText xml:space="preserve"> PAGEREF _Toc1673088778 \h </w:instrText>
          </w:r>
          <w:r>
            <w:fldChar w:fldCharType="separate"/>
          </w:r>
          <w:r>
            <w:t>13</w:t>
          </w:r>
          <w:r>
            <w:fldChar w:fldCharType="end"/>
          </w:r>
          <w:r>
            <w:rPr>
              <w:bCs/>
            </w:rPr>
            <w:fldChar w:fldCharType="end"/>
          </w:r>
        </w:p>
        <w:p>
          <w:pPr>
            <w:pStyle w:val="18"/>
            <w:tabs>
              <w:tab w:val="right" w:leader="dot" w:pos="9071"/>
            </w:tabs>
          </w:pPr>
          <w:r>
            <w:rPr>
              <w:bCs/>
            </w:rPr>
            <w:fldChar w:fldCharType="begin"/>
          </w:r>
          <w:r>
            <w:rPr>
              <w:bCs/>
            </w:rPr>
            <w:instrText xml:space="preserve"> HYPERLINK \l _Toc1358964508 </w:instrText>
          </w:r>
          <w:r>
            <w:rPr>
              <w:bCs/>
            </w:rPr>
            <w:fldChar w:fldCharType="separate"/>
          </w:r>
          <w:r>
            <w:t>3.2 O que é um Launcher de Jogos e Aplicações</w:t>
          </w:r>
          <w:r>
            <w:tab/>
          </w:r>
          <w:r>
            <w:fldChar w:fldCharType="begin"/>
          </w:r>
          <w:r>
            <w:instrText xml:space="preserve"> PAGEREF _Toc1358964508 \h </w:instrText>
          </w:r>
          <w:r>
            <w:fldChar w:fldCharType="separate"/>
          </w:r>
          <w:r>
            <w:t>14</w:t>
          </w:r>
          <w:r>
            <w:fldChar w:fldCharType="end"/>
          </w:r>
          <w:r>
            <w:rPr>
              <w:bCs/>
            </w:rPr>
            <w:fldChar w:fldCharType="end"/>
          </w:r>
        </w:p>
        <w:p>
          <w:pPr>
            <w:pStyle w:val="18"/>
            <w:tabs>
              <w:tab w:val="right" w:leader="dot" w:pos="9071"/>
            </w:tabs>
          </w:pPr>
          <w:r>
            <w:rPr>
              <w:bCs/>
            </w:rPr>
            <w:fldChar w:fldCharType="begin"/>
          </w:r>
          <w:r>
            <w:rPr>
              <w:bCs/>
            </w:rPr>
            <w:instrText xml:space="preserve"> HYPERLINK \l _Toc1015090651 </w:instrText>
          </w:r>
          <w:r>
            <w:rPr>
              <w:bCs/>
            </w:rPr>
            <w:fldChar w:fldCharType="separate"/>
          </w:r>
          <w:r>
            <w:t>3.3 Semelhanças e Diferenças entre Repositório e Launcher</w:t>
          </w:r>
          <w:r>
            <w:tab/>
          </w:r>
          <w:r>
            <w:fldChar w:fldCharType="begin"/>
          </w:r>
          <w:r>
            <w:instrText xml:space="preserve"> PAGEREF _Toc1015090651 \h </w:instrText>
          </w:r>
          <w:r>
            <w:fldChar w:fldCharType="separate"/>
          </w:r>
          <w:r>
            <w:t>15</w:t>
          </w:r>
          <w:r>
            <w:fldChar w:fldCharType="end"/>
          </w:r>
          <w:r>
            <w:rPr>
              <w:bCs/>
            </w:rPr>
            <w:fldChar w:fldCharType="end"/>
          </w:r>
        </w:p>
        <w:p>
          <w:pPr>
            <w:pStyle w:val="18"/>
            <w:tabs>
              <w:tab w:val="right" w:leader="dot" w:pos="9071"/>
            </w:tabs>
          </w:pPr>
          <w:r>
            <w:rPr>
              <w:bCs/>
            </w:rPr>
            <w:fldChar w:fldCharType="begin"/>
          </w:r>
          <w:r>
            <w:rPr>
              <w:bCs/>
            </w:rPr>
            <w:instrText xml:space="preserve"> HYPERLINK \l _Toc2066465317 </w:instrText>
          </w:r>
          <w:r>
            <w:rPr>
              <w:bCs/>
            </w:rPr>
            <w:fldChar w:fldCharType="separate"/>
          </w:r>
          <w:r>
            <w:rPr>
              <w:lang w:val="en-US" w:eastAsia="zh-CN"/>
            </w:rPr>
            <w:t>3.4. Tecnologias Utilizadas em Repositórios e Launchers</w:t>
          </w:r>
          <w:r>
            <w:tab/>
          </w:r>
          <w:r>
            <w:fldChar w:fldCharType="begin"/>
          </w:r>
          <w:r>
            <w:instrText xml:space="preserve"> PAGEREF _Toc2066465317 \h </w:instrText>
          </w:r>
          <w:r>
            <w:fldChar w:fldCharType="separate"/>
          </w:r>
          <w:r>
            <w:t>16</w:t>
          </w:r>
          <w:r>
            <w:fldChar w:fldCharType="end"/>
          </w:r>
          <w:r>
            <w:rPr>
              <w:bCs/>
            </w:rPr>
            <w:fldChar w:fldCharType="end"/>
          </w:r>
        </w:p>
        <w:p>
          <w:pPr>
            <w:pStyle w:val="18"/>
            <w:tabs>
              <w:tab w:val="right" w:leader="dot" w:pos="9071"/>
            </w:tabs>
          </w:pPr>
          <w:r>
            <w:rPr>
              <w:bCs/>
            </w:rPr>
            <w:fldChar w:fldCharType="begin"/>
          </w:r>
          <w:r>
            <w:rPr>
              <w:bCs/>
            </w:rPr>
            <w:instrText xml:space="preserve"> HYPERLINK \l _Toc1244446080 </w:instrText>
          </w:r>
          <w:r>
            <w:rPr>
              <w:bCs/>
            </w:rPr>
            <w:fldChar w:fldCharType="separate"/>
          </w:r>
          <w:r>
            <w:rPr>
              <w:lang w:val="en-US" w:eastAsia="zh-CN"/>
            </w:rPr>
            <w:t>3.5. Estrutura e Arquitetura de um Sistema de Repositório/Launcher</w:t>
          </w:r>
          <w:r>
            <w:tab/>
          </w:r>
          <w:r>
            <w:fldChar w:fldCharType="begin"/>
          </w:r>
          <w:r>
            <w:instrText xml:space="preserve"> PAGEREF _Toc1244446080 \h </w:instrText>
          </w:r>
          <w:r>
            <w:fldChar w:fldCharType="separate"/>
          </w:r>
          <w:r>
            <w:t>17</w:t>
          </w:r>
          <w:r>
            <w:fldChar w:fldCharType="end"/>
          </w:r>
          <w:r>
            <w:rPr>
              <w:bCs/>
            </w:rPr>
            <w:fldChar w:fldCharType="end"/>
          </w:r>
        </w:p>
        <w:p>
          <w:pPr>
            <w:pStyle w:val="17"/>
            <w:tabs>
              <w:tab w:val="right" w:leader="dot" w:pos="9071"/>
            </w:tabs>
          </w:pPr>
          <w:r>
            <w:rPr>
              <w:bCs/>
            </w:rPr>
            <w:fldChar w:fldCharType="begin"/>
          </w:r>
          <w:r>
            <w:rPr>
              <w:bCs/>
            </w:rPr>
            <w:instrText xml:space="preserve"> HYPERLINK \l _Toc1020305582 </w:instrText>
          </w:r>
          <w:r>
            <w:rPr>
              <w:bCs/>
            </w:rPr>
            <w:fldChar w:fldCharType="separate"/>
          </w:r>
          <w:r>
            <w:t>REFERÊNCIAS</w:t>
          </w:r>
          <w:r>
            <w:tab/>
          </w:r>
          <w:r>
            <w:fldChar w:fldCharType="begin"/>
          </w:r>
          <w:r>
            <w:instrText xml:space="preserve"> PAGEREF _Toc1020305582 \h </w:instrText>
          </w:r>
          <w:r>
            <w:fldChar w:fldCharType="separate"/>
          </w:r>
          <w:r>
            <w:t>18</w:t>
          </w:r>
          <w:r>
            <w:fldChar w:fldCharType="end"/>
          </w:r>
          <w:r>
            <w:rPr>
              <w:bCs/>
            </w:rPr>
            <w:fldChar w:fldCharType="end"/>
          </w:r>
        </w:p>
        <w:p>
          <w:r>
            <w:rPr>
              <w:bCs/>
            </w:rPr>
            <w:fldChar w:fldCharType="end"/>
          </w:r>
        </w:p>
      </w:sdtContent>
    </w:sdt>
    <w:p>
      <w:pPr>
        <w:jc w:val="center"/>
      </w:pPr>
    </w:p>
    <w:p>
      <w:pPr>
        <w:jc w:val="center"/>
      </w:pPr>
    </w:p>
    <w:p>
      <w:pPr>
        <w:jc w:val="center"/>
      </w:pPr>
    </w:p>
    <w:p>
      <w:pPr>
        <w:jc w:val="center"/>
      </w:pPr>
    </w:p>
    <w:p>
      <w:pPr>
        <w:jc w:val="center"/>
      </w:pPr>
    </w:p>
    <w:p>
      <w:pPr>
        <w:jc w:val="center"/>
      </w:pPr>
    </w:p>
    <w:p>
      <w:pPr>
        <w:jc w:val="center"/>
      </w:pPr>
    </w:p>
    <w:p>
      <w:pPr>
        <w:jc w:val="center"/>
      </w:pPr>
    </w:p>
    <w:p>
      <w:pPr>
        <w:spacing w:after="0" w:line="240" w:lineRule="auto"/>
        <w:rPr>
          <w:rFonts w:eastAsiaTheme="majorEastAsia" w:cstheme="majorBidi"/>
          <w:b/>
          <w:color w:val="000000" w:themeColor="text1"/>
          <w:szCs w:val="32"/>
          <w14:textFill>
            <w14:solidFill>
              <w14:schemeClr w14:val="tx1"/>
            </w14:solidFill>
          </w14:textFill>
        </w:rPr>
      </w:pPr>
      <w:r>
        <w:br w:type="page"/>
      </w:r>
    </w:p>
    <w:p>
      <w:pPr>
        <w:pStyle w:val="2"/>
        <w:jc w:val="center"/>
        <w:sectPr>
          <w:pgSz w:w="11906" w:h="16838"/>
          <w:pgMar w:top="1701" w:right="1134" w:bottom="1134" w:left="1701" w:header="0" w:footer="0" w:gutter="0"/>
          <w:cols w:space="720" w:num="1"/>
          <w:formProt w:val="0"/>
          <w:docGrid w:linePitch="360" w:charSpace="0"/>
        </w:sectPr>
      </w:pPr>
    </w:p>
    <w:p>
      <w:pPr>
        <w:pStyle w:val="2"/>
        <w:jc w:val="center"/>
      </w:pPr>
      <w:bookmarkStart w:id="0" w:name="_Toc1077810831"/>
      <w:r>
        <w:t>CAPÍTULO I</w:t>
      </w:r>
      <w:bookmarkEnd w:id="0"/>
    </w:p>
    <w:p/>
    <w:p/>
    <w:p>
      <w:pPr>
        <w:pStyle w:val="3"/>
      </w:pPr>
      <w:bookmarkStart w:id="1" w:name="_Toc534178203"/>
      <w:r>
        <w:t>1. O Centro Paula Souza</w:t>
      </w:r>
      <w:bookmarkEnd w:id="1"/>
    </w:p>
    <w:p/>
    <w:p>
      <w:pPr>
        <w:jc w:val="both"/>
      </w:pPr>
      <w:r>
        <w:tab/>
      </w:r>
      <w:r>
        <w:t xml:space="preserve">O Centro Estadual de Educação Tecnológica Paula Souza (CEETEPS) também chamado de Centro Paula Souza (CPS) é uma autarquia do governo do estado de São Paulo, ele está vinculado à Secretaria de Desenvolvimento Econômico, Ciência, Tecnologia e Inovação do Estado de São Paulo, o </w:t>
      </w:r>
      <w:r>
        <w:rPr>
          <w:rFonts w:hint="default"/>
          <w:lang w:val="pt-BR"/>
        </w:rPr>
        <w:t>CPS</w:t>
      </w:r>
      <w:r>
        <w:t xml:space="preserve"> administra</w:t>
      </w:r>
      <w:r>
        <w:rPr>
          <w:rFonts w:hint="default"/>
          <w:lang w:val="pt-BR"/>
        </w:rPr>
        <w:t>ndo</w:t>
      </w:r>
      <w:r>
        <w:t xml:space="preserve"> mais de 220 Escolas Técnicas (ETEC’s) e quase 80 Faculdades de Tecnologia (FATEC’s) situadas em mais de 300 municípios no estado de São Paulo, atendendo atualmente a mais de 316 mil alunos, em cursos técnicos de nível médio e superiores tecnológicos.</w:t>
      </w:r>
    </w:p>
    <w:p/>
    <w:p>
      <w:pPr>
        <w:pStyle w:val="3"/>
      </w:pPr>
      <w:bookmarkStart w:id="2" w:name="_Toc1831977638"/>
      <w:r>
        <w:t>1.1 Origem do Centro Paula Souza</w:t>
      </w:r>
      <w:bookmarkEnd w:id="2"/>
    </w:p>
    <w:p>
      <w:pPr>
        <w:jc w:val="both"/>
      </w:pPr>
    </w:p>
    <w:p>
      <w:pPr>
        <w:ind w:firstLine="708"/>
        <w:jc w:val="both"/>
        <w:rPr>
          <w:rFonts w:cs="Arial"/>
          <w:szCs w:val="24"/>
        </w:rPr>
      </w:pPr>
      <w:r>
        <w:rPr>
          <w:rFonts w:cs="Arial"/>
          <w:szCs w:val="24"/>
        </w:rPr>
        <w:t>Sendo idealizado desde 1963, começou as atividades apenas em 1969/1970, durante a gestão do governador Roberto Costa de Abreu Sodré (1967-1971). Em 1970, recebeu o nome de Centro Estadual de Educação Tecnológica de São Paulo (CEET). Os primeiros cursos superiores instalados foram os de Construção Civil (Construção de Obras Hidráulicas, Construção de Edifícios e Movimento de Terra e Pavimentação), e Construção Mecânica (Desenhista Projetista e Oficinas). O centro foi firmado como órgão mantenedor, depois que a Faculdade de Tecnologia de São Paulo e a Faculdade de Tecnologia de Sorocaba começaram a administrar os dois cursos. Entre 1981 e 1982, o órgão se juntou a mais doze unidades de ensino técnico, conhecidas como Escolas Técnicas Estaduais, informalmente chamadas de ETEC’S. Já em 1994, foram ligadas mais 82 unidades. Atualmente o Centro Paula Souza conta com mais de 220 Etec’s, 73 Faculdades de Tecnologia Estaduais, conhecidas como Fatec’s em mais de 300 municípios de São Paulo</w:t>
      </w:r>
    </w:p>
    <w:p>
      <w:pPr>
        <w:ind w:firstLine="708"/>
        <w:jc w:val="both"/>
        <w:rPr>
          <w:rFonts w:cs="Arial"/>
          <w:szCs w:val="24"/>
        </w:rPr>
      </w:pPr>
      <w:r>
        <w:rPr>
          <w:rFonts w:cs="Arial"/>
          <w:szCs w:val="24"/>
        </w:rPr>
        <w:t>O nome Centro Paula Souza foi inspirado no fundador da Escola Politécnica da Universidade de São Paulo, Antônio Francisco de Paula Souza.</w:t>
      </w:r>
    </w:p>
    <w:p>
      <w:pPr>
        <w:jc w:val="both"/>
        <w:rPr>
          <w:rFonts w:cs="Arial"/>
          <w:szCs w:val="24"/>
        </w:rPr>
      </w:pPr>
    </w:p>
    <w:p>
      <w:pPr>
        <w:pStyle w:val="3"/>
      </w:pPr>
      <w:bookmarkStart w:id="3" w:name="_Toc436873456"/>
      <w:r>
        <w:t>1.2. O Bayeux</w:t>
      </w:r>
      <w:bookmarkEnd w:id="3"/>
      <w:r>
        <w:t xml:space="preserve"> </w:t>
      </w:r>
    </w:p>
    <w:p>
      <w:r>
        <w:tab/>
      </w:r>
    </w:p>
    <w:p>
      <w:pPr>
        <w:jc w:val="both"/>
        <w:rPr>
          <w:rFonts w:cs="Arial"/>
          <w:szCs w:val="24"/>
        </w:rPr>
      </w:pPr>
      <w:r>
        <w:tab/>
      </w:r>
      <w:r>
        <w:rPr>
          <w:rFonts w:cs="Arial"/>
          <w:szCs w:val="24"/>
        </w:rPr>
        <w:t>A Escola Técnica Estadual Professor Armando Bayeux da Silva iniciou as atividades em setembro de 1920 como Escola Profissional Masculina de Rio Claro. Se tornando uma escola industrial em 1943, atendendo à legislação nacional promulgada em 1942 (ensino profissional secundário de primeiro ciclo) e passou a ser designada Escola Industrial de Rio Claro. Com a promulgação da Lei de Diretrizes e Bases da Educação (Lei 4024/61), em 1961, organizou-se como Ginásio Industrial. Na mesma época, adotou o professor Armando Bayeux da Silva como patrono, primeiro diretor da instituição. Com a promulgação da Lei 5692/71, em 1971, que reformou o ensino primário e médio, criando o primeiro e o segundo graus e obrigando a profissionalização desse último, a instituição organizou-se como escola técnica de segundo grau. Da sua fundação até o ano de 1991, a escola permaneceu administrativamente vincula a Secretaria da Educação. Quando em 1992 iniciou-se um processo de mudança administrativa que resultou na incorporação da instituição, em 1994, ao Centro Estadual de Educação Tecnológica Paula Souza.</w:t>
      </w:r>
    </w:p>
    <w:p/>
    <w:p/>
    <w:p/>
    <w:p/>
    <w:p/>
    <w:p/>
    <w:p/>
    <w:p/>
    <w:p/>
    <w:p/>
    <w:p/>
    <w:p>
      <w:pPr>
        <w:pStyle w:val="2"/>
        <w:jc w:val="center"/>
      </w:pPr>
      <w:bookmarkStart w:id="4" w:name="_Toc1503362256"/>
      <w:r>
        <w:t>CAPÍTULO II</w:t>
      </w:r>
      <w:bookmarkEnd w:id="4"/>
    </w:p>
    <w:p>
      <w:pPr>
        <w:jc w:val="center"/>
        <w:rPr>
          <w:b/>
          <w:bCs/>
        </w:rPr>
      </w:pPr>
    </w:p>
    <w:p>
      <w:pPr>
        <w:jc w:val="center"/>
        <w:rPr>
          <w:b/>
          <w:bCs/>
        </w:rPr>
      </w:pPr>
    </w:p>
    <w:p>
      <w:pPr>
        <w:pStyle w:val="3"/>
      </w:pPr>
      <w:bookmarkStart w:id="5" w:name="_Toc1950230214"/>
      <w:r>
        <w:rPr>
          <w:rFonts w:cs="Arial"/>
        </w:rPr>
        <w:t xml:space="preserve">2. </w:t>
      </w:r>
      <w:r>
        <w:t>Histórico do Curso Técnico em Desenvolvimento de Sistemas no Estado de São Paulo</w:t>
      </w:r>
      <w:bookmarkEnd w:id="5"/>
    </w:p>
    <w:p>
      <w:pPr>
        <w:jc w:val="both"/>
        <w:rPr>
          <w:b/>
          <w:bCs/>
          <w:sz w:val="28"/>
          <w:szCs w:val="28"/>
        </w:rPr>
      </w:pPr>
    </w:p>
    <w:p>
      <w:pPr>
        <w:jc w:val="both"/>
        <w:rPr>
          <w:szCs w:val="24"/>
        </w:rPr>
      </w:pPr>
      <w:r>
        <w:tab/>
      </w:r>
      <w:r>
        <w:rPr>
          <w:rFonts w:hint="default"/>
          <w:lang w:val="pt-BR"/>
        </w:rPr>
        <w:tab/>
      </w:r>
      <w:r>
        <w:rPr>
          <w:szCs w:val="24"/>
        </w:rPr>
        <w:t>O curso técnico em Desenvolvimento de Sistemas é uma formação voltada à capacitação profissional de nível médio, com foco prático na criação de softwares, aplicativos, sistemas web e mobile. No Brasil, especialmente no estado de São Paulo, sua trajetória está diretamente ligada à evolução da computação e das diretrizes do Ministério da Educação (MEC), que a partir da década de 1990, impulsionaram a criação de cursos técnicos voltados às demandas do mercado digital emergente.</w:t>
      </w:r>
    </w:p>
    <w:p>
      <w:pPr>
        <w:jc w:val="both"/>
        <w:rPr>
          <w:szCs w:val="24"/>
        </w:rPr>
      </w:pPr>
      <w:r>
        <w:tab/>
      </w:r>
      <w:r>
        <w:rPr>
          <w:szCs w:val="24"/>
        </w:rPr>
        <w:t>Historicamente, as primeiras formações técnicas na área da computação no Brasil foram centradas em Processamento de Dados, com forte presença nos centros urbanos e nas universidades públicas. No estado de São Paulo, o CESET–Unicamp já oferecia formações tecnológicas desde 1988, buscando suprir a carência de profissionais aptos a lidar com sistemas de informação, linguagens de programação e banco de dados (UNICAMP, 2023). Essas formações foram precursoras do atual curso técnico em Desenvolvimento de Sistemas, que começou a ganhar identidade própria a partir dos anos 2000, principalmente por meio da atuação do Centro Paula Souza, responsável por grande parte das escolas técnicas (ETECs) do estado.</w:t>
      </w:r>
    </w:p>
    <w:p>
      <w:pPr>
        <w:jc w:val="both"/>
        <w:rPr>
          <w:szCs w:val="24"/>
        </w:rPr>
      </w:pPr>
      <w:r>
        <w:tab/>
      </w:r>
      <w:r>
        <w:rPr>
          <w:szCs w:val="24"/>
        </w:rPr>
        <w:t xml:space="preserve">De acordo com Santos (2020), o curso técnico em Desenvolvimento de Sistemas vem passando por reformulações curriculares para incorporar tecnologias emergentes, como Inteligência Artificial (IA), Internet das Coisas </w:t>
      </w:r>
      <w:r>
        <w:rPr>
          <w:i/>
          <w:iCs/>
          <w:szCs w:val="24"/>
        </w:rPr>
        <w:t xml:space="preserve">(IoT) </w:t>
      </w:r>
      <w:r>
        <w:rPr>
          <w:szCs w:val="24"/>
        </w:rPr>
        <w:t xml:space="preserve">e Computação em Nuvem. Essas mudanças visam alinhar o currículo às exigências do setor de tecnologia, que demanda cada vez mais profissionais com domínio técnico e capacidade de adaptação às inovações. O autor ressalta que, embora a base do curso continue sendo lógica de programação, banco de dados e desenvolvimento </w:t>
      </w:r>
      <w:r>
        <w:rPr>
          <w:i/>
          <w:iCs/>
          <w:szCs w:val="24"/>
        </w:rPr>
        <w:t>web</w:t>
      </w:r>
      <w:r>
        <w:rPr>
          <w:szCs w:val="24"/>
        </w:rPr>
        <w:t xml:space="preserve">, </w:t>
      </w:r>
      <w:r>
        <w:rPr>
          <w:i w:val="0"/>
          <w:iCs w:val="0"/>
          <w:szCs w:val="24"/>
        </w:rPr>
        <w:t>é necessário expandir essa base para garantir que</w:t>
      </w:r>
      <w:r>
        <w:rPr>
          <w:szCs w:val="24"/>
        </w:rPr>
        <w:t xml:space="preserve"> os egressos tenham competitividade no cenário tecnológico contemporâneo.</w:t>
      </w:r>
    </w:p>
    <w:p>
      <w:pPr>
        <w:jc w:val="both"/>
        <w:rPr>
          <w:szCs w:val="24"/>
        </w:rPr>
      </w:pPr>
      <w:r>
        <w:rPr>
          <w:szCs w:val="24"/>
        </w:rPr>
        <w:t xml:space="preserve">Além disso, o curso técnico também se diferencia pela sua curta duração (geralmente entre 18 e 24 meses) e pela alta empregabilidade, sendo uma alternativa eficiente de formação profissional para jovens e adultos. Com aulas práticas, projetos integradores e parceria com empresas da área de tecnologia, o curso contribui significativamente para o desenvolvimento da economia digital regional, inserindo os estudantes em estágios, </w:t>
      </w:r>
      <w:r>
        <w:rPr>
          <w:i/>
          <w:iCs/>
          <w:szCs w:val="24"/>
        </w:rPr>
        <w:t>hackathons</w:t>
      </w:r>
      <w:r>
        <w:rPr>
          <w:szCs w:val="24"/>
        </w:rPr>
        <w:t xml:space="preserve"> e projetos de software real.</w:t>
      </w:r>
    </w:p>
    <w:p>
      <w:pPr>
        <w:jc w:val="both"/>
        <w:rPr>
          <w:szCs w:val="24"/>
        </w:rPr>
      </w:pPr>
      <w:r>
        <w:tab/>
      </w:r>
      <w:r>
        <w:rPr>
          <w:szCs w:val="24"/>
        </w:rPr>
        <w:t>Dessa forma, o curso técnico em Desenvolvimento de Sistemas representa um marco importante na formação de mão de obra qualificada em tecnologia no estado de São Paulo. Ele combina tradição, iniciada nas formações em Processamento de Dados e Análise de Sistemas, com uma constante adaptação às inovações tecnológicas, o que o torna uma das principais vias de entrada para o mercado de TI no Brasil.</w:t>
      </w:r>
    </w:p>
    <w:p>
      <w:pPr>
        <w:jc w:val="both"/>
      </w:pPr>
    </w:p>
    <w:p>
      <w:pPr>
        <w:pStyle w:val="3"/>
      </w:pPr>
      <w:bookmarkStart w:id="6" w:name="_Toc738658592"/>
      <w:r>
        <w:t>2.1. A Evolução dos Jogos Eletrônicos no Mundo</w:t>
      </w:r>
      <w:bookmarkEnd w:id="6"/>
    </w:p>
    <w:p/>
    <w:p>
      <w:pPr>
        <w:jc w:val="both"/>
        <w:rPr>
          <w:szCs w:val="24"/>
        </w:rPr>
      </w:pPr>
      <w:r>
        <w:tab/>
      </w:r>
      <w:r>
        <w:rPr>
          <w:szCs w:val="24"/>
        </w:rPr>
        <w:t xml:space="preserve">O desenvolvimento de jogos eletrônicos está profundamente ligado à evolução da computação e, consequentemente, ao campo do desenvolvimento de sistemas. Desde os primeiros experimentos computacionais na década de 1950 até os lançamentos atuais de jogos com gráficos </w:t>
      </w:r>
      <w:r>
        <w:rPr>
          <w:i w:val="0"/>
          <w:iCs w:val="0"/>
          <w:szCs w:val="24"/>
        </w:rPr>
        <w:t>hiper-realistas</w:t>
      </w:r>
      <w:r>
        <w:rPr>
          <w:szCs w:val="24"/>
        </w:rPr>
        <w:t xml:space="preserve"> e inteligência artificial avançada, a criação de jogos tem sido um vetor constante de inovação tecnológica, educacional e cultural (KENT, 2001; MURRAY, 2003).</w:t>
      </w:r>
    </w:p>
    <w:p>
      <w:pPr>
        <w:jc w:val="both"/>
        <w:rPr>
          <w:szCs w:val="24"/>
        </w:rPr>
      </w:pPr>
      <w:r>
        <w:tab/>
      </w:r>
      <w:r>
        <w:rPr>
          <w:szCs w:val="24"/>
        </w:rPr>
        <w:t xml:space="preserve">Os primeiros jogos digitais surgiram em ambientes acadêmicos e militares. Em 1958, o físico William Higinbotham desenvolveu o </w:t>
      </w:r>
      <w:r>
        <w:rPr>
          <w:i/>
          <w:iCs/>
          <w:szCs w:val="24"/>
        </w:rPr>
        <w:t>Tennis for Two</w:t>
      </w:r>
      <w:r>
        <w:rPr>
          <w:szCs w:val="24"/>
        </w:rPr>
        <w:t>, considerado um dos primeiros jogos interativos em tela, utilizando um osciloscópio para simular uma partida de tênis. Já em 1962, no Massachusetts</w:t>
      </w:r>
      <w:r>
        <w:rPr>
          <w:i/>
          <w:iCs/>
          <w:szCs w:val="24"/>
        </w:rPr>
        <w:t xml:space="preserve"> Institute of Technology</w:t>
      </w:r>
      <w:r>
        <w:rPr>
          <w:szCs w:val="24"/>
        </w:rPr>
        <w:t xml:space="preserve"> (MIT), surgiu o</w:t>
      </w:r>
      <w:r>
        <w:rPr>
          <w:i/>
          <w:iCs/>
          <w:szCs w:val="24"/>
        </w:rPr>
        <w:t xml:space="preserve"> Spacewar</w:t>
      </w:r>
      <w:r>
        <w:rPr>
          <w:szCs w:val="24"/>
        </w:rPr>
        <w:t>!, um dos primeiros jogos distribuídos entre computadores e que influenciou diretamente o desenvolvimento dos primeiros consoles e fliperamas (KENT, 2001).</w:t>
      </w:r>
    </w:p>
    <w:p>
      <w:pPr>
        <w:jc w:val="both"/>
        <w:rPr>
          <w:szCs w:val="24"/>
        </w:rPr>
      </w:pPr>
      <w:r>
        <w:tab/>
      </w:r>
      <w:r>
        <w:rPr>
          <w:szCs w:val="24"/>
        </w:rPr>
        <w:t xml:space="preserve">Na década de 1970, com a popularização dos arcades e consoles domésticos como o Atari 2600, os jogos deixaram de ser apenas experimentos técnicos e passaram a integrar o mercado de entretenimento digital. Esse período, conhecido como a "era de ouro dos </w:t>
      </w:r>
      <w:r>
        <w:rPr>
          <w:i/>
          <w:iCs/>
          <w:szCs w:val="24"/>
        </w:rPr>
        <w:t>videogames</w:t>
      </w:r>
      <w:r>
        <w:rPr>
          <w:szCs w:val="24"/>
        </w:rPr>
        <w:t>", foi marcado por uma explosão de criatividade e inovação tecnológica, que estabeleceu as bases da indústria moderna de jogos (MURRAY, 2003; KENT, 2001).</w:t>
      </w:r>
    </w:p>
    <w:p>
      <w:pPr>
        <w:jc w:val="both"/>
        <w:rPr>
          <w:szCs w:val="24"/>
        </w:rPr>
      </w:pPr>
      <w:r>
        <w:tab/>
      </w:r>
      <w:r>
        <w:rPr>
          <w:szCs w:val="24"/>
        </w:rPr>
        <w:t>Com o passar das décadas, os jogos tornaram-se mais complexos, incorporando narrativas, inteligência artificial, simulações físicas e ambientes tridimensionais. Essa evolução impulsionou o crescimento de um ecossistema profissional que demanda conhecimentos em áreas como programação, design de interfaces, lógica de sistemas, roteirização interativa, inteligência artificial e modelagem 3D (MILLER, 2008). Assim, a criação de jogos eletrônicos consolidou-se como uma vertente interdisciplinar e altamente tecnológica, sendo reconhecida inclusive como campo de estudo em universidades e escolas técnicas.</w:t>
      </w:r>
    </w:p>
    <w:p>
      <w:pPr>
        <w:jc w:val="both"/>
        <w:rPr>
          <w:szCs w:val="24"/>
        </w:rPr>
      </w:pPr>
      <w:r>
        <w:tab/>
      </w:r>
      <w:r>
        <w:rPr>
          <w:szCs w:val="24"/>
        </w:rPr>
        <w:t xml:space="preserve">Atualmente, o desenvolvimento de jogos figura como uma das áreas mais dinâmicas e inovadoras dentro do universo do desenvolvimento de sistemas. Segundo Miller (2008), o </w:t>
      </w:r>
      <w:r>
        <w:rPr>
          <w:i/>
          <w:iCs/>
          <w:szCs w:val="24"/>
        </w:rPr>
        <w:t xml:space="preserve">game design </w:t>
      </w:r>
      <w:r>
        <w:rPr>
          <w:szCs w:val="24"/>
        </w:rPr>
        <w:t>exige domínio técnico comparável ao de sistemas empresariais complexos, mas associado à criatividade e à experiência do usuário. Dessa forma, a criação de jogos representa não apenas uma forma de entretenimento, mas também um campo fértil para a pesquisa, a educação e o avanço das tecnologias digitais.</w:t>
      </w:r>
    </w:p>
    <w:p>
      <w:pPr>
        <w:pStyle w:val="3"/>
      </w:pPr>
      <w:bookmarkStart w:id="7" w:name="_Toc1453012941"/>
      <w:r>
        <w:t>2.2. O Desenvolvimento de Jogos no Brasil</w:t>
      </w:r>
      <w:bookmarkEnd w:id="7"/>
    </w:p>
    <w:p/>
    <w:p>
      <w:pPr>
        <w:jc w:val="both"/>
        <w:rPr>
          <w:szCs w:val="24"/>
        </w:rPr>
      </w:pPr>
      <w:r>
        <w:tab/>
      </w:r>
      <w:r>
        <w:rPr>
          <w:szCs w:val="24"/>
        </w:rPr>
        <w:t>O desenvolvimento de jogos no Brasil passou por um processo gradual de amadurecimento, impulsionado por avanços tecnológicos, acesso à internet e pela popularização de ferramentas de desenvolvimento acessíveis. Nos anos 1980, programadores independentes começaram a criar jogos para computadores como o MSX, o TK-85 e o CP-500, muitas vezes inspirados em jogos estrangeiros, mas adaptados à realidade nacional. Esses jogos eram distribuídos em fitas cassete ou disquetes e, na maioria das vezes, circulavam de forma não oficial, o que evidencia um cenário ainda não estruturado de mercado formal (SOUZA; COSTA, 2018).</w:t>
      </w:r>
    </w:p>
    <w:p>
      <w:pPr>
        <w:jc w:val="both"/>
        <w:rPr>
          <w:szCs w:val="24"/>
        </w:rPr>
      </w:pPr>
      <w:r>
        <w:tab/>
      </w:r>
      <w:r>
        <w:rPr>
          <w:szCs w:val="24"/>
        </w:rPr>
        <w:t>O cenário começou a se profissionalizar a partir dos anos 2000, com o surgimento de estúdios independentes e o apoio de políticas públicas voltadas à economia criativa. A criação da Lei nº 13.243/2016, que trata do estímulo à inovação e à pesquisa científica, tecnológica e de desenvolvimento nacional, criou</w:t>
      </w:r>
      <w:r>
        <w:rPr>
          <w:rFonts w:hint="default"/>
          <w:szCs w:val="24"/>
          <w:lang w:val="pt-BR"/>
        </w:rPr>
        <w:t>-se</w:t>
      </w:r>
      <w:r>
        <w:rPr>
          <w:szCs w:val="24"/>
        </w:rPr>
        <w:t xml:space="preserve"> um ambiente legal mais favorável à indústria de software e jogos eletrônicos (BRASIL, 2016). Além disso, editais como os da </w:t>
      </w:r>
      <w:r>
        <w:rPr>
          <w:i/>
          <w:iCs/>
          <w:szCs w:val="24"/>
        </w:rPr>
        <w:t>Ancine</w:t>
      </w:r>
      <w:r>
        <w:rPr>
          <w:szCs w:val="24"/>
        </w:rPr>
        <w:t xml:space="preserve"> e da </w:t>
      </w:r>
      <w:r>
        <w:rPr>
          <w:i/>
          <w:iCs/>
          <w:szCs w:val="24"/>
        </w:rPr>
        <w:t xml:space="preserve">Spcine </w:t>
      </w:r>
      <w:r>
        <w:rPr>
          <w:szCs w:val="24"/>
        </w:rPr>
        <w:t>passaram a financiar projetos de jogos digitais, reforçando o potencial cultural e econômico desse setor (MARTINS, 2020).</w:t>
      </w:r>
    </w:p>
    <w:p>
      <w:pPr>
        <w:jc w:val="both"/>
        <w:rPr>
          <w:szCs w:val="24"/>
        </w:rPr>
      </w:pPr>
      <w:r>
        <w:rPr>
          <w:szCs w:val="24"/>
        </w:rPr>
        <w:t xml:space="preserve">Com o avanço das plataformas digitais, como Steam, Google Play e App Store, os jogos brasileiros passaram a ter acesso facilitado ao mercado internacional. Títulos como </w:t>
      </w:r>
      <w:r>
        <w:rPr>
          <w:i/>
          <w:iCs/>
          <w:szCs w:val="24"/>
        </w:rPr>
        <w:t>Horizon Chase (Aquiris Game Studio)</w:t>
      </w:r>
      <w:r>
        <w:rPr>
          <w:szCs w:val="24"/>
        </w:rPr>
        <w:t xml:space="preserve">, Celeste (desenvolvido parcialmente por brasileiros) e </w:t>
      </w:r>
      <w:r>
        <w:rPr>
          <w:i/>
          <w:iCs/>
          <w:szCs w:val="24"/>
        </w:rPr>
        <w:t>Chroma Squad (Behold Studios)</w:t>
      </w:r>
      <w:r>
        <w:rPr>
          <w:szCs w:val="24"/>
        </w:rPr>
        <w:t xml:space="preserve"> são</w:t>
      </w:r>
      <w:r>
        <w:rPr>
          <w:rFonts w:hint="default"/>
          <w:szCs w:val="24"/>
          <w:lang w:val="pt-BR"/>
        </w:rPr>
        <w:t xml:space="preserve"> </w:t>
      </w:r>
      <w:r>
        <w:rPr>
          <w:szCs w:val="24"/>
        </w:rPr>
        <w:t>exemplos de produções independentes brasileiras que conquistaram reconhecimento global, consolidando a reputação dos profissionais nacionais na indústria de games (PIETROCOLA; SILVA, 2021).</w:t>
      </w:r>
    </w:p>
    <w:p>
      <w:pPr>
        <w:jc w:val="both"/>
        <w:rPr>
          <w:szCs w:val="24"/>
        </w:rPr>
      </w:pPr>
      <w:r>
        <w:tab/>
      </w:r>
      <w:r>
        <w:rPr>
          <w:szCs w:val="24"/>
        </w:rPr>
        <w:t>Além disso, diversas instituições de ensino superior e técnico passaram a incluir a produção de jogos como parte do currículo, o que impulsionou a formação de novos desenvolvedores. No contexto das ETECs do estado de São Paulo, por exemplo, é comum que projetos de conclusão de curso incluam jogos digitais, permitindo que os alunos apliquem conhecimentos de lógica, programação, banco de dados, design e interfaces de forma integrada (RODRIGUES; BARROS, 2015). A prática contribui para a qualificação técnica dos alunos e para a inserção profissional em um mercado que, embora ainda desafiador, continua em expansão.</w:t>
      </w:r>
    </w:p>
    <w:p>
      <w:pPr>
        <w:jc w:val="both"/>
        <w:rPr>
          <w:szCs w:val="24"/>
        </w:rPr>
      </w:pPr>
      <w:r>
        <w:tab/>
      </w:r>
      <w:r>
        <w:rPr>
          <w:szCs w:val="24"/>
        </w:rPr>
        <w:t>Esse panorama revela que o desenvolvimento de jogos no Brasil é um campo promissor e estratégico. Ele envolve inovação tecnológica, produção cultural e desenvolvimento econômico. Sua articulação com o ensino técnico, especialmente por meio de projetos como TCCs, reforça a importância de preservar essas produções acadêmicas, tanto como documentação histórica quanto como inspiração para futuras gerações.</w:t>
      </w:r>
    </w:p>
    <w:p>
      <w:pPr>
        <w:pStyle w:val="3"/>
      </w:pPr>
    </w:p>
    <w:p>
      <w:pPr>
        <w:pStyle w:val="3"/>
      </w:pPr>
      <w:bookmarkStart w:id="8" w:name="_Toc1849117496"/>
      <w:r>
        <w:t>2.3. A Relação entre o Curso de Desenvolvimento de Sistemas e a Criação de Jogos Digitais</w:t>
      </w:r>
      <w:bookmarkEnd w:id="8"/>
    </w:p>
    <w:p>
      <w:pPr>
        <w:jc w:val="both"/>
        <w:rPr>
          <w:b/>
          <w:bCs/>
          <w:sz w:val="28"/>
          <w:szCs w:val="28"/>
        </w:rPr>
      </w:pPr>
    </w:p>
    <w:p>
      <w:pPr>
        <w:jc w:val="both"/>
        <w:rPr>
          <w:szCs w:val="24"/>
        </w:rPr>
      </w:pPr>
      <w:r>
        <w:tab/>
      </w:r>
      <w:r>
        <w:rPr>
          <w:szCs w:val="24"/>
        </w:rPr>
        <w:t xml:space="preserve">O curso técnico em Desenvolvimento de Sistemas tem se mostrado uma base sólida para o ingresso no universo da criação de jogos digitais, especialmente no contexto educacional brasileiro. Com a consolidação da indústria de jogos como um dos setores mais lucrativos da economia digital global, habilidades tradicionalmente ensinadas nesse curso — como lógica de programação, estrutura de dados, banco de dados, linguagens orientadas a objetos, modelagem de sistemas e desenvolvimento </w:t>
      </w:r>
      <w:r>
        <w:rPr>
          <w:i/>
          <w:iCs/>
          <w:szCs w:val="24"/>
        </w:rPr>
        <w:t xml:space="preserve">web/mobile </w:t>
      </w:r>
      <w:r>
        <w:rPr>
          <w:szCs w:val="24"/>
        </w:rPr>
        <w:t>— tornaram-se diretamente aplicáveis ao desenvolvimento de jogos eletrônicos, tanto em plataformas independentes quanto comerciais.</w:t>
      </w:r>
    </w:p>
    <w:p>
      <w:pPr>
        <w:jc w:val="both"/>
        <w:rPr>
          <w:szCs w:val="24"/>
        </w:rPr>
      </w:pPr>
      <w:r>
        <w:tab/>
      </w:r>
      <w:r>
        <w:rPr>
          <w:szCs w:val="24"/>
        </w:rPr>
        <w:t xml:space="preserve">A criação de jogos exige uma combinação de competências técnicas e criativas, que vão desde o domínio de linguagens como </w:t>
      </w:r>
      <w:r>
        <w:rPr>
          <w:i/>
          <w:iCs/>
          <w:szCs w:val="24"/>
        </w:rPr>
        <w:t>C#, JavaScript</w:t>
      </w:r>
      <w:r>
        <w:rPr>
          <w:szCs w:val="24"/>
        </w:rPr>
        <w:t xml:space="preserve"> ou </w:t>
      </w:r>
      <w:r>
        <w:rPr>
          <w:i/>
          <w:iCs/>
          <w:szCs w:val="24"/>
        </w:rPr>
        <w:t>Python</w:t>
      </w:r>
      <w:r>
        <w:rPr>
          <w:szCs w:val="24"/>
        </w:rPr>
        <w:t xml:space="preserve"> (frequentemente ensinadas no curso técnico), até o uso de </w:t>
      </w:r>
      <w:r>
        <w:rPr>
          <w:i/>
          <w:iCs/>
          <w:szCs w:val="24"/>
        </w:rPr>
        <w:t>engines</w:t>
      </w:r>
      <w:r>
        <w:rPr>
          <w:szCs w:val="24"/>
        </w:rPr>
        <w:t xml:space="preserve"> como </w:t>
      </w:r>
      <w:r>
        <w:rPr>
          <w:i/>
          <w:iCs/>
          <w:szCs w:val="24"/>
        </w:rPr>
        <w:t>Unity</w:t>
      </w:r>
      <w:r>
        <w:rPr>
          <w:szCs w:val="24"/>
        </w:rPr>
        <w:t xml:space="preserve">, </w:t>
      </w:r>
      <w:r>
        <w:rPr>
          <w:i/>
          <w:iCs/>
          <w:szCs w:val="24"/>
        </w:rPr>
        <w:t>Unreal Engine</w:t>
      </w:r>
      <w:r>
        <w:rPr>
          <w:szCs w:val="24"/>
        </w:rPr>
        <w:t xml:space="preserve"> e </w:t>
      </w:r>
      <w:r>
        <w:rPr>
          <w:i/>
          <w:iCs/>
          <w:szCs w:val="24"/>
        </w:rPr>
        <w:t>Godot</w:t>
      </w:r>
      <w:r>
        <w:rPr>
          <w:szCs w:val="24"/>
        </w:rPr>
        <w:t xml:space="preserve">. O currículo do curso de Desenvolvimento de Sistemas, embora não voltado exclusivamente à produção de jogos, proporciona uma formação robusta em lógica computacional, estruturação de software e modelagem de sistemas — elementos essenciais para o </w:t>
      </w:r>
      <w:r>
        <w:rPr>
          <w:i/>
          <w:iCs/>
          <w:szCs w:val="24"/>
        </w:rPr>
        <w:t>backend</w:t>
      </w:r>
      <w:r>
        <w:rPr>
          <w:rFonts w:hint="default"/>
          <w:i/>
          <w:iCs/>
          <w:szCs w:val="24"/>
          <w:lang w:val="pt-BR"/>
        </w:rPr>
        <w:t xml:space="preserve"> (parte interna de uma aplicação)</w:t>
      </w:r>
      <w:r>
        <w:rPr>
          <w:szCs w:val="24"/>
        </w:rPr>
        <w:t xml:space="preserve"> de jogos digitais (SANTOS, 2020). Além disso, a prática com desenvolvimento </w:t>
      </w:r>
      <w:r>
        <w:rPr>
          <w:i/>
          <w:iCs/>
          <w:szCs w:val="24"/>
        </w:rPr>
        <w:t>web</w:t>
      </w:r>
      <w:r>
        <w:rPr>
          <w:szCs w:val="24"/>
        </w:rPr>
        <w:t xml:space="preserve"> e </w:t>
      </w:r>
      <w:r>
        <w:rPr>
          <w:i/>
          <w:iCs/>
          <w:szCs w:val="24"/>
        </w:rPr>
        <w:t>mobile</w:t>
      </w:r>
      <w:r>
        <w:rPr>
          <w:szCs w:val="24"/>
        </w:rPr>
        <w:t xml:space="preserve"> amplia a possibilidade de produção de jogos casuais para plataformas como navegadores e </w:t>
      </w:r>
      <w:r>
        <w:rPr>
          <w:i/>
          <w:iCs/>
          <w:szCs w:val="24"/>
        </w:rPr>
        <w:t>smartphones</w:t>
      </w:r>
      <w:r>
        <w:rPr>
          <w:szCs w:val="24"/>
        </w:rPr>
        <w:t>.</w:t>
      </w:r>
    </w:p>
    <w:p>
      <w:pPr>
        <w:jc w:val="both"/>
        <w:rPr>
          <w:szCs w:val="24"/>
        </w:rPr>
      </w:pPr>
      <w:r>
        <w:tab/>
      </w:r>
      <w:r>
        <w:rPr>
          <w:szCs w:val="24"/>
        </w:rPr>
        <w:t xml:space="preserve">No estado de São Paulo, diversas ETECs e FATECs passaram a adotar projetos interdisciplinares que incluem o desenvolvimento de jogos como produto final, valorizando a criatividade e o domínio técnico dos alunos. Esse movimento está alinhado às tendências internacionais de ensino de computação, que utilizam os jogos como ferramentas pedagógicas tanto para o ensino quanto para o aprendizado da programação, por seu caráter motivador, iterativo e visual (ACM/IEEE, 2004). Através de projetos de jogos, os estudantes experimentam uma aplicação prática e estimulante dos conhecimentos adquiridos, desenvolvendo competências como trabalho em equipe, versionamento de código, </w:t>
      </w:r>
      <w:r>
        <w:rPr>
          <w:i/>
          <w:iCs/>
          <w:szCs w:val="24"/>
        </w:rPr>
        <w:t xml:space="preserve">design </w:t>
      </w:r>
      <w:r>
        <w:rPr>
          <w:szCs w:val="24"/>
        </w:rPr>
        <w:t>de interface e resolução de problemas complexos.</w:t>
      </w:r>
    </w:p>
    <w:p>
      <w:pPr>
        <w:jc w:val="both"/>
        <w:rPr>
          <w:szCs w:val="24"/>
        </w:rPr>
      </w:pPr>
      <w:r>
        <w:tab/>
      </w:r>
      <w:r>
        <w:rPr>
          <w:szCs w:val="24"/>
        </w:rPr>
        <w:t>Além disso, o desenvolvimento de jogos contribui para a formação de uma mentalidade empreendedora, especialmente no cenário indie nacional, onde muitos desenvolvedores iniciam sua carreira com projetos autorais desenvolvidos ainda no ensino técnico ou superior. Isso reforça o papel do curso de Desenvolvimento de Sistemas não apenas como um meio de inserção no mercado de trabalho tradicional, mas também como um catalisador de iniciativas criativas e inovadoras no setor de entretenimento digital.</w:t>
      </w:r>
    </w:p>
    <w:p>
      <w:pPr>
        <w:jc w:val="both"/>
        <w:rPr>
          <w:szCs w:val="24"/>
        </w:rPr>
      </w:pPr>
      <w:r>
        <w:tab/>
      </w:r>
      <w:r>
        <w:rPr>
          <w:szCs w:val="24"/>
        </w:rPr>
        <w:t xml:space="preserve">Em síntese, embora o curso técnico de Desenvolvimento de Sistemas não seja exclusivamente voltado para a formação de game </w:t>
      </w:r>
      <w:r>
        <w:rPr>
          <w:i/>
          <w:iCs/>
          <w:szCs w:val="24"/>
        </w:rPr>
        <w:t>developers</w:t>
      </w:r>
      <w:r>
        <w:rPr>
          <w:szCs w:val="24"/>
        </w:rPr>
        <w:t>, ele oferece os fundamentos necessários para que os alunos possam iniciar na área de jogos digitais com segurança técnica, criatividade e visão de projeto. Essa intersecção entre desenvolvimento de sistemas e criação de jogos reflete a flexibilização dos currículos e a valorização da aprendizagem baseada em projetos, que tornam a formação mais atrativa, atualizada e integrada ao mercado de trabalho contemporâneo.</w:t>
      </w: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pStyle w:val="2"/>
        <w:jc w:val="center"/>
      </w:pPr>
      <w:bookmarkStart w:id="9" w:name="_Toc1326674768"/>
      <w:r>
        <w:t>CAPÍTULO III</w:t>
      </w:r>
      <w:bookmarkEnd w:id="9"/>
    </w:p>
    <w:p>
      <w:pPr>
        <w:jc w:val="both"/>
        <w:rPr>
          <w:szCs w:val="24"/>
        </w:rPr>
      </w:pPr>
    </w:p>
    <w:p>
      <w:pPr>
        <w:pStyle w:val="3"/>
      </w:pPr>
      <w:bookmarkStart w:id="10" w:name="_Toc1673088778"/>
      <w:r>
        <w:t>3.1 O que é um Repositório de Projetos Digitais</w:t>
      </w:r>
      <w:bookmarkEnd w:id="10"/>
    </w:p>
    <w:p/>
    <w:p>
      <w:pPr>
        <w:jc w:val="both"/>
        <w:rPr>
          <w:szCs w:val="24"/>
        </w:rPr>
      </w:pPr>
      <w:r>
        <w:tab/>
      </w:r>
      <w:r>
        <w:rPr>
          <w:szCs w:val="24"/>
        </w:rPr>
        <w:t>Um repositório digital é um sistema de armazenamento e gerenciamento de documentos e arquivos digitais, estruturado para permitir o acesso, preservação e disseminação de informações. No ambiente educacional, os repositórios são frequentemente utilizados para armazenar trabalhos acadêmicos, como TCCs, artigos científicos, softwares, jogos, sites e aplicativos desenvolvidos por estudantes e docentes. Além de assegurar a memória institucional, esses sistemas promovem a valorização da produção intelectual das instituições de ensino.</w:t>
      </w:r>
    </w:p>
    <w:p>
      <w:pPr>
        <w:jc w:val="both"/>
        <w:rPr>
          <w:szCs w:val="24"/>
        </w:rPr>
      </w:pPr>
      <w:r>
        <w:tab/>
      </w:r>
      <w:r>
        <w:rPr>
          <w:szCs w:val="24"/>
        </w:rPr>
        <w:t xml:space="preserve">Os repositórios acadêmicos modernos costumam incluir funcionalidades como busca por metadados (autor, título, curso, data, linguagem, etc.), organização por categorias e cursos, e download de arquivos completos. Sistemas como </w:t>
      </w:r>
      <w:r>
        <w:rPr>
          <w:i/>
          <w:iCs/>
          <w:szCs w:val="24"/>
        </w:rPr>
        <w:t>DSpace</w:t>
      </w:r>
      <w:r>
        <w:rPr>
          <w:szCs w:val="24"/>
        </w:rPr>
        <w:t xml:space="preserve">, </w:t>
      </w:r>
      <w:r>
        <w:rPr>
          <w:i/>
          <w:iCs/>
          <w:szCs w:val="24"/>
        </w:rPr>
        <w:t>Omeka</w:t>
      </w:r>
      <w:r>
        <w:rPr>
          <w:szCs w:val="24"/>
        </w:rPr>
        <w:t xml:space="preserve"> e </w:t>
      </w:r>
      <w:r>
        <w:rPr>
          <w:i/>
          <w:iCs/>
          <w:szCs w:val="24"/>
        </w:rPr>
        <w:t>Fedora Commons</w:t>
      </w:r>
      <w:r>
        <w:rPr>
          <w:szCs w:val="24"/>
        </w:rPr>
        <w:t xml:space="preserve"> são amplamente utilizados por universidades e centros técnicos em todo o mundo, mas também é comum o desenvolvimento de soluções personalizadas com base em </w:t>
      </w:r>
      <w:r>
        <w:rPr>
          <w:i/>
          <w:iCs/>
          <w:szCs w:val="24"/>
        </w:rPr>
        <w:t>frameworks</w:t>
      </w:r>
      <w:r>
        <w:rPr>
          <w:szCs w:val="24"/>
        </w:rPr>
        <w:t xml:space="preserve"> web modernos, especialmente em cursos de Desenvolvimento de Sistemas.</w:t>
      </w:r>
    </w:p>
    <w:p>
      <w:pPr>
        <w:jc w:val="both"/>
        <w:rPr>
          <w:szCs w:val="24"/>
        </w:rPr>
      </w:pPr>
      <w:r>
        <w:tab/>
      </w:r>
      <w:r>
        <w:rPr>
          <w:szCs w:val="24"/>
        </w:rPr>
        <w:t>No contexto das ETECs de São Paulo, um repositório de projetos permite que o conhecimento gerado durante o curso técnico não seja descartado após a conclusão, mas sim preservado e reutilizado por turmas futuras. Isso contribui para a criação de uma cultura de continuidade e melhoria de projetos e reforça a ideia de que os TCCs não são apenas etapas obrigatórias, mas também ativos valiosos de inovação.</w:t>
      </w:r>
    </w:p>
    <w:p>
      <w:pPr>
        <w:jc w:val="both"/>
        <w:rPr>
          <w:szCs w:val="24"/>
        </w:rPr>
      </w:pPr>
    </w:p>
    <w:p>
      <w:pPr>
        <w:pStyle w:val="3"/>
      </w:pPr>
      <w:bookmarkStart w:id="11" w:name="_Toc1358964508"/>
      <w:r>
        <w:t>3.2 O que é um Launcher de Jogos e Aplicações</w:t>
      </w:r>
      <w:bookmarkEnd w:id="11"/>
    </w:p>
    <w:p/>
    <w:p>
      <w:pPr>
        <w:jc w:val="both"/>
        <w:rPr>
          <w:szCs w:val="24"/>
        </w:rPr>
      </w:pPr>
      <w:r>
        <w:tab/>
      </w:r>
      <w:r>
        <w:rPr>
          <w:szCs w:val="24"/>
        </w:rPr>
        <w:t>Um launcher (ou inicializador) é um programa ou interface que tem como principal função centralizar, organizar e executar jogos, aplicativos ou sistemas. No universo dos jogos digitais, o launcher é responsável por fornecer uma experiência integrada para o usuário, reunindo diversos títulos, instaladores, configurações, atualizações e recursos sociais em uma única plataforma. Exemplos amplamente conhecidos incluem o Steam, Epic Games Launcher, Battle.net e itch.io app.</w:t>
      </w:r>
    </w:p>
    <w:p>
      <w:pPr>
        <w:jc w:val="both"/>
        <w:rPr>
          <w:szCs w:val="24"/>
        </w:rPr>
      </w:pPr>
      <w:r>
        <w:tab/>
      </w:r>
      <w:r>
        <w:rPr>
          <w:szCs w:val="24"/>
        </w:rPr>
        <w:t xml:space="preserve">Entretanto, a lógica de funcionamento de um launcher pode ser adaptada para projetos educacionais, funcionando como um “portal visual” que apresenta e executa jogos, </w:t>
      </w:r>
      <w:r>
        <w:rPr>
          <w:i/>
          <w:iCs/>
          <w:szCs w:val="24"/>
        </w:rPr>
        <w:t>sites</w:t>
      </w:r>
      <w:r>
        <w:rPr>
          <w:szCs w:val="24"/>
        </w:rPr>
        <w:t xml:space="preserve"> e </w:t>
      </w:r>
      <w:r>
        <w:rPr>
          <w:i/>
          <w:iCs/>
          <w:szCs w:val="24"/>
        </w:rPr>
        <w:t>apps</w:t>
      </w:r>
      <w:r>
        <w:rPr>
          <w:szCs w:val="24"/>
        </w:rPr>
        <w:t xml:space="preserve"> desenvolvidos por alunos. Nesse contexto, ele serve como uma ferramenta de divulgação, facilitando o acesso aos trabalhos finais produzidos no curso técnico, com uma interface intuitiva, descrições, imagens e links para execução direta ou </w:t>
      </w:r>
      <w:r>
        <w:rPr>
          <w:i/>
          <w:iCs/>
          <w:szCs w:val="24"/>
        </w:rPr>
        <w:t>download.</w:t>
      </w:r>
    </w:p>
    <w:p>
      <w:pPr>
        <w:jc w:val="both"/>
        <w:rPr>
          <w:szCs w:val="24"/>
        </w:rPr>
      </w:pPr>
      <w:r>
        <w:rPr>
          <w:rFonts w:hint="default"/>
          <w:szCs w:val="24"/>
          <w:lang w:val="pt-BR"/>
        </w:rPr>
        <w:t xml:space="preserve"> </w:t>
      </w:r>
      <w:r>
        <w:tab/>
      </w:r>
      <w:r>
        <w:rPr>
          <w:szCs w:val="24"/>
        </w:rPr>
        <w:t>Em vez de exigir que o usuário navegue por pastas ou leia documentação técnica, o</w:t>
      </w:r>
      <w:r>
        <w:rPr>
          <w:i/>
          <w:iCs/>
          <w:szCs w:val="24"/>
        </w:rPr>
        <w:t xml:space="preserve"> </w:t>
      </w:r>
      <w:r>
        <w:rPr>
          <w:i w:val="0"/>
          <w:iCs w:val="0"/>
          <w:szCs w:val="24"/>
        </w:rPr>
        <w:t>launcher</w:t>
      </w:r>
      <w:r>
        <w:rPr>
          <w:szCs w:val="24"/>
        </w:rPr>
        <w:t xml:space="preserve"> pode proporcionar acesso amigável e instantâneo aos projetos, o que é especialmente útil em eventos como Feiras Tecnológicas, Mostras de Projetos ou apresentações para a comunidade externa.</w:t>
      </w:r>
    </w:p>
    <w:p>
      <w:pPr>
        <w:pStyle w:val="3"/>
      </w:pPr>
      <w:bookmarkStart w:id="12" w:name="_Toc1015090651"/>
      <w:r>
        <w:t>3.3 Semelhanças e Diferenças entre Repositório e Launcher</w:t>
      </w:r>
      <w:bookmarkEnd w:id="12"/>
    </w:p>
    <w:p>
      <w:pPr>
        <w:jc w:val="both"/>
        <w:rPr>
          <w:szCs w:val="24"/>
        </w:rPr>
      </w:pPr>
      <w:r>
        <w:tab/>
      </w:r>
      <w:r>
        <w:rPr>
          <w:szCs w:val="24"/>
        </w:rPr>
        <w:t>Embora tanto o repositório quanto o launcher sirvam ao propósito de organizar e disponibilizar conteúdo digital, suas funções e públicos-alvo diferem significativamente. O repositório tem caráter mais técnico e documental, visando à preservação e reutilização de projetos, enquanto o launcher tem um papel operacional e visual, voltado à usabilidade e acessibilidade.</w:t>
      </w: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tbl>
      <w:tblPr>
        <w:tblStyle w:val="6"/>
        <w:tblW w:w="0" w:type="auto"/>
        <w:tblCellSpacing w:w="15" w:type="dxa"/>
        <w:tblInd w:w="0" w:type="dxa"/>
        <w:tblLayout w:type="autofit"/>
        <w:tblCellMar>
          <w:top w:w="15" w:type="dxa"/>
          <w:left w:w="15" w:type="dxa"/>
          <w:bottom w:w="15" w:type="dxa"/>
          <w:right w:w="15" w:type="dxa"/>
        </w:tblCellMar>
      </w:tblPr>
      <w:tblGrid>
        <w:gridCol w:w="1958"/>
        <w:gridCol w:w="3838"/>
        <w:gridCol w:w="3365"/>
      </w:tblGrid>
      <w:tr>
        <w:tblPrEx>
          <w:tblCellMar>
            <w:top w:w="15" w:type="dxa"/>
            <w:left w:w="15" w:type="dxa"/>
            <w:bottom w:w="15" w:type="dxa"/>
            <w:right w:w="15" w:type="dxa"/>
          </w:tblCellMar>
        </w:tblPrEx>
        <w:trPr>
          <w:tblHeader/>
          <w:tblCellSpacing w:w="15" w:type="dxa"/>
        </w:trPr>
        <w:tc>
          <w:tcPr>
            <w:tcW w:w="1618" w:type="dxa"/>
            <w:vAlign w:val="center"/>
          </w:tcPr>
          <w:p>
            <w:pPr>
              <w:suppressAutoHyphens w:val="0"/>
              <w:spacing w:after="0" w:line="240" w:lineRule="auto"/>
              <w:jc w:val="center"/>
              <w:rPr>
                <w:rFonts w:eastAsia="Times New Roman" w:cs="Arial"/>
                <w:b/>
                <w:bCs/>
                <w:szCs w:val="24"/>
                <w:lang w:eastAsia="pt-BR"/>
              </w:rPr>
            </w:pPr>
            <w:r>
              <w:rPr>
                <w:rFonts w:eastAsia="Times New Roman" w:cs="Arial"/>
                <w:b/>
                <w:bCs/>
                <w:szCs w:val="24"/>
                <w:lang w:eastAsia="pt-BR"/>
              </w:rPr>
              <w:t>Característica</w:t>
            </w:r>
          </w:p>
        </w:tc>
        <w:tc>
          <w:tcPr>
            <w:tcW w:w="0" w:type="auto"/>
            <w:vAlign w:val="center"/>
          </w:tcPr>
          <w:p>
            <w:pPr>
              <w:suppressAutoHyphens w:val="0"/>
              <w:spacing w:after="0" w:line="240" w:lineRule="auto"/>
              <w:jc w:val="center"/>
              <w:rPr>
                <w:rFonts w:eastAsia="Times New Roman" w:cs="Arial"/>
                <w:b/>
                <w:bCs/>
                <w:szCs w:val="24"/>
                <w:lang w:eastAsia="pt-BR"/>
              </w:rPr>
            </w:pPr>
            <w:r>
              <w:rPr>
                <w:rFonts w:eastAsia="Times New Roman" w:cs="Arial"/>
                <w:b/>
                <w:bCs/>
                <w:szCs w:val="24"/>
                <w:lang w:eastAsia="pt-BR"/>
              </w:rPr>
              <w:t>Repositório</w:t>
            </w:r>
          </w:p>
        </w:tc>
        <w:tc>
          <w:tcPr>
            <w:tcW w:w="0" w:type="auto"/>
            <w:vAlign w:val="center"/>
          </w:tcPr>
          <w:p>
            <w:pPr>
              <w:suppressAutoHyphens w:val="0"/>
              <w:spacing w:after="0" w:line="240" w:lineRule="auto"/>
              <w:jc w:val="center"/>
              <w:rPr>
                <w:rFonts w:eastAsia="Times New Roman" w:cs="Arial"/>
                <w:b/>
                <w:bCs/>
                <w:szCs w:val="24"/>
                <w:lang w:eastAsia="pt-BR"/>
              </w:rPr>
            </w:pPr>
            <w:r>
              <w:rPr>
                <w:rFonts w:eastAsia="Times New Roman" w:cs="Arial"/>
                <w:b/>
                <w:bCs/>
                <w:szCs w:val="24"/>
                <w:lang w:eastAsia="pt-BR"/>
              </w:rPr>
              <w:t>Launcher</w:t>
            </w:r>
          </w:p>
        </w:tc>
      </w:tr>
      <w:tr>
        <w:tblPrEx>
          <w:tblCellMar>
            <w:top w:w="15" w:type="dxa"/>
            <w:left w:w="15" w:type="dxa"/>
            <w:bottom w:w="15" w:type="dxa"/>
            <w:right w:w="15" w:type="dxa"/>
          </w:tblCellMar>
        </w:tblPrEx>
        <w:trPr>
          <w:tblCellSpacing w:w="15" w:type="dxa"/>
        </w:trPr>
        <w:tc>
          <w:tcPr>
            <w:tcW w:w="1618" w:type="dxa"/>
            <w:vAlign w:val="center"/>
          </w:tcPr>
          <w:p>
            <w:pPr>
              <w:suppressAutoHyphens w:val="0"/>
              <w:spacing w:after="0" w:line="240" w:lineRule="auto"/>
              <w:rPr>
                <w:rFonts w:eastAsia="Times New Roman" w:cs="Arial"/>
                <w:szCs w:val="24"/>
                <w:lang w:eastAsia="pt-BR"/>
              </w:rPr>
            </w:pPr>
            <w:r>
              <w:rPr>
                <w:rFonts w:eastAsia="Times New Roman" w:cs="Arial"/>
                <w:b/>
                <w:bCs/>
                <w:szCs w:val="24"/>
                <w:lang w:eastAsia="pt-BR"/>
              </w:rPr>
              <w:t>Objetivo</w:t>
            </w:r>
          </w:p>
        </w:tc>
        <w:tc>
          <w:tcPr>
            <w:tcW w:w="0" w:type="auto"/>
            <w:vAlign w:val="center"/>
          </w:tcPr>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r>
              <w:rPr>
                <w:rFonts w:eastAsia="Times New Roman" w:cs="Arial"/>
                <w:szCs w:val="24"/>
                <w:lang w:eastAsia="pt-BR"/>
              </w:rPr>
              <w:t>Preservação, consulta, armazenamento a longo prazo</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c>
          <w:tcPr>
            <w:tcW w:w="0" w:type="auto"/>
            <w:vAlign w:val="center"/>
          </w:tcPr>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r>
              <w:rPr>
                <w:rFonts w:eastAsia="Times New Roman" w:cs="Arial"/>
                <w:szCs w:val="24"/>
                <w:lang w:eastAsia="pt-BR"/>
              </w:rPr>
              <w:t>Execução direta e apresentação dos projetos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r>
      <w:tr>
        <w:tblPrEx>
          <w:tblCellMar>
            <w:top w:w="15" w:type="dxa"/>
            <w:left w:w="15" w:type="dxa"/>
            <w:bottom w:w="15" w:type="dxa"/>
            <w:right w:w="15" w:type="dxa"/>
          </w:tblCellMar>
        </w:tblPrEx>
        <w:trPr>
          <w:tblCellSpacing w:w="15" w:type="dxa"/>
        </w:trPr>
        <w:tc>
          <w:tcPr>
            <w:tcW w:w="1618" w:type="dxa"/>
            <w:vAlign w:val="center"/>
          </w:tcPr>
          <w:p>
            <w:pPr>
              <w:suppressAutoHyphens w:val="0"/>
              <w:spacing w:after="0" w:line="240" w:lineRule="auto"/>
              <w:rPr>
                <w:rFonts w:eastAsia="Times New Roman" w:cs="Arial"/>
                <w:szCs w:val="24"/>
                <w:lang w:eastAsia="pt-BR"/>
              </w:rPr>
            </w:pPr>
            <w:r>
              <w:rPr>
                <w:rFonts w:eastAsia="Times New Roman" w:cs="Arial"/>
                <w:b/>
                <w:bCs/>
                <w:szCs w:val="24"/>
                <w:lang w:eastAsia="pt-BR"/>
              </w:rPr>
              <w:t>Público-alvo</w:t>
            </w: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Estudantes, professores, pesquisadores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Visitantes, comunidade externa, usuários finais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r>
      <w:tr>
        <w:tblPrEx>
          <w:tblCellMar>
            <w:top w:w="15" w:type="dxa"/>
            <w:left w:w="15" w:type="dxa"/>
            <w:bottom w:w="15" w:type="dxa"/>
            <w:right w:w="15" w:type="dxa"/>
          </w:tblCellMar>
        </w:tblPrEx>
        <w:trPr>
          <w:tblCellSpacing w:w="15" w:type="dxa"/>
        </w:trPr>
        <w:tc>
          <w:tcPr>
            <w:tcW w:w="1618" w:type="dxa"/>
            <w:vAlign w:val="center"/>
          </w:tcPr>
          <w:p>
            <w:pPr>
              <w:suppressAutoHyphens w:val="0"/>
              <w:spacing w:after="0" w:line="240" w:lineRule="auto"/>
              <w:rPr>
                <w:rFonts w:eastAsia="Times New Roman" w:cs="Arial"/>
                <w:szCs w:val="24"/>
                <w:lang w:eastAsia="pt-BR"/>
              </w:rPr>
            </w:pPr>
            <w:r>
              <w:rPr>
                <w:rFonts w:eastAsia="Times New Roman" w:cs="Arial"/>
                <w:b/>
                <w:bCs/>
                <w:szCs w:val="24"/>
                <w:lang w:eastAsia="pt-BR"/>
              </w:rPr>
              <w:t>Interface</w:t>
            </w: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Técnica, voltada à descrição e arquivos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Visual, voltada à navegação e interatividade</w:t>
            </w:r>
          </w:p>
          <w:p>
            <w:pPr>
              <w:suppressAutoHyphens w:val="0"/>
              <w:spacing w:after="0" w:line="240" w:lineRule="auto"/>
              <w:rPr>
                <w:rFonts w:eastAsia="Times New Roman" w:cs="Arial"/>
                <w:szCs w:val="24"/>
                <w:lang w:eastAsia="pt-BR"/>
              </w:rPr>
            </w:pPr>
          </w:p>
        </w:tc>
      </w:tr>
      <w:tr>
        <w:tblPrEx>
          <w:tblCellMar>
            <w:top w:w="15" w:type="dxa"/>
            <w:left w:w="15" w:type="dxa"/>
            <w:bottom w:w="15" w:type="dxa"/>
            <w:right w:w="15" w:type="dxa"/>
          </w:tblCellMar>
        </w:tblPrEx>
        <w:trPr>
          <w:tblCellSpacing w:w="15" w:type="dxa"/>
        </w:trPr>
        <w:tc>
          <w:tcPr>
            <w:tcW w:w="1618" w:type="dxa"/>
            <w:vAlign w:val="center"/>
          </w:tcPr>
          <w:p>
            <w:pPr>
              <w:suppressAutoHyphens w:val="0"/>
              <w:spacing w:after="0" w:line="240" w:lineRule="auto"/>
              <w:rPr>
                <w:rFonts w:eastAsia="Times New Roman" w:cs="Arial"/>
                <w:szCs w:val="24"/>
                <w:lang w:eastAsia="pt-BR"/>
              </w:rPr>
            </w:pPr>
            <w:r>
              <w:rPr>
                <w:rFonts w:eastAsia="Times New Roman" w:cs="Arial"/>
                <w:b/>
                <w:bCs/>
                <w:szCs w:val="24"/>
                <w:lang w:eastAsia="pt-BR"/>
              </w:rPr>
              <w:t>Tecnologia</w:t>
            </w: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Sistemas de metadados e bibliotecas digitais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Interface gráfica e integração com executáveis</w:t>
            </w:r>
          </w:p>
          <w:p>
            <w:pPr>
              <w:suppressAutoHyphens w:val="0"/>
              <w:spacing w:after="0" w:line="240" w:lineRule="auto"/>
              <w:rPr>
                <w:rFonts w:eastAsia="Times New Roman" w:cs="Arial"/>
                <w:szCs w:val="24"/>
                <w:lang w:eastAsia="pt-BR"/>
              </w:rPr>
            </w:pPr>
          </w:p>
          <w:p>
            <w:pPr>
              <w:suppressAutoHyphens w:val="0"/>
              <w:spacing w:after="0" w:line="240" w:lineRule="auto"/>
              <w:rPr>
                <w:rFonts w:eastAsia="Times New Roman" w:cs="Arial"/>
                <w:szCs w:val="24"/>
                <w:lang w:eastAsia="pt-BR"/>
              </w:rPr>
            </w:pPr>
          </w:p>
        </w:tc>
      </w:tr>
      <w:tr>
        <w:tblPrEx>
          <w:tblCellMar>
            <w:top w:w="15" w:type="dxa"/>
            <w:left w:w="15" w:type="dxa"/>
            <w:bottom w:w="15" w:type="dxa"/>
            <w:right w:w="15" w:type="dxa"/>
          </w:tblCellMar>
        </w:tblPrEx>
        <w:trPr>
          <w:tblCellSpacing w:w="15" w:type="dxa"/>
        </w:trPr>
        <w:tc>
          <w:tcPr>
            <w:tcW w:w="1618" w:type="dxa"/>
            <w:vAlign w:val="center"/>
          </w:tcPr>
          <w:p>
            <w:pPr>
              <w:suppressAutoHyphens w:val="0"/>
              <w:spacing w:after="0" w:line="240" w:lineRule="auto"/>
              <w:rPr>
                <w:rFonts w:eastAsia="Times New Roman" w:cs="Arial"/>
                <w:szCs w:val="24"/>
                <w:lang w:eastAsia="pt-BR"/>
              </w:rPr>
            </w:pPr>
            <w:r>
              <w:rPr>
                <w:rFonts w:eastAsia="Times New Roman" w:cs="Arial"/>
                <w:b/>
                <w:bCs/>
                <w:szCs w:val="24"/>
                <w:lang w:eastAsia="pt-BR"/>
              </w:rPr>
              <w:t>Exemplos</w:t>
            </w: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DSpace, GitHub, Google Drive acadêmico</w:t>
            </w:r>
          </w:p>
          <w:p>
            <w:pPr>
              <w:suppressAutoHyphens w:val="0"/>
              <w:spacing w:after="0" w:line="240" w:lineRule="auto"/>
              <w:rPr>
                <w:rFonts w:eastAsia="Times New Roman" w:cs="Arial"/>
                <w:szCs w:val="24"/>
                <w:lang w:eastAsia="pt-BR"/>
              </w:rPr>
            </w:pPr>
          </w:p>
        </w:tc>
        <w:tc>
          <w:tcPr>
            <w:tcW w:w="0" w:type="auto"/>
            <w:vAlign w:val="center"/>
          </w:tcPr>
          <w:p>
            <w:pPr>
              <w:suppressAutoHyphens w:val="0"/>
              <w:spacing w:after="0" w:line="240" w:lineRule="auto"/>
              <w:rPr>
                <w:rFonts w:eastAsia="Times New Roman" w:cs="Arial"/>
                <w:szCs w:val="24"/>
                <w:lang w:eastAsia="pt-BR"/>
              </w:rPr>
            </w:pPr>
            <w:r>
              <w:rPr>
                <w:rFonts w:eastAsia="Times New Roman" w:cs="Arial"/>
                <w:szCs w:val="24"/>
                <w:lang w:eastAsia="pt-BR"/>
              </w:rPr>
              <w:t>Steam, itch.io, launcher de TCC personalizado</w:t>
            </w:r>
          </w:p>
          <w:p>
            <w:pPr>
              <w:suppressAutoHyphens w:val="0"/>
              <w:spacing w:after="0" w:line="240" w:lineRule="auto"/>
              <w:rPr>
                <w:rFonts w:eastAsia="Times New Roman" w:cs="Arial"/>
                <w:szCs w:val="24"/>
                <w:lang w:eastAsia="pt-BR"/>
              </w:rPr>
            </w:pPr>
          </w:p>
        </w:tc>
      </w:tr>
    </w:tbl>
    <w:p>
      <w:pPr>
        <w:jc w:val="both"/>
        <w:rPr>
          <w:szCs w:val="24"/>
        </w:rPr>
      </w:pPr>
    </w:p>
    <w:p>
      <w:pPr>
        <w:jc w:val="both"/>
        <w:rPr>
          <w:szCs w:val="24"/>
        </w:rPr>
      </w:pPr>
      <w:r>
        <w:tab/>
      </w:r>
      <w:r>
        <w:rPr>
          <w:szCs w:val="24"/>
        </w:rPr>
        <w:t xml:space="preserve">Idealmente, um projeto como o proposto neste TCC busca integrar ambos os conceitos, criando uma aplicação híbrida que funcione como um repositório técnico, mas que também ofereça a experiência de um </w:t>
      </w:r>
      <w:r>
        <w:rPr>
          <w:i w:val="0"/>
          <w:iCs w:val="0"/>
          <w:szCs w:val="24"/>
        </w:rPr>
        <w:t>launcher</w:t>
      </w:r>
      <w:r>
        <w:rPr>
          <w:szCs w:val="24"/>
        </w:rPr>
        <w:t xml:space="preserve"> moderno. Assim, une-se a documentação e preservação da produção acadêmica com a acessibilidade, interatividade e engajamento que um launcher pode proporcionar.</w:t>
      </w:r>
    </w:p>
    <w:p>
      <w:pPr>
        <w:jc w:val="both"/>
        <w:rPr>
          <w:szCs w:val="24"/>
        </w:rPr>
      </w:pPr>
    </w:p>
    <w:p>
      <w:pPr>
        <w:pStyle w:val="3"/>
        <w:bidi w:val="0"/>
        <w:jc w:val="both"/>
      </w:pPr>
      <w:bookmarkStart w:id="13" w:name="_Toc2066465317"/>
      <w:r>
        <w:rPr>
          <w:lang w:val="en-US" w:eastAsia="zh-CN"/>
        </w:rPr>
        <w:t>3.4. Tecnologias Utilizadas em Repositórios e Launchers</w:t>
      </w:r>
      <w:bookmarkEnd w:id="13"/>
    </w:p>
    <w:p>
      <w:pPr>
        <w:pStyle w:val="3"/>
        <w:bidi w:val="0"/>
        <w:jc w:val="both"/>
      </w:pPr>
    </w:p>
    <w:p>
      <w:pPr>
        <w:jc w:val="both"/>
        <w:rPr>
          <w:rFonts w:hint="default"/>
        </w:rPr>
      </w:pPr>
      <w:r>
        <w:rPr>
          <w:rFonts w:hint="default"/>
        </w:rPr>
        <w:t>O desenvolvimento de repositórios digitais e launchers de jogos exige a integração de diversas tecnologias que garantem desempenho, segurança e usabilidade. Entre as linguagens mais utilizadas estão HTML, CSS e JavaScript, responsáveis pela estrutura, estilo e interatividade da interface do usuário. No lado do servidor, linguagens como PHP, Python e Node.js são amplamente empregadas para o processamento de dados, autenticação e comunicação com bancos de dados. Segundo Sommerville (2019), a escolha adequada das tecnologias está diretamente relacionada à escalabilidade e à manutenibilidade do sistema, sendo essencial que o desenvolvedor compreenda as vantagens e limitações de cada ferramenta.</w:t>
      </w:r>
    </w:p>
    <w:p>
      <w:pPr>
        <w:jc w:val="both"/>
        <w:rPr>
          <w:rFonts w:hint="default"/>
        </w:rPr>
      </w:pPr>
      <w:r>
        <w:rPr>
          <w:rFonts w:hint="default"/>
        </w:rPr>
        <w:t>Além das linguagens, frameworks e bibliotecas desempenham papel crucial no processo de desenvolvimento. Frameworks como React, Angular e Vue.js auxiliam na construção de interfaces dinâmicas, enquanto o Laravel e o Django oferecem recursos robustos para o backend. Conforme Pressman e Maxim (2021), o uso de frameworks acelera o desenvolvimento e reduz a incidência de erros estruturais, promovendo padrões de código mais consistentes e sustentáveis. No contexto de bancos de dados, o MySQL, PostgreSQL e o SQLite são amplamente utilizados por sua confiabilidade e compatibilidade com aplicações web e desktop.</w:t>
      </w:r>
    </w:p>
    <w:p>
      <w:pPr>
        <w:rPr>
          <w:rFonts w:hint="default"/>
        </w:rPr>
      </w:pPr>
    </w:p>
    <w:p>
      <w:pPr>
        <w:pStyle w:val="3"/>
        <w:bidi w:val="0"/>
        <w:jc w:val="both"/>
      </w:pPr>
      <w:bookmarkStart w:id="14" w:name="_Toc1244446080"/>
      <w:r>
        <w:rPr>
          <w:lang w:val="en-US" w:eastAsia="zh-CN"/>
        </w:rPr>
        <w:t>3.5. Estrutura e Arquitetura de um Sistema de Repositório/Launcher</w:t>
      </w:r>
      <w:bookmarkEnd w:id="14"/>
    </w:p>
    <w:p>
      <w:pPr>
        <w:rPr>
          <w:rFonts w:hint="default"/>
        </w:rPr>
      </w:pPr>
    </w:p>
    <w:p>
      <w:pPr>
        <w:jc w:val="both"/>
        <w:rPr>
          <w:rFonts w:hint="default"/>
        </w:rPr>
      </w:pPr>
      <w:r>
        <w:rPr>
          <w:rFonts w:hint="default"/>
        </w:rPr>
        <w:t>A arquitetura de um repositório digital ou launcher é composta, em geral, por três camadas principais: frontend, backend e banco de dados. O frontend é responsável pela interação direta com o usuário, enquanto o backend processa as requisições e se comunica com o banco de dados para armazenar e recuperar informações. Essa estrutura, conhecida como arquitetura em três camadas, é amplamente utilizada por oferecer modularidade e facilidade de manutenção (SOMMERVILLE, 2019).</w:t>
      </w:r>
    </w:p>
    <w:p>
      <w:pPr>
        <w:jc w:val="both"/>
        <w:rPr>
          <w:rFonts w:hint="default"/>
        </w:rPr>
      </w:pPr>
      <w:r>
        <w:rPr>
          <w:rFonts w:hint="default"/>
        </w:rPr>
        <w:t>Além disso, é comum que tais sistemas utilizem APIs (Application Programming Interfaces) para integração entre serviços distintos, como autenticação via Google, GitHub ou Microsoft. De acordo com Bezerra (2018), as APIs desempenham papel fundamental na interoperabilidade entre sistemas, permitindo a ampliação de funcionalidades sem comprometer a segurança e o desempenho da aplicação. Dessa forma, o planejamento arquitetural torna-se essencial para garantir a escalabilidade e a flexibilidade necessárias à evolução do sistema.</w:t>
      </w:r>
    </w:p>
    <w:p>
      <w:pPr>
        <w:jc w:val="both"/>
        <w:rPr>
          <w:rFonts w:hint="default"/>
        </w:rPr>
      </w:pPr>
    </w:p>
    <w:p>
      <w:pPr>
        <w:pStyle w:val="3"/>
        <w:bidi w:val="0"/>
        <w:rPr>
          <w:lang w:val="en-US" w:eastAsia="zh-CN"/>
        </w:rPr>
      </w:pPr>
      <w:r>
        <w:rPr>
          <w:lang w:val="en-US" w:eastAsia="zh-CN"/>
        </w:rPr>
        <w:t>3.6. Experiência do Usuário (UX) e Interface (UI)</w:t>
      </w:r>
    </w:p>
    <w:p>
      <w:pPr>
        <w:rPr>
          <w:lang w:val="en-US" w:eastAsia="zh-CN"/>
        </w:rPr>
      </w:pPr>
    </w:p>
    <w:p>
      <w:pPr>
        <w:rPr>
          <w:rFonts w:hint="default"/>
          <w:lang w:val="en-US" w:eastAsia="zh-CN"/>
        </w:rPr>
      </w:pPr>
      <w:r>
        <w:rPr>
          <w:rFonts w:hint="default"/>
          <w:lang w:val="en-US" w:eastAsia="zh-CN"/>
        </w:rPr>
        <w:t xml:space="preserve">A Experiência do Usuário (UX) e a Interface do Usuário (UI) são elementos determinantes para o sucesso de um sistema digital. Em um </w:t>
      </w:r>
      <w:r>
        <w:rPr>
          <w:rFonts w:hint="default"/>
          <w:i/>
          <w:iCs/>
          <w:lang w:val="en-US" w:eastAsia="zh-CN"/>
        </w:rPr>
        <w:t>launcher</w:t>
      </w:r>
      <w:r>
        <w:rPr>
          <w:rFonts w:hint="default"/>
          <w:lang w:val="en-US" w:eastAsia="zh-CN"/>
        </w:rPr>
        <w:t xml:space="preserve"> de jogos, por exemplo, a interface precisa ser visualmente atrativa e intuitiva, enquanto a navegação deve ser fluida e sem obstáculos. Segundo Krug (2014), a usabilidade é alcançada quando o usuário consegue realizar suas tarefas de forma simples e eficiente, sem necessidade de instruções complexas. Portanto, o design centrado no usuário deve ser prioridade desde as fases iniciais do projeto.</w:t>
      </w:r>
    </w:p>
    <w:p>
      <w:pPr>
        <w:rPr>
          <w:rFonts w:hint="default"/>
          <w:lang w:val="en-US" w:eastAsia="zh-CN"/>
        </w:rPr>
      </w:pPr>
      <w:r>
        <w:rPr>
          <w:rFonts w:hint="default"/>
          <w:lang w:val="en-US" w:eastAsia="zh-CN"/>
        </w:rPr>
        <w:t xml:space="preserve">A aplicação de princípios de </w:t>
      </w:r>
      <w:r>
        <w:rPr>
          <w:rFonts w:hint="default"/>
          <w:i/>
          <w:iCs/>
          <w:lang w:val="en-US" w:eastAsia="zh-CN"/>
        </w:rPr>
        <w:t>design</w:t>
      </w:r>
      <w:r>
        <w:rPr>
          <w:rFonts w:hint="default"/>
          <w:lang w:val="en-US" w:eastAsia="zh-CN"/>
        </w:rPr>
        <w:t xml:space="preserve"> responsivo também é essencial, considerando a diversidade de dispositivos utilizados para acesso às plataformas digitais. Conforme Nielsen e Budiu (2012), o comportamento adaptativo das interfaces melhora significativamente a experiência e a satisfação do usuário, além de ampliar o alcance da aplicação. Dessa maneira, investir em boas práticas de UX e UI é investir diretamente na qualidade do produto final.</w:t>
      </w:r>
    </w:p>
    <w:p>
      <w:pPr>
        <w:rPr>
          <w:rFonts w:hint="default"/>
          <w:lang w:val="en-US" w:eastAsia="zh-CN"/>
        </w:rPr>
      </w:pPr>
    </w:p>
    <w:p>
      <w:pPr>
        <w:pStyle w:val="3"/>
        <w:bidi w:val="0"/>
      </w:pPr>
      <w:r>
        <w:rPr>
          <w:lang w:val="en-US" w:eastAsia="zh-CN"/>
        </w:rPr>
        <w:t>3.7. Segurança e Integridade dos Dados</w:t>
      </w:r>
    </w:p>
    <w:p>
      <w:pPr>
        <w:rPr>
          <w:rFonts w:hint="default"/>
          <w:lang w:val="en-US" w:eastAsia="zh-CN"/>
        </w:rPr>
      </w:pPr>
    </w:p>
    <w:p>
      <w:pPr>
        <w:jc w:val="both"/>
        <w:rPr>
          <w:rFonts w:hint="default"/>
        </w:rPr>
      </w:pPr>
      <w:r>
        <w:rPr>
          <w:rFonts w:hint="default"/>
        </w:rPr>
        <w:t>A segurança da informação é um dos pilares mais importantes no desenvolvimento de repositórios e launchers, visto que esses sistemas frequentemente lidam com dados sensíveis de usuários e projetos. Conforme Stallings (2018), a implementação de protocolos de criptografia, autenticação segura e controle de acesso é essencial para garantir a integridade e a confidencialidade das informações. O uso do protocolo HTTPS, aliado a certificados SSL/TLS, assegura a comunicação segura entre o cliente e o servidor.</w:t>
      </w:r>
    </w:p>
    <w:p>
      <w:pPr>
        <w:jc w:val="both"/>
        <w:rPr>
          <w:rFonts w:hint="default"/>
        </w:rPr>
      </w:pPr>
      <w:r>
        <w:rPr>
          <w:rFonts w:hint="default"/>
        </w:rPr>
        <w:t>Outro aspecto relevante é o armazenamento responsável de credenciais e arquivos, evitando a exposição indevida de dados. De acordo com Anderson (2020), a segurança deve ser tratada como um processo contínuo, que envolve auditorias, atualizações e práticas de codificação seguras. Dessa forma, é possível reduzir vulnerabilidades e fortalecer a confiabilidade do sistema, assegurando a proteção das informações dos usuários.</w:t>
      </w:r>
    </w:p>
    <w:p>
      <w:pPr>
        <w:jc w:val="both"/>
        <w:rPr>
          <w:rFonts w:hint="default"/>
        </w:rPr>
      </w:pPr>
    </w:p>
    <w:p>
      <w:pPr>
        <w:pStyle w:val="3"/>
        <w:bidi w:val="0"/>
        <w:jc w:val="both"/>
        <w:rPr>
          <w:lang w:val="en-US" w:eastAsia="zh-CN"/>
        </w:rPr>
      </w:pPr>
      <w:r>
        <w:rPr>
          <w:lang w:val="en-US" w:eastAsia="zh-CN"/>
        </w:rPr>
        <w:t>3.8. Benefícios Educacionais e Pedagógicos do Repositório</w:t>
      </w:r>
    </w:p>
    <w:p>
      <w:pPr>
        <w:jc w:val="both"/>
        <w:rPr>
          <w:lang w:val="en-US" w:eastAsia="zh-CN"/>
        </w:rPr>
      </w:pPr>
    </w:p>
    <w:p>
      <w:pPr>
        <w:jc w:val="both"/>
        <w:rPr>
          <w:rFonts w:hint="default"/>
          <w:lang w:val="en-US" w:eastAsia="zh-CN"/>
        </w:rPr>
      </w:pPr>
      <w:r>
        <w:rPr>
          <w:rFonts w:hint="default"/>
          <w:lang w:val="en-US" w:eastAsia="zh-CN"/>
        </w:rPr>
        <w:t>A criação de um repositório digital voltado aos projetos desenvolvidos por alunos de cursos técnicos tem grande valor pedagógico. Esse tipo de plataforma estimula o aprendizado prático, permitindo que os estudantes publiquem, revisem e apresentem seus trabalhos, promovendo o desenvolvimento de habilidades técnicas e colaborativas. Segundo Moran (2018), a aprendizagem ativa — baseada na experimentação e na construção de conhecimento — é um dos métodos mais eficazes no ensino técnico e tecnológico.</w:t>
      </w:r>
    </w:p>
    <w:p>
      <w:pPr>
        <w:jc w:val="both"/>
        <w:rPr>
          <w:rFonts w:hint="default"/>
          <w:lang w:val="en-US" w:eastAsia="zh-CN"/>
        </w:rPr>
      </w:pPr>
      <w:r>
        <w:rPr>
          <w:rFonts w:hint="default"/>
          <w:lang w:val="en-US" w:eastAsia="zh-CN"/>
        </w:rPr>
        <w:t>Além disso, o repositório funciona como um portfólio digital institucional, valorizando a produção acadêmica e tornando visível o potencial criativo dos alunos e da instituição. Conforme Kenski (2012), o uso das tecnologias digitais no contexto educacional amplia o acesso à informação e possibilita novas formas de interação e autoria. Assim, o repositório não apenas organiza os resultados dos projetos, mas também serve como um instrumento de valorização e continuidade do aprendizado.</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2"/>
        <w:bidi w:val="0"/>
        <w:jc w:val="center"/>
        <w:rPr>
          <w:lang w:val="en-US" w:eastAsia="zh-CN"/>
        </w:rPr>
      </w:pPr>
      <w:r>
        <w:rPr>
          <w:lang w:val="en-US" w:eastAsia="zh-CN"/>
        </w:rPr>
        <w:t>CAPÍTULO IV</w:t>
      </w:r>
    </w:p>
    <w:p>
      <w:pPr>
        <w:rPr>
          <w:lang w:val="en-US" w:eastAsia="zh-CN"/>
        </w:rPr>
      </w:pPr>
    </w:p>
    <w:p>
      <w:pPr>
        <w:pStyle w:val="3"/>
        <w:bidi w:val="0"/>
        <w:rPr>
          <w:lang w:val="en-US" w:eastAsia="zh-CN"/>
        </w:rPr>
      </w:pPr>
      <w:r>
        <w:rPr>
          <w:lang w:val="en-US" w:eastAsia="zh-CN"/>
        </w:rPr>
        <w:t>4.1 Planejamento e Organização do Desenvolvimento</w:t>
      </w:r>
    </w:p>
    <w:p>
      <w:pPr>
        <w:rPr>
          <w:lang w:val="en-US" w:eastAsia="zh-CN"/>
        </w:rPr>
      </w:pPr>
    </w:p>
    <w:p>
      <w:pPr>
        <w:jc w:val="both"/>
        <w:rPr>
          <w:rFonts w:hint="default"/>
          <w:lang w:val="en-US" w:eastAsia="zh-CN"/>
        </w:rPr>
      </w:pPr>
      <w:r>
        <w:rPr>
          <w:rFonts w:hint="default"/>
          <w:lang w:val="en-US" w:eastAsia="zh-CN"/>
        </w:rPr>
        <w:t>Embora o desenvolvimento do repositório e launcher tenha sido realizado de forma flexível, aproveitando o tempo disponível, cada etapa do projeto foi conduzida com foco em funcionalidades específicas, garantindo a evolução gradual do sistema. A ausência de uma metodologia formal não impediu a organização, pois as funcionalidades foram planejadas de forma sequencial, permitindo que cada etapa servisse como base para a seguinte (PRESSMAN; MAXIM, 2021).</w:t>
      </w:r>
    </w:p>
    <w:p>
      <w:pPr>
        <w:jc w:val="both"/>
        <w:rPr>
          <w:rFonts w:hint="default"/>
          <w:lang w:val="en-US" w:eastAsia="zh-CN"/>
        </w:rPr>
      </w:pPr>
      <w:r>
        <w:rPr>
          <w:rFonts w:hint="default"/>
          <w:lang w:val="en-US" w:eastAsia="zh-CN"/>
        </w:rPr>
        <w:t>O planejamento informal incluiu a definição das funções essenciais, como criação de usuários, autenticação, gerenciamento de contas e adição de jogos. Essa abordagem permitiu que o sistema fosse construído de maneira incremental, reduzindo a complexidade do desenvolvimento e facilitando a implementação de ajustes durante a codificação. A priorização das funcionalidades essenciais foi fundamental para garantir um protótipo funcional desde as primeiras etapas.</w:t>
      </w:r>
    </w:p>
    <w:p>
      <w:pPr>
        <w:jc w:val="both"/>
        <w:rPr>
          <w:rFonts w:hint="default"/>
          <w:lang w:val="en-US" w:eastAsia="zh-CN"/>
        </w:rPr>
      </w:pPr>
      <w:r>
        <w:rPr>
          <w:rFonts w:hint="default"/>
          <w:lang w:val="en-US" w:eastAsia="zh-CN"/>
        </w:rPr>
        <w:t>Além disso, o planejamento contemplou a integração futura de novas funcionalidades e melhorias, mantendo a modularidade do sistema. Essa organização permitiu que mesmo sem seguir um modelo formal, como Scrum ou Cascata, o projeto mantivesse coerência e foco em resultados concretos. A evolução gradual contribuiu para a estabilidade do protótipo e para a identificação precoce de possíveis problemas (SOMMERVILLE, 2019).</w:t>
      </w:r>
    </w:p>
    <w:p>
      <w:pPr>
        <w:jc w:val="both"/>
        <w:rPr>
          <w:rFonts w:hint="default"/>
          <w:lang w:val="en-US" w:eastAsia="zh-CN"/>
        </w:rPr>
      </w:pPr>
    </w:p>
    <w:p>
      <w:pPr>
        <w:pStyle w:val="3"/>
        <w:bidi w:val="0"/>
        <w:jc w:val="both"/>
      </w:pPr>
      <w:r>
        <w:rPr>
          <w:lang w:val="en-US" w:eastAsia="zh-CN"/>
        </w:rPr>
        <w:t>4.2 Tecnologias e Ferramentas Utilizadas</w:t>
      </w:r>
    </w:p>
    <w:p>
      <w:pPr>
        <w:jc w:val="both"/>
        <w:rPr>
          <w:rFonts w:hint="default"/>
          <w:lang w:val="en-US" w:eastAsia="zh-CN"/>
        </w:rPr>
      </w:pPr>
    </w:p>
    <w:p>
      <w:pPr>
        <w:jc w:val="both"/>
        <w:rPr>
          <w:rFonts w:hint="default"/>
          <w:lang w:val="en-US" w:eastAsia="zh-CN"/>
        </w:rPr>
      </w:pPr>
      <w:r>
        <w:rPr>
          <w:rFonts w:hint="default"/>
          <w:lang w:val="en-US" w:eastAsia="zh-CN"/>
        </w:rPr>
        <w:t>O sistema foi desenvolvido utilizando HTML, CSS e JavaScript para a estruturação e interatividade do frontend, com o framework mdbootstrap para otimização do design e criação de componentes visuais. No backend, foi empregado PHP, responsável pelo processamento das requisições, controle de fluxo e integração com o banco de dados. Para o armazenamento de informações, utilizou-se MariaDB/MySQL, garantindo persistência de dados e gerenciamento eficiente das tabelas (SOMMERVILLE, 2019).</w:t>
      </w:r>
    </w:p>
    <w:p>
      <w:pPr>
        <w:jc w:val="both"/>
        <w:rPr>
          <w:rFonts w:hint="default"/>
          <w:lang w:val="en-US" w:eastAsia="zh-CN"/>
        </w:rPr>
      </w:pPr>
      <w:r>
        <w:rPr>
          <w:rFonts w:hint="default"/>
          <w:lang w:val="en-US" w:eastAsia="zh-CN"/>
        </w:rPr>
        <w:t>A escolha da API de autenticação do Google para login dos usuários aumentou a segurança do sistema e simplificou o processo de acesso, evitando a necessidade de criação de credenciais próprias. A integração dessa API também demonstrou a capacidade de trabalhar com serviços externos, ampliando a interoperabilidade do protótipo. A utilização dessas tecnologias permitiu uma implementação ágil e compatível com as demandas do projeto (PRESSMAN; MAXIM, 2021).</w:t>
      </w:r>
    </w:p>
    <w:p>
      <w:pPr>
        <w:jc w:val="both"/>
        <w:rPr>
          <w:rFonts w:hint="default"/>
          <w:lang w:val="en-US" w:eastAsia="zh-CN"/>
        </w:rPr>
      </w:pPr>
      <w:r>
        <w:rPr>
          <w:rFonts w:hint="default"/>
          <w:lang w:val="en-US" w:eastAsia="zh-CN"/>
        </w:rPr>
        <w:t>Além disso, a combinação de frontend responsivo, backend robusto e banco de dados confiável proporcionou uma base sólida para o desenvolvimento das funcionalidades futuras. Essa infraestrutura tecnológica não apenas garante a operação atual do protótipo, mas também facilita expansões, melhorias visuais e integração com novas APIs, mantendo a escalabilidade do sistema (BEZERRA, 2018).</w:t>
      </w:r>
    </w:p>
    <w:p>
      <w:pPr>
        <w:jc w:val="both"/>
        <w:rPr>
          <w:rFonts w:hint="default"/>
          <w:lang w:val="en-US" w:eastAsia="zh-CN"/>
        </w:rPr>
      </w:pPr>
    </w:p>
    <w:p>
      <w:pPr>
        <w:pStyle w:val="3"/>
        <w:bidi w:val="0"/>
        <w:jc w:val="both"/>
      </w:pPr>
      <w:r>
        <w:rPr>
          <w:lang w:val="en-US" w:eastAsia="zh-CN"/>
        </w:rPr>
        <w:t>4.3 Desenvolvimento por Funcionalidades</w:t>
      </w:r>
    </w:p>
    <w:p>
      <w:pPr>
        <w:jc w:val="both"/>
        <w:rPr>
          <w:rFonts w:hint="default"/>
          <w:lang w:val="en-US" w:eastAsia="zh-CN"/>
        </w:rPr>
      </w:pPr>
    </w:p>
    <w:p>
      <w:pPr>
        <w:jc w:val="both"/>
        <w:rPr>
          <w:rFonts w:hint="default"/>
          <w:lang w:val="en-US" w:eastAsia="zh-CN"/>
        </w:rPr>
      </w:pPr>
      <w:r>
        <w:rPr>
          <w:rFonts w:hint="default"/>
          <w:lang w:val="en-US" w:eastAsia="zh-CN"/>
        </w:rPr>
        <w:t>O protótipo funcional foi construído seguindo uma abordagem modular por funcionalidades, permitindo que cada etapa pudesse ser desenvolvida, testada e validada individualmente. As primeiras etapas envolveram a criação de usuários e autenticação, incluindo o login via Google. Essa escolha assegurou que a base do sistema estivesse operacional antes de adicionar funcionalidades mais complexas (SOMMERVILLE, 2019).</w:t>
      </w:r>
    </w:p>
    <w:p>
      <w:pPr>
        <w:jc w:val="both"/>
        <w:rPr>
          <w:rFonts w:hint="default"/>
          <w:lang w:val="en-US" w:eastAsia="zh-CN"/>
        </w:rPr>
      </w:pPr>
      <w:r>
        <w:rPr>
          <w:rFonts w:hint="default"/>
          <w:lang w:val="en-US" w:eastAsia="zh-CN"/>
        </w:rPr>
        <w:t>Em seguida, foi desenvolvido um CRUD para que administradores pudessem gerenciar usuários, incluindo criação, leitura, atualização e exclusão de contas. Essa funcionalidade foi essencial para testar o controle de acesso e validar a lógica de backend, servindo como um passo importante para a consolidação do protótipo funcional. O desenvolvimento modular também facilitou a correção de bugs e ajustes durante a implementação.</w:t>
      </w:r>
    </w:p>
    <w:p>
      <w:pPr>
        <w:jc w:val="both"/>
        <w:rPr>
          <w:rFonts w:hint="default"/>
          <w:lang w:val="en-US" w:eastAsia="zh-CN"/>
        </w:rPr>
      </w:pPr>
      <w:r>
        <w:rPr>
          <w:rFonts w:hint="default"/>
          <w:lang w:val="en-US" w:eastAsia="zh-CN"/>
        </w:rPr>
        <w:t>Por fim, a funcionalidade de adicionar jogos começou a ser implementada, com previsão de desenvolvimento da tela de perfil, permitindo que usuários visualizem seus dados e projetos adicionados. Essa abordagem gradual garante que cada módulo esteja completo e funcional antes da integração, promovendo estabilidade e facilitando futuras melhorias e expansão do sistema (PRESSMAN; MAXIM, 2021; SOMMERVILLE, 2019).</w:t>
      </w:r>
    </w:p>
    <w:p>
      <w:pPr>
        <w:jc w:val="both"/>
        <w:rPr>
          <w:rFonts w:hint="default"/>
          <w:lang w:val="en-US" w:eastAsia="zh-CN"/>
        </w:rPr>
      </w:pPr>
    </w:p>
    <w:p>
      <w:pPr>
        <w:pStyle w:val="3"/>
        <w:bidi w:val="0"/>
        <w:jc w:val="both"/>
      </w:pPr>
      <w:r>
        <w:rPr>
          <w:lang w:val="en-US" w:eastAsia="zh-CN"/>
        </w:rPr>
        <w:t>4.4 Testes e Ajustes</w:t>
      </w:r>
    </w:p>
    <w:p>
      <w:pPr>
        <w:jc w:val="both"/>
        <w:rPr>
          <w:rFonts w:hint="default"/>
          <w:lang w:val="en-US" w:eastAsia="zh-CN"/>
        </w:rPr>
      </w:pPr>
    </w:p>
    <w:p>
      <w:pPr>
        <w:jc w:val="both"/>
        <w:rPr>
          <w:rFonts w:hint="default"/>
          <w:lang w:val="en-US" w:eastAsia="zh-CN"/>
        </w:rPr>
      </w:pPr>
      <w:r>
        <w:rPr>
          <w:rFonts w:hint="default"/>
          <w:lang w:val="en-US" w:eastAsia="zh-CN"/>
        </w:rPr>
        <w:t>Durante o desenvolvimento, o sistema foi submetido a testes contínuos, permitindo identificar e corrigir problemas de forma imediata. Foram realizados testes de interface para ajustar inconsistências visuais e melhorar a usabilidade, garantindo que a experiência do usuário fosse intuitiva e agradável. Esse processo segue boas práticas de engenharia de software, destacadas por Pressman e Maxim (2021), que recomendam testes contínuos mesmo em protótipos.</w:t>
      </w:r>
    </w:p>
    <w:p>
      <w:pPr>
        <w:jc w:val="both"/>
        <w:rPr>
          <w:rFonts w:hint="default"/>
          <w:lang w:val="en-US" w:eastAsia="zh-CN"/>
        </w:rPr>
      </w:pPr>
      <w:r>
        <w:rPr>
          <w:rFonts w:hint="default"/>
          <w:lang w:val="en-US" w:eastAsia="zh-CN"/>
        </w:rPr>
        <w:t>Além dos testes visuais, foram realizados ajustes na lógica do sistema, como a autenticação via Google, que inicialmente apresentava falhas. A detecção precoce de erros permitiu que o protótipo permanecesse funcional durante todo o desenvolvimento, evitando que problemas se acumulassem e comprometesse a integridade do sistema.</w:t>
      </w:r>
    </w:p>
    <w:p>
      <w:pPr>
        <w:jc w:val="both"/>
        <w:rPr>
          <w:rFonts w:hint="default"/>
          <w:lang w:val="en-US" w:eastAsia="zh-CN"/>
        </w:rPr>
      </w:pPr>
      <w:r>
        <w:rPr>
          <w:rFonts w:hint="default"/>
          <w:lang w:val="en-US" w:eastAsia="zh-CN"/>
        </w:rPr>
        <w:t>O teste contínuo também serviu como uma forma de validação incremental do protótipo, permitindo ajustes rápidos e eficazes. Essa prática garantiu a construção de uma base estável para as funcionalidades posteriores, fortalecendo a confiabilidade do protótipo funcional e preparando o sistema para futuras expansões (SOMMERVILLE, 2019; BEZERRA, 2018).</w:t>
      </w:r>
    </w:p>
    <w:p>
      <w:pPr>
        <w:jc w:val="both"/>
        <w:rPr>
          <w:rFonts w:hint="default"/>
          <w:lang w:val="en-US" w:eastAsia="zh-CN"/>
        </w:rPr>
      </w:pPr>
    </w:p>
    <w:p>
      <w:pPr>
        <w:pStyle w:val="3"/>
        <w:bidi w:val="0"/>
        <w:rPr>
          <w:lang w:val="en-US" w:eastAsia="zh-CN"/>
        </w:rPr>
      </w:pPr>
      <w:r>
        <w:rPr>
          <w:lang w:val="en-US" w:eastAsia="zh-CN"/>
        </w:rPr>
        <w:t>4.5 Resultado do Protótipo Funcional</w:t>
      </w:r>
    </w:p>
    <w:p>
      <w:pPr>
        <w:rPr>
          <w:lang w:val="en-US" w:eastAsia="zh-CN"/>
        </w:rPr>
      </w:pPr>
    </w:p>
    <w:p>
      <w:pPr>
        <w:jc w:val="both"/>
        <w:rPr>
          <w:rFonts w:hint="default"/>
          <w:lang w:val="en-US" w:eastAsia="zh-CN"/>
        </w:rPr>
      </w:pPr>
      <w:r>
        <w:rPr>
          <w:rFonts w:hint="default"/>
          <w:lang w:val="en-US" w:eastAsia="zh-CN"/>
        </w:rPr>
        <w:t>O desenvolvimento resultou em um protótipo funcional, capaz de realizar operações essenciais do repositório e launcher, incluindo autenticação, gerenciamento de usuários e adição de jogos. O protótipo ainda não foi publicado, mas demonstra a viabilidade técnica da plataforma e serve como base para melhorias futuras. A modularidade do desenvolvimento permitiu que cada funcionalidade fosse testada e ajustada individualmente, garantindo coerência e estabilidade (PRESSMAN; MAXIM, 2021).</w:t>
      </w:r>
    </w:p>
    <w:p>
      <w:pPr>
        <w:jc w:val="both"/>
        <w:rPr>
          <w:rFonts w:hint="default"/>
          <w:lang w:val="en-US" w:eastAsia="zh-CN"/>
        </w:rPr>
      </w:pPr>
      <w:r>
        <w:rPr>
          <w:rFonts w:hint="default"/>
          <w:lang w:val="en-US" w:eastAsia="zh-CN"/>
        </w:rPr>
        <w:t>O protótipo permite visualizar o fluxo de usuários, o gerenciamento administrativo e a adição de projetos, atendendo aos objetivos iniciais do desenvolvimento. Apesar de não possuir métricas formais, sua funcionalidade operacional evidencia que os requisitos básicos foram atendidos e que a arquitetura escolhida suporta expansões futuras (SOMMERVILLE, 2019).</w:t>
      </w:r>
      <w:bookmarkStart w:id="16" w:name="_GoBack"/>
      <w:bookmarkEnd w:id="16"/>
    </w:p>
    <w:p>
      <w:pPr>
        <w:jc w:val="both"/>
        <w:rPr>
          <w:lang w:val="en-US" w:eastAsia="zh-CN"/>
        </w:rPr>
      </w:pPr>
      <w:r>
        <w:rPr>
          <w:rFonts w:hint="default"/>
          <w:lang w:val="en-US" w:eastAsia="zh-CN"/>
        </w:rPr>
        <w:t>Por fim, o protótipo funcional proporciona uma base sólida para evolução, possibilitando a implementação de novas funcionalidades, ajustes de interface e integração de serviços adicionais. Essa etapa consolida o projeto como um produto técnico válido, pronto para receber refinamentos e avaliações em ambientes reais ou acadêmicos (BEZERRA, 2018).</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rPr>
      </w:pPr>
    </w:p>
    <w:p>
      <w:pPr>
        <w:jc w:val="both"/>
        <w:rPr>
          <w:szCs w:val="24"/>
        </w:rPr>
      </w:pPr>
    </w:p>
    <w:p>
      <w:pPr>
        <w:pStyle w:val="2"/>
      </w:pPr>
    </w:p>
    <w:p>
      <w:pPr>
        <w:pStyle w:val="2"/>
      </w:pPr>
    </w:p>
    <w:p>
      <w:pPr>
        <w:pStyle w:val="2"/>
      </w:pPr>
    </w:p>
    <w:p>
      <w:pPr>
        <w:pStyle w:val="2"/>
      </w:pPr>
    </w:p>
    <w:p>
      <w:pPr>
        <w:pStyle w:val="2"/>
      </w:pPr>
    </w:p>
    <w:p>
      <w:pPr>
        <w:pStyle w:val="2"/>
      </w:pPr>
    </w:p>
    <w:p>
      <w:pPr>
        <w:pStyle w:val="2"/>
        <w:ind w:firstLine="120" w:firstLineChars="50"/>
        <w:rPr>
          <w:szCs w:val="24"/>
        </w:rPr>
      </w:pPr>
      <w:bookmarkStart w:id="15" w:name="_Toc1020305582"/>
      <w:r>
        <w:t>REFERÊNCIAS</w:t>
      </w:r>
      <w:bookmarkEnd w:id="15"/>
      <w:r>
        <w:rPr>
          <w:szCs w:val="24"/>
        </w:rPr>
        <w:t xml:space="preserve"> </w:t>
      </w:r>
    </w:p>
    <w:p>
      <w:pPr>
        <w:jc w:val="both"/>
        <w:rPr>
          <w:szCs w:val="24"/>
        </w:rPr>
      </w:pP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ACM/IEEE. </w:t>
      </w:r>
      <w:r>
        <w:rPr>
          <w:rStyle w:val="9"/>
          <w:rFonts w:hint="default" w:ascii="Arial" w:hAnsi="Arial" w:cs="Arial"/>
          <w:sz w:val="24"/>
          <w:szCs w:val="24"/>
        </w:rPr>
        <w:t>Software Engineering 2004 (SE2004) – Curriculum Guidelines for Undergraduate Degree Programs in Software Engineering</w:t>
      </w:r>
      <w:r>
        <w:rPr>
          <w:rFonts w:hint="default" w:ascii="Arial" w:hAnsi="Arial" w:cs="Arial"/>
          <w:sz w:val="24"/>
          <w:szCs w:val="24"/>
        </w:rPr>
        <w:t xml:space="preserve">. The Joint Task Force on Computing Curricula, 2004. Disponível em: </w:t>
      </w:r>
      <w:r>
        <w:rPr>
          <w:rFonts w:hint="default" w:ascii="Arial" w:hAnsi="Arial" w:cs="Arial"/>
          <w:sz w:val="24"/>
          <w:szCs w:val="24"/>
        </w:rPr>
        <w:fldChar w:fldCharType="begin"/>
      </w:r>
      <w:r>
        <w:rPr>
          <w:rFonts w:hint="default" w:ascii="Arial" w:hAnsi="Arial" w:cs="Arial"/>
          <w:sz w:val="24"/>
          <w:szCs w:val="24"/>
        </w:rPr>
        <w:instrText xml:space="preserve"> HYPERLINK "https://www.acm.org/binaries/content/assets/education/se2004.pdf" \t "_new" </w:instrText>
      </w:r>
      <w:r>
        <w:rPr>
          <w:rFonts w:hint="default" w:ascii="Arial" w:hAnsi="Arial" w:cs="Arial"/>
          <w:sz w:val="24"/>
          <w:szCs w:val="24"/>
        </w:rPr>
        <w:fldChar w:fldCharType="separate"/>
      </w:r>
      <w:r>
        <w:rPr>
          <w:rStyle w:val="12"/>
          <w:rFonts w:hint="default" w:ascii="Arial" w:hAnsi="Arial" w:cs="Arial"/>
          <w:sz w:val="24"/>
          <w:szCs w:val="24"/>
        </w:rPr>
        <w:t>https://www.acm.org/binaries/content/assets/education/se2004.pdf</w:t>
      </w:r>
      <w:r>
        <w:rPr>
          <w:rFonts w:hint="default" w:ascii="Arial" w:hAnsi="Arial" w:cs="Arial"/>
          <w:sz w:val="24"/>
          <w:szCs w:val="24"/>
        </w:rPr>
        <w:fldChar w:fldCharType="end"/>
      </w:r>
      <w:r>
        <w:rPr>
          <w:rFonts w:hint="default" w:ascii="Arial" w:hAnsi="Arial" w:cs="Arial"/>
          <w:sz w:val="24"/>
          <w:szCs w:val="24"/>
        </w:rPr>
        <w:t>. Acesso em: 16 jun. 2025.</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  BRASIL. </w:t>
      </w:r>
      <w:r>
        <w:rPr>
          <w:rStyle w:val="9"/>
          <w:rFonts w:hint="default" w:ascii="Arial" w:hAnsi="Arial" w:cs="Arial"/>
          <w:sz w:val="24"/>
          <w:szCs w:val="24"/>
        </w:rPr>
        <w:t>Lei nº 13.243, de 11 de janeiro de 2016</w:t>
      </w:r>
      <w:r>
        <w:rPr>
          <w:rFonts w:hint="default" w:ascii="Arial" w:hAnsi="Arial" w:cs="Arial"/>
          <w:sz w:val="24"/>
          <w:szCs w:val="24"/>
        </w:rPr>
        <w:t xml:space="preserve">. Dispõe sobre estímulos ao desenvolvimento científico, à pesquisa, à capacitação científica e tecnológica e à inovação. </w:t>
      </w:r>
      <w:r>
        <w:rPr>
          <w:rStyle w:val="9"/>
          <w:rFonts w:hint="default" w:ascii="Arial" w:hAnsi="Arial" w:cs="Arial"/>
          <w:sz w:val="24"/>
          <w:szCs w:val="24"/>
        </w:rPr>
        <w:t>Diário Oficial da União</w:t>
      </w:r>
      <w:r>
        <w:rPr>
          <w:rFonts w:hint="default" w:ascii="Arial" w:hAnsi="Arial" w:cs="Arial"/>
          <w:sz w:val="24"/>
          <w:szCs w:val="24"/>
        </w:rPr>
        <w:t xml:space="preserve">, Brasília, DF, 12 jan. 2016. Disponível em: </w:t>
      </w:r>
      <w:r>
        <w:rPr>
          <w:rFonts w:hint="default" w:ascii="Arial" w:hAnsi="Arial" w:cs="Arial"/>
          <w:sz w:val="24"/>
          <w:szCs w:val="24"/>
        </w:rPr>
        <w:fldChar w:fldCharType="begin"/>
      </w:r>
      <w:r>
        <w:rPr>
          <w:rFonts w:hint="default" w:ascii="Arial" w:hAnsi="Arial" w:cs="Arial"/>
          <w:sz w:val="24"/>
          <w:szCs w:val="24"/>
        </w:rPr>
        <w:instrText xml:space="preserve"> HYPERLINK "https://www.planalto.gov.br/ccivil_03/_ato2015-2018/2016/lei/l13243.htm" \t "_new" </w:instrText>
      </w:r>
      <w:r>
        <w:rPr>
          <w:rFonts w:hint="default" w:ascii="Arial" w:hAnsi="Arial" w:cs="Arial"/>
          <w:sz w:val="24"/>
          <w:szCs w:val="24"/>
        </w:rPr>
        <w:fldChar w:fldCharType="separate"/>
      </w:r>
      <w:r>
        <w:rPr>
          <w:rStyle w:val="12"/>
          <w:rFonts w:hint="default" w:ascii="Arial" w:hAnsi="Arial" w:cs="Arial"/>
          <w:sz w:val="24"/>
          <w:szCs w:val="24"/>
        </w:rPr>
        <w:t>https://www.planalto.gov.br/ccivil_03/_ato2015-2018/2016/lei/l13243.htm</w:t>
      </w:r>
      <w:r>
        <w:rPr>
          <w:rFonts w:hint="default" w:ascii="Arial" w:hAnsi="Arial" w:cs="Arial"/>
          <w:sz w:val="24"/>
          <w:szCs w:val="24"/>
        </w:rPr>
        <w:fldChar w:fldCharType="end"/>
      </w:r>
      <w:r>
        <w:rPr>
          <w:rFonts w:hint="default" w:ascii="Arial" w:hAnsi="Arial" w:cs="Arial"/>
          <w:sz w:val="24"/>
          <w:szCs w:val="24"/>
        </w:rPr>
        <w:t>. Acesso em: 15 jun. 2025.</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  KENT, Steven L. </w:t>
      </w:r>
      <w:r>
        <w:rPr>
          <w:rStyle w:val="9"/>
          <w:rFonts w:hint="default" w:ascii="Arial" w:hAnsi="Arial" w:cs="Arial"/>
          <w:sz w:val="24"/>
          <w:szCs w:val="24"/>
        </w:rPr>
        <w:t>A história dos videogames: da Atari ao Xbox</w:t>
      </w:r>
      <w:r>
        <w:rPr>
          <w:rFonts w:hint="default" w:ascii="Arial" w:hAnsi="Arial" w:cs="Arial"/>
          <w:sz w:val="24"/>
          <w:szCs w:val="24"/>
        </w:rPr>
        <w:t>. 2. ed. São Paulo: Saraiva, 2001.</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  KENT, Steven L. </w:t>
      </w:r>
      <w:r>
        <w:rPr>
          <w:rStyle w:val="9"/>
          <w:rFonts w:hint="default" w:ascii="Arial" w:hAnsi="Arial" w:cs="Arial"/>
          <w:sz w:val="24"/>
          <w:szCs w:val="24"/>
        </w:rPr>
        <w:t>A última história dos videogames: da Atari ao Xbox, os bastidores da indústria dos jogos eletrônicos</w:t>
      </w:r>
      <w:r>
        <w:rPr>
          <w:rFonts w:hint="default" w:ascii="Arial" w:hAnsi="Arial" w:cs="Arial"/>
          <w:sz w:val="24"/>
          <w:szCs w:val="24"/>
        </w:rPr>
        <w:t>. 2. ed. São Paulo: Nova Fronteira, 2001.</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  MARTINS, João Paulo. Políticas públicas para o setor de games no Brasil: entre a cultura e a inovação. </w:t>
      </w:r>
      <w:r>
        <w:rPr>
          <w:rStyle w:val="9"/>
          <w:rFonts w:hint="default" w:ascii="Arial" w:hAnsi="Arial" w:cs="Arial"/>
          <w:sz w:val="24"/>
          <w:szCs w:val="24"/>
        </w:rPr>
        <w:t>Revista Logos</w:t>
      </w:r>
      <w:r>
        <w:rPr>
          <w:rFonts w:hint="default" w:ascii="Arial" w:hAnsi="Arial" w:cs="Arial"/>
          <w:sz w:val="24"/>
          <w:szCs w:val="24"/>
        </w:rPr>
        <w:t xml:space="preserve">, Rio de Janeiro, v. 27, n. 2, p. 174–189, 2020. Disponível em: </w:t>
      </w:r>
      <w:r>
        <w:rPr>
          <w:rFonts w:hint="default" w:ascii="Arial" w:hAnsi="Arial" w:cs="Arial"/>
          <w:sz w:val="24"/>
          <w:szCs w:val="24"/>
        </w:rPr>
        <w:fldChar w:fldCharType="begin"/>
      </w:r>
      <w:r>
        <w:rPr>
          <w:rFonts w:hint="default" w:ascii="Arial" w:hAnsi="Arial" w:cs="Arial"/>
          <w:sz w:val="24"/>
          <w:szCs w:val="24"/>
        </w:rPr>
        <w:instrText xml:space="preserve"> HYPERLINK "https://www.revistas.unir.br/index.php/logos/article/view/6018" \t "_new" </w:instrText>
      </w:r>
      <w:r>
        <w:rPr>
          <w:rFonts w:hint="default" w:ascii="Arial" w:hAnsi="Arial" w:cs="Arial"/>
          <w:sz w:val="24"/>
          <w:szCs w:val="24"/>
        </w:rPr>
        <w:fldChar w:fldCharType="separate"/>
      </w:r>
      <w:r>
        <w:rPr>
          <w:rStyle w:val="12"/>
          <w:rFonts w:hint="default" w:ascii="Arial" w:hAnsi="Arial" w:cs="Arial"/>
          <w:sz w:val="24"/>
          <w:szCs w:val="24"/>
        </w:rPr>
        <w:t>https://www.revistas.unir.br/index.php/logos/article/view/6018</w:t>
      </w:r>
      <w:r>
        <w:rPr>
          <w:rFonts w:hint="default" w:ascii="Arial" w:hAnsi="Arial" w:cs="Arial"/>
          <w:sz w:val="24"/>
          <w:szCs w:val="24"/>
        </w:rPr>
        <w:fldChar w:fldCharType="end"/>
      </w:r>
      <w:r>
        <w:rPr>
          <w:rFonts w:hint="default" w:ascii="Arial" w:hAnsi="Arial" w:cs="Arial"/>
          <w:sz w:val="24"/>
          <w:szCs w:val="24"/>
        </w:rPr>
        <w:t>. Acesso em: 15 jun. 2025.</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  MILLER, Carolyn Handler. </w:t>
      </w:r>
      <w:r>
        <w:rPr>
          <w:rStyle w:val="9"/>
          <w:rFonts w:hint="default" w:ascii="Arial" w:hAnsi="Arial" w:cs="Arial"/>
          <w:sz w:val="24"/>
          <w:szCs w:val="24"/>
        </w:rPr>
        <w:t>Digital storytelling: a creator's guide to interactive entertainment</w:t>
      </w:r>
      <w:r>
        <w:rPr>
          <w:rFonts w:hint="default" w:ascii="Arial" w:hAnsi="Arial" w:cs="Arial"/>
          <w:sz w:val="24"/>
          <w:szCs w:val="24"/>
        </w:rPr>
        <w:t>. Burlington: Focal Press, 2008.</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  MURRAY, Janet H. </w:t>
      </w:r>
      <w:r>
        <w:rPr>
          <w:rStyle w:val="9"/>
          <w:rFonts w:hint="default" w:ascii="Arial" w:hAnsi="Arial" w:cs="Arial"/>
          <w:sz w:val="24"/>
          <w:szCs w:val="24"/>
        </w:rPr>
        <w:t>Hamlet no holodeck: o futuro da narrativa no ciberespaço</w:t>
      </w:r>
      <w:r>
        <w:rPr>
          <w:rFonts w:hint="default" w:ascii="Arial" w:hAnsi="Arial" w:cs="Arial"/>
          <w:sz w:val="24"/>
          <w:szCs w:val="24"/>
        </w:rPr>
        <w:t>. São Paulo: UNESP, 2003.</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  PIETROCOLA, Maurício; SILVA, Daniel Henrique. A indústria de jogos eletrônicos no Brasil: trajetórias, tensões e possibilidades. </w:t>
      </w:r>
      <w:r>
        <w:rPr>
          <w:rStyle w:val="9"/>
          <w:rFonts w:hint="default" w:ascii="Arial" w:hAnsi="Arial" w:cs="Arial"/>
          <w:sz w:val="24"/>
          <w:szCs w:val="24"/>
        </w:rPr>
        <w:t>Cadernos de Ciências Sociais Aplicadas</w:t>
      </w:r>
      <w:r>
        <w:rPr>
          <w:rFonts w:hint="default" w:ascii="Arial" w:hAnsi="Arial" w:cs="Arial"/>
          <w:sz w:val="24"/>
          <w:szCs w:val="24"/>
        </w:rPr>
        <w:t>, Vitória da Conquista, v. 19, n. 36, p. 27–44, 2021.</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  RODRIGUES, Vanessa Pereira; BARROS, Daniel Augusto. Jogos digitais e aprendizagem: experiências no ensino técnico integrado. In: </w:t>
      </w:r>
      <w:r>
        <w:rPr>
          <w:rStyle w:val="9"/>
          <w:rFonts w:hint="default" w:ascii="Arial" w:hAnsi="Arial" w:cs="Arial"/>
          <w:sz w:val="24"/>
          <w:szCs w:val="24"/>
        </w:rPr>
        <w:t>CONGRESSO BRASILEIRO DE ENSINO DE ENGENHARIA</w:t>
      </w:r>
      <w:r>
        <w:rPr>
          <w:rFonts w:hint="default" w:ascii="Arial" w:hAnsi="Arial" w:cs="Arial"/>
          <w:sz w:val="24"/>
          <w:szCs w:val="24"/>
        </w:rPr>
        <w:t xml:space="preserve">, 9., 2015, Fortaleza. </w:t>
      </w:r>
      <w:r>
        <w:rPr>
          <w:rStyle w:val="9"/>
          <w:rFonts w:hint="default" w:ascii="Arial" w:hAnsi="Arial" w:cs="Arial"/>
          <w:sz w:val="24"/>
          <w:szCs w:val="24"/>
        </w:rPr>
        <w:t>Anais</w:t>
      </w:r>
      <w:r>
        <w:rPr>
          <w:rFonts w:hint="default" w:ascii="Arial" w:hAnsi="Arial" w:cs="Arial"/>
          <w:sz w:val="24"/>
          <w:szCs w:val="24"/>
        </w:rPr>
        <w:t xml:space="preserve"> [...]. Fortaleza: ABENGE, 2015. Disponível em: </w:t>
      </w:r>
      <w:r>
        <w:rPr>
          <w:rFonts w:hint="default" w:ascii="Arial" w:hAnsi="Arial" w:cs="Arial"/>
          <w:sz w:val="24"/>
          <w:szCs w:val="24"/>
        </w:rPr>
        <w:fldChar w:fldCharType="begin"/>
      </w:r>
      <w:r>
        <w:rPr>
          <w:rFonts w:hint="default" w:ascii="Arial" w:hAnsi="Arial" w:cs="Arial"/>
          <w:sz w:val="24"/>
          <w:szCs w:val="24"/>
        </w:rPr>
        <w:instrText xml:space="preserve"> HYPERLINK "https://www.abenge.org.br" \t "_new" </w:instrText>
      </w:r>
      <w:r>
        <w:rPr>
          <w:rFonts w:hint="default" w:ascii="Arial" w:hAnsi="Arial" w:cs="Arial"/>
          <w:sz w:val="24"/>
          <w:szCs w:val="24"/>
        </w:rPr>
        <w:fldChar w:fldCharType="separate"/>
      </w:r>
      <w:r>
        <w:rPr>
          <w:rStyle w:val="12"/>
          <w:rFonts w:hint="default" w:ascii="Arial" w:hAnsi="Arial" w:cs="Arial"/>
          <w:sz w:val="24"/>
          <w:szCs w:val="24"/>
        </w:rPr>
        <w:t>https://www.abenge.org.br</w:t>
      </w:r>
      <w:r>
        <w:rPr>
          <w:rFonts w:hint="default" w:ascii="Arial" w:hAnsi="Arial" w:cs="Arial"/>
          <w:sz w:val="24"/>
          <w:szCs w:val="24"/>
        </w:rPr>
        <w:fldChar w:fldCharType="end"/>
      </w:r>
      <w:r>
        <w:rPr>
          <w:rFonts w:hint="default" w:ascii="Arial" w:hAnsi="Arial" w:cs="Arial"/>
          <w:sz w:val="24"/>
          <w:szCs w:val="24"/>
        </w:rPr>
        <w:t>. Acesso em: 15 jun. 2025.</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  SANTOS, Fernando da Silva. </w:t>
      </w:r>
      <w:r>
        <w:rPr>
          <w:rStyle w:val="9"/>
          <w:rFonts w:hint="default" w:ascii="Arial" w:hAnsi="Arial" w:cs="Arial"/>
          <w:sz w:val="24"/>
          <w:szCs w:val="24"/>
        </w:rPr>
        <w:t>A atualização curricular do curso técnico em Desenvolvimento de Sistemas, frente aos avanços da Inteligência Artificial</w:t>
      </w:r>
      <w:r>
        <w:rPr>
          <w:rFonts w:hint="default" w:ascii="Arial" w:hAnsi="Arial" w:cs="Arial"/>
          <w:sz w:val="24"/>
          <w:szCs w:val="24"/>
        </w:rPr>
        <w:t xml:space="preserve">. Trabalho de Conclusão de Curso – Centro Estadual de Educação Tecnológica Paula Souza, São Paulo, 2020. Disponível em: </w:t>
      </w:r>
      <w:r>
        <w:rPr>
          <w:rFonts w:hint="default" w:ascii="Arial" w:hAnsi="Arial" w:cs="Arial"/>
          <w:sz w:val="24"/>
          <w:szCs w:val="24"/>
        </w:rPr>
        <w:fldChar w:fldCharType="begin"/>
      </w:r>
      <w:r>
        <w:rPr>
          <w:rFonts w:hint="default" w:ascii="Arial" w:hAnsi="Arial" w:cs="Arial"/>
          <w:sz w:val="24"/>
          <w:szCs w:val="24"/>
        </w:rPr>
        <w:instrText xml:space="preserve"> HYPERLINK "https://repositorio.cps.sp.gov.br/handle/123456789/466" \t "_new" </w:instrText>
      </w:r>
      <w:r>
        <w:rPr>
          <w:rFonts w:hint="default" w:ascii="Arial" w:hAnsi="Arial" w:cs="Arial"/>
          <w:sz w:val="24"/>
          <w:szCs w:val="24"/>
        </w:rPr>
        <w:fldChar w:fldCharType="separate"/>
      </w:r>
      <w:r>
        <w:rPr>
          <w:rStyle w:val="12"/>
          <w:rFonts w:hint="default" w:ascii="Arial" w:hAnsi="Arial" w:cs="Arial"/>
          <w:sz w:val="24"/>
          <w:szCs w:val="24"/>
        </w:rPr>
        <w:t>https://repositorio.cps.sp.gov.br/handle/123456789/466</w:t>
      </w:r>
      <w:r>
        <w:rPr>
          <w:rFonts w:hint="default" w:ascii="Arial" w:hAnsi="Arial" w:cs="Arial"/>
          <w:sz w:val="24"/>
          <w:szCs w:val="24"/>
        </w:rPr>
        <w:fldChar w:fldCharType="end"/>
      </w:r>
      <w:r>
        <w:rPr>
          <w:rFonts w:hint="default" w:ascii="Arial" w:hAnsi="Arial" w:cs="Arial"/>
          <w:sz w:val="24"/>
          <w:szCs w:val="24"/>
        </w:rPr>
        <w:t>. Acesso em: 16 jun. 2025.</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  SOUZA, Juliano Costa de; COSTA, Maurício Oliveira da. História dos jogos eletrônicos no Brasil: desafios e conquistas da produção nacional. </w:t>
      </w:r>
      <w:r>
        <w:rPr>
          <w:rStyle w:val="9"/>
          <w:rFonts w:hint="default" w:ascii="Arial" w:hAnsi="Arial" w:cs="Arial"/>
          <w:sz w:val="24"/>
          <w:szCs w:val="24"/>
        </w:rPr>
        <w:t>Revista GEMInIS</w:t>
      </w:r>
      <w:r>
        <w:rPr>
          <w:rFonts w:hint="default" w:ascii="Arial" w:hAnsi="Arial" w:cs="Arial"/>
          <w:sz w:val="24"/>
          <w:szCs w:val="24"/>
        </w:rPr>
        <w:t>, São Carlos, v. 9, n. 1, p. 63–80, 2018.</w:t>
      </w:r>
    </w:p>
    <w:p>
      <w:pPr>
        <w:pStyle w:val="14"/>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  UNICAMP – Centro Superior de Educação Tecnológica (CESET). </w:t>
      </w:r>
      <w:r>
        <w:rPr>
          <w:rStyle w:val="9"/>
          <w:rFonts w:hint="default" w:ascii="Arial" w:hAnsi="Arial" w:cs="Arial"/>
          <w:sz w:val="24"/>
          <w:szCs w:val="24"/>
        </w:rPr>
        <w:t>Histórico do curso de Tecnologia em Análise e Desenvolvimento de Sistemas</w:t>
      </w:r>
      <w:r>
        <w:rPr>
          <w:rFonts w:hint="default" w:ascii="Arial" w:hAnsi="Arial" w:cs="Arial"/>
          <w:sz w:val="24"/>
          <w:szCs w:val="24"/>
        </w:rPr>
        <w:t xml:space="preserve">. Limeira: Universidade Estadual de Campinas, 2023. Disponível em: </w:t>
      </w:r>
      <w:r>
        <w:rPr>
          <w:rFonts w:hint="default" w:ascii="Arial" w:hAnsi="Arial" w:cs="Arial"/>
          <w:sz w:val="24"/>
          <w:szCs w:val="24"/>
        </w:rPr>
        <w:fldChar w:fldCharType="begin"/>
      </w:r>
      <w:r>
        <w:rPr>
          <w:rFonts w:hint="default" w:ascii="Arial" w:hAnsi="Arial" w:cs="Arial"/>
          <w:sz w:val="24"/>
          <w:szCs w:val="24"/>
        </w:rPr>
        <w:instrText xml:space="preserve"> HYPERLINK "https://www.ceset.unicamp.br" \t "_new" </w:instrText>
      </w:r>
      <w:r>
        <w:rPr>
          <w:rFonts w:hint="default" w:ascii="Arial" w:hAnsi="Arial" w:cs="Arial"/>
          <w:sz w:val="24"/>
          <w:szCs w:val="24"/>
        </w:rPr>
        <w:fldChar w:fldCharType="separate"/>
      </w:r>
      <w:r>
        <w:rPr>
          <w:rStyle w:val="12"/>
          <w:rFonts w:hint="default" w:ascii="Arial" w:hAnsi="Arial" w:cs="Arial"/>
          <w:sz w:val="24"/>
          <w:szCs w:val="24"/>
        </w:rPr>
        <w:t>https://www.ceset.unicamp.br</w:t>
      </w:r>
      <w:r>
        <w:rPr>
          <w:rFonts w:hint="default" w:ascii="Arial" w:hAnsi="Arial" w:cs="Arial"/>
          <w:sz w:val="24"/>
          <w:szCs w:val="24"/>
        </w:rPr>
        <w:fldChar w:fldCharType="end"/>
      </w:r>
      <w:r>
        <w:rPr>
          <w:rFonts w:hint="default" w:ascii="Arial" w:hAnsi="Arial" w:cs="Arial"/>
          <w:sz w:val="24"/>
          <w:szCs w:val="24"/>
        </w:rPr>
        <w:t>. Acesso em: 16 jun. 2025.</w:t>
      </w:r>
    </w:p>
    <w:p>
      <w:pPr>
        <w:jc w:val="both"/>
        <w:rPr>
          <w:rFonts w:hint="default"/>
          <w:szCs w:val="24"/>
        </w:rPr>
      </w:pPr>
      <w:r>
        <w:rPr>
          <w:rFonts w:hint="default"/>
          <w:szCs w:val="24"/>
        </w:rPr>
        <w:t>ANDERSON, Ross. Security Engineering: A Guide to Building Dependable Distributed Systems. 3. ed. Hoboken: Wiley, 2020.</w:t>
      </w:r>
    </w:p>
    <w:p>
      <w:pPr>
        <w:jc w:val="both"/>
        <w:rPr>
          <w:rFonts w:hint="default"/>
          <w:szCs w:val="24"/>
        </w:rPr>
      </w:pPr>
      <w:r>
        <w:rPr>
          <w:rFonts w:hint="default"/>
          <w:szCs w:val="24"/>
        </w:rPr>
        <w:t>BEZERRA, Eduardo. Princípios de Análise e Projeto de Sistemas com UML. 3. ed. Rio de Janeiro: Elsevier, 2018.</w:t>
      </w:r>
    </w:p>
    <w:p>
      <w:pPr>
        <w:jc w:val="both"/>
        <w:rPr>
          <w:rFonts w:hint="default"/>
          <w:szCs w:val="24"/>
        </w:rPr>
      </w:pPr>
      <w:r>
        <w:rPr>
          <w:rFonts w:hint="default"/>
          <w:szCs w:val="24"/>
        </w:rPr>
        <w:t>KENSKI, Vani Moreira. Educação e Tecnologias: O Novo Ritmo da Informação. 8. ed. Campinas: Papirus, 2012.</w:t>
      </w:r>
    </w:p>
    <w:p>
      <w:pPr>
        <w:jc w:val="both"/>
        <w:rPr>
          <w:rFonts w:hint="default"/>
          <w:szCs w:val="24"/>
        </w:rPr>
      </w:pPr>
      <w:r>
        <w:rPr>
          <w:rFonts w:hint="default"/>
          <w:szCs w:val="24"/>
        </w:rPr>
        <w:t>KRUG, Steve. Não me Faça Pensar: Uma Abordagem de Bom Senso à Usabilidade na Web. 3. ed. Rio de Janeiro: Alta Books, 2014.</w:t>
      </w:r>
    </w:p>
    <w:p>
      <w:pPr>
        <w:jc w:val="both"/>
        <w:rPr>
          <w:rFonts w:hint="default"/>
          <w:szCs w:val="24"/>
        </w:rPr>
      </w:pPr>
      <w:r>
        <w:rPr>
          <w:rFonts w:hint="default"/>
          <w:szCs w:val="24"/>
        </w:rPr>
        <w:t>MORAN, José Manuel. Metodologias Ativas para uma Educação Inovadora. Porto Alegre: Penso, 2018.</w:t>
      </w:r>
    </w:p>
    <w:p>
      <w:pPr>
        <w:jc w:val="both"/>
        <w:rPr>
          <w:rFonts w:hint="default"/>
          <w:szCs w:val="24"/>
        </w:rPr>
      </w:pPr>
      <w:r>
        <w:rPr>
          <w:rFonts w:hint="default"/>
          <w:szCs w:val="24"/>
        </w:rPr>
        <w:t>NIELSEN, Jakob; BUDIU, Raluca. Mobile Usability. Berkeley: New Riders, 2012.</w:t>
      </w:r>
    </w:p>
    <w:p>
      <w:pPr>
        <w:jc w:val="both"/>
        <w:rPr>
          <w:rFonts w:hint="default"/>
          <w:szCs w:val="24"/>
        </w:rPr>
      </w:pPr>
      <w:r>
        <w:rPr>
          <w:rFonts w:hint="default"/>
          <w:szCs w:val="24"/>
        </w:rPr>
        <w:t>PRESSMAN, Roger S.; MAXIM, Bruce R. Engenharia de Software: Uma Abordagem Profissional. 9. ed. Porto Alegre: AMGH, 2021.</w:t>
      </w:r>
    </w:p>
    <w:p>
      <w:pPr>
        <w:jc w:val="both"/>
        <w:rPr>
          <w:rFonts w:hint="default"/>
          <w:szCs w:val="24"/>
        </w:rPr>
      </w:pPr>
      <w:r>
        <w:rPr>
          <w:rFonts w:hint="default"/>
          <w:szCs w:val="24"/>
        </w:rPr>
        <w:t>SOMMERVILLE, Ian. Engenharia de Software. 10. ed. São Paulo: Pearson, 2019.</w:t>
      </w:r>
    </w:p>
    <w:p>
      <w:pPr>
        <w:jc w:val="both"/>
        <w:rPr>
          <w:szCs w:val="24"/>
        </w:rPr>
      </w:pPr>
      <w:r>
        <w:rPr>
          <w:rFonts w:hint="default"/>
          <w:szCs w:val="24"/>
        </w:rPr>
        <w:t>STALLINGS, William. Criptografia e Segurança de Redes: Princípios e Práticas. 7. ed. São Paulo: Pearson, 2018.</w:t>
      </w:r>
    </w:p>
    <w:p>
      <w:pPr>
        <w:jc w:val="both"/>
        <w:rPr>
          <w:szCs w:val="24"/>
        </w:rPr>
      </w:pPr>
    </w:p>
    <w:sectPr>
      <w:headerReference r:id="rId5" w:type="default"/>
      <w:pgSz w:w="11906" w:h="16838"/>
      <w:pgMar w:top="1701" w:right="1134" w:bottom="1134" w:left="1701"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0xProto Nerd Font"/>
    <w:panose1 w:val="05000000000000000000"/>
    <w:charset w:val="00"/>
    <w:family w:val="auto"/>
    <w:pitch w:val="default"/>
    <w:sig w:usb0="00000000" w:usb1="10000000" w:usb2="00000000" w:usb3="00000000" w:csb0="80000000" w:csb1="00000000"/>
  </w:font>
  <w:font w:name="0xProto Nerd Font">
    <w:panose1 w:val="02000009000000000000"/>
    <w:charset w:val="00"/>
    <w:family w:val="auto"/>
    <w:pitch w:val="default"/>
    <w:sig w:usb0="A10000FF" w:usb1="0000084A" w:usb2="00000008" w:usb3="00000000" w:csb0="00000193" w:csb1="CD4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9" w:usb3="00000000" w:csb0="200001FF" w:csb1="00000000"/>
  </w:font>
  <w:font w:name="Noto Sans Devanagari">
    <w:panose1 w:val="020B0502040504020204"/>
    <w:charset w:val="00"/>
    <w:family w:val="roman"/>
    <w:pitch w:val="default"/>
    <w:sig w:usb0="80008023" w:usb1="00002046" w:usb2="00000000" w:usb3="00000000" w:csb0="00000001"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Calibri Light">
    <w:altName w:val="DejaVu Sans"/>
    <w:panose1 w:val="020F0302020204030204"/>
    <w:charset w:val="00"/>
    <w:family w:val="swiss"/>
    <w:pitch w:val="default"/>
    <w:sig w:usb0="00000000" w:usb1="00000000"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1"/>
          <w:jc w:val="right"/>
        </w:pPr>
      </w:p>
      <w:p>
        <w:pPr>
          <w:pStyle w:val="11"/>
          <w:jc w:val="right"/>
        </w:pPr>
        <w:r>
          <w:fldChar w:fldCharType="begin"/>
        </w:r>
        <w:r>
          <w:instrText xml:space="preserve">PAGE   \* MERGEFORMAT</w:instrText>
        </w:r>
        <w:r>
          <w:fldChar w:fldCharType="separate"/>
        </w:r>
        <w:r>
          <w:t>2</w:t>
        </w:r>
        <w:r>
          <w:fldChar w:fldCharType="end"/>
        </w:r>
      </w:p>
    </w:sdtContent>
  </w:sdt>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0E"/>
    <w:rsid w:val="0010601A"/>
    <w:rsid w:val="00372B0F"/>
    <w:rsid w:val="00372F4B"/>
    <w:rsid w:val="00416E71"/>
    <w:rsid w:val="004C4F70"/>
    <w:rsid w:val="00712F67"/>
    <w:rsid w:val="00757186"/>
    <w:rsid w:val="00A07CDF"/>
    <w:rsid w:val="00AA2A0E"/>
    <w:rsid w:val="00B67696"/>
    <w:rsid w:val="00CA0B4A"/>
    <w:rsid w:val="00D57F0B"/>
    <w:rsid w:val="00EA6736"/>
    <w:rsid w:val="00F615E2"/>
    <w:rsid w:val="3E865EEE"/>
    <w:rsid w:val="BDFEB3F4"/>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20" w:line="360" w:lineRule="auto"/>
    </w:pPr>
    <w:rPr>
      <w:rFonts w:ascii="Arial" w:hAnsi="Arial" w:eastAsiaTheme="minorHAnsi" w:cstheme="minorBidi"/>
      <w:sz w:val="24"/>
      <w:szCs w:val="22"/>
      <w:lang w:val="pt-BR" w:eastAsia="en-US" w:bidi="ar-SA"/>
    </w:rPr>
  </w:style>
  <w:style w:type="paragraph" w:styleId="2">
    <w:name w:val="heading 1"/>
    <w:basedOn w:val="1"/>
    <w:next w:val="1"/>
    <w:link w:val="19"/>
    <w:qFormat/>
    <w:uiPriority w:val="9"/>
    <w:pPr>
      <w:keepNext/>
      <w:keepLines/>
      <w:spacing w:before="240" w:after="0"/>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3"/>
    <w:unhideWhenUsed/>
    <w:qFormat/>
    <w:uiPriority w:val="9"/>
    <w:pPr>
      <w:keepNext/>
      <w:keepLines/>
      <w:spacing w:before="40" w:after="0"/>
      <w:outlineLvl w:val="2"/>
    </w:pPr>
    <w:rPr>
      <w:rFonts w:eastAsiaTheme="majorEastAsia" w:cstheme="majorBidi"/>
      <w:b/>
      <w:color w:val="000000" w:themeColor="text1"/>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after="140" w:line="276" w:lineRule="auto"/>
    </w:pPr>
  </w:style>
  <w:style w:type="paragraph" w:styleId="8">
    <w:name w:val="caption"/>
    <w:basedOn w:val="1"/>
    <w:next w:val="1"/>
    <w:qFormat/>
    <w:uiPriority w:val="0"/>
    <w:pPr>
      <w:suppressLineNumbers/>
      <w:spacing w:before="120"/>
    </w:pPr>
    <w:rPr>
      <w:rFonts w:cs="Noto Sans Devanagari"/>
      <w:i/>
      <w:iCs/>
      <w:szCs w:val="24"/>
    </w:rPr>
  </w:style>
  <w:style w:type="character" w:styleId="9">
    <w:name w:val="Emphasis"/>
    <w:qFormat/>
    <w:uiPriority w:val="20"/>
    <w:rPr>
      <w:i/>
      <w:iCs/>
    </w:rPr>
  </w:style>
  <w:style w:type="paragraph" w:styleId="10">
    <w:name w:val="footer"/>
    <w:basedOn w:val="1"/>
    <w:link w:val="27"/>
    <w:unhideWhenUsed/>
    <w:qFormat/>
    <w:uiPriority w:val="99"/>
    <w:pPr>
      <w:tabs>
        <w:tab w:val="center" w:pos="4252"/>
        <w:tab w:val="right" w:pos="8504"/>
      </w:tabs>
      <w:spacing w:after="0" w:line="240" w:lineRule="auto"/>
    </w:pPr>
  </w:style>
  <w:style w:type="paragraph" w:styleId="11">
    <w:name w:val="header"/>
    <w:basedOn w:val="1"/>
    <w:link w:val="26"/>
    <w:unhideWhenUsed/>
    <w:qFormat/>
    <w:uiPriority w:val="99"/>
    <w:pPr>
      <w:tabs>
        <w:tab w:val="center" w:pos="4252"/>
        <w:tab w:val="right" w:pos="8504"/>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List"/>
    <w:basedOn w:val="7"/>
    <w:qFormat/>
    <w:uiPriority w:val="0"/>
    <w:rPr>
      <w:rFonts w:cs="Noto Sans Devanagari"/>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character" w:styleId="15">
    <w:name w:val="Strong"/>
    <w:basedOn w:val="5"/>
    <w:qFormat/>
    <w:uiPriority w:val="22"/>
    <w:rPr>
      <w:b/>
      <w:bCs/>
    </w:rPr>
  </w:style>
  <w:style w:type="table" w:styleId="16">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uiPriority w:val="39"/>
    <w:pPr>
      <w:spacing w:after="100"/>
    </w:pPr>
  </w:style>
  <w:style w:type="paragraph" w:styleId="18">
    <w:name w:val="toc 2"/>
    <w:basedOn w:val="1"/>
    <w:next w:val="1"/>
    <w:unhideWhenUsed/>
    <w:qFormat/>
    <w:uiPriority w:val="39"/>
    <w:pPr>
      <w:spacing w:after="100"/>
      <w:ind w:left="240"/>
    </w:pPr>
  </w:style>
  <w:style w:type="character" w:customStyle="1" w:styleId="19">
    <w:name w:val="Título 1 Char"/>
    <w:basedOn w:val="5"/>
    <w:link w:val="2"/>
    <w:qFormat/>
    <w:uiPriority w:val="9"/>
    <w:rPr>
      <w:rFonts w:ascii="Arial" w:hAnsi="Arial" w:eastAsiaTheme="majorEastAsia" w:cstheme="majorBidi"/>
      <w:b/>
      <w:color w:val="000000" w:themeColor="text1"/>
      <w:sz w:val="24"/>
      <w:szCs w:val="32"/>
      <w14:textFill>
        <w14:solidFill>
          <w14:schemeClr w14:val="tx1"/>
        </w14:solidFill>
      </w14:textFill>
    </w:rPr>
  </w:style>
  <w:style w:type="paragraph" w:customStyle="1" w:styleId="20">
    <w:name w:val="Heading"/>
    <w:basedOn w:val="1"/>
    <w:next w:val="7"/>
    <w:qFormat/>
    <w:uiPriority w:val="0"/>
    <w:pPr>
      <w:keepNext/>
      <w:spacing w:before="240"/>
    </w:pPr>
    <w:rPr>
      <w:rFonts w:ascii="Liberation Sans" w:hAnsi="Liberation Sans" w:eastAsia="Noto Sans CJK SC" w:cs="Noto Sans Devanagari"/>
      <w:sz w:val="28"/>
      <w:szCs w:val="28"/>
    </w:rPr>
  </w:style>
  <w:style w:type="paragraph" w:customStyle="1" w:styleId="21">
    <w:name w:val="Index"/>
    <w:basedOn w:val="1"/>
    <w:qFormat/>
    <w:uiPriority w:val="0"/>
    <w:pPr>
      <w:suppressLineNumbers/>
    </w:pPr>
    <w:rPr>
      <w:rFonts w:cs="Noto Sans Devanagari"/>
    </w:rPr>
  </w:style>
  <w:style w:type="character" w:customStyle="1" w:styleId="22">
    <w:name w:val="Título 2 Char"/>
    <w:basedOn w:val="5"/>
    <w:link w:val="3"/>
    <w:qFormat/>
    <w:uiPriority w:val="9"/>
    <w:rPr>
      <w:rFonts w:ascii="Arial" w:hAnsi="Arial" w:eastAsiaTheme="majorEastAsia" w:cstheme="majorBidi"/>
      <w:b/>
      <w:color w:val="000000" w:themeColor="text1"/>
      <w:sz w:val="24"/>
      <w:szCs w:val="26"/>
      <w14:textFill>
        <w14:solidFill>
          <w14:schemeClr w14:val="tx1"/>
        </w14:solidFill>
      </w14:textFill>
    </w:rPr>
  </w:style>
  <w:style w:type="character" w:customStyle="1" w:styleId="23">
    <w:name w:val="Título 3 Char"/>
    <w:basedOn w:val="5"/>
    <w:link w:val="4"/>
    <w:qFormat/>
    <w:uiPriority w:val="9"/>
    <w:rPr>
      <w:rFonts w:ascii="Arial" w:hAnsi="Arial" w:eastAsiaTheme="majorEastAsia" w:cstheme="majorBidi"/>
      <w:b/>
      <w:color w:val="000000" w:themeColor="text1"/>
      <w:sz w:val="24"/>
      <w:szCs w:val="24"/>
      <w14:textFill>
        <w14:solidFill>
          <w14:schemeClr w14:val="tx1"/>
        </w14:solidFill>
      </w14:textFill>
    </w:rPr>
  </w:style>
  <w:style w:type="character" w:customStyle="1" w:styleId="24">
    <w:name w:val="Unresolved Mention"/>
    <w:basedOn w:val="5"/>
    <w:semiHidden/>
    <w:unhideWhenUsed/>
    <w:qFormat/>
    <w:uiPriority w:val="99"/>
    <w:rPr>
      <w:color w:val="605E5C"/>
      <w:shd w:val="clear" w:color="auto" w:fill="E1DFDD"/>
    </w:rPr>
  </w:style>
  <w:style w:type="paragraph" w:customStyle="1" w:styleId="25">
    <w:name w:val="TOC Heading"/>
    <w:basedOn w:val="2"/>
    <w:next w:val="1"/>
    <w:unhideWhenUsed/>
    <w:qFormat/>
    <w:uiPriority w:val="39"/>
    <w:pPr>
      <w:suppressAutoHyphens w:val="0"/>
      <w:spacing w:line="259" w:lineRule="auto"/>
      <w:outlineLvl w:val="9"/>
    </w:pPr>
    <w:rPr>
      <w:rFonts w:asciiTheme="majorHAnsi" w:hAnsiTheme="majorHAnsi"/>
      <w:b w:val="0"/>
      <w:color w:val="2F5597" w:themeColor="accent1" w:themeShade="BF"/>
      <w:sz w:val="32"/>
      <w:lang w:eastAsia="pt-BR"/>
    </w:rPr>
  </w:style>
  <w:style w:type="character" w:customStyle="1" w:styleId="26">
    <w:name w:val="Cabeçalho Char"/>
    <w:basedOn w:val="5"/>
    <w:link w:val="11"/>
    <w:uiPriority w:val="99"/>
    <w:rPr>
      <w:rFonts w:ascii="Arial" w:hAnsi="Arial"/>
      <w:sz w:val="24"/>
    </w:rPr>
  </w:style>
  <w:style w:type="character" w:customStyle="1" w:styleId="27">
    <w:name w:val="Rodapé Char"/>
    <w:basedOn w:val="5"/>
    <w:link w:val="10"/>
    <w:qFormat/>
    <w:uiPriority w:val="99"/>
    <w:rPr>
      <w:rFonts w:ascii="Arial" w:hAnsi="Arial"/>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3213</Words>
  <Characters>18755</Characters>
  <Lines>161</Lines>
  <Paragraphs>45</Paragraphs>
  <TotalTime>63</TotalTime>
  <ScaleCrop>false</ScaleCrop>
  <LinksUpToDate>false</LinksUpToDate>
  <CharactersWithSpaces>22133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2025-04-09T12:14:00Z</dcterms:created>
  <dc:creator>Etec-User</dc:creator>
  <cp:lastModifiedBy>anubis</cp:lastModifiedBy>
  <cp:lastPrinted>2025-06-17T12:08:00Z</cp:lastPrinted>
  <dcterms:modified xsi:type="dcterms:W3CDTF">2025-10-16T03:12:55Z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80B8AF75858F41278E0BA5A9CA617164_13</vt:lpwstr>
  </property>
</Properties>
</file>