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F32124" w14:textId="0F4AD3D9" w:rsidR="003A106F" w:rsidRPr="008B3AA5" w:rsidRDefault="008B3AA5" w:rsidP="00195219">
      <w:pPr>
        <w:pStyle w:val="ListBullet"/>
        <w:numPr>
          <w:ilvl w:val="0"/>
          <w:numId w:val="0"/>
        </w:numPr>
        <w:tabs>
          <w:tab w:val="left" w:pos="360"/>
          <w:tab w:val="left" w:pos="993"/>
        </w:tabs>
        <w:suppressAutoHyphens w:val="0"/>
        <w:spacing w:before="120" w:after="120" w:line="320" w:lineRule="exact"/>
        <w:ind w:left="360" w:hanging="360"/>
        <w:jc w:val="center"/>
        <w:rPr>
          <w:rFonts w:ascii="Cordia New" w:hAnsi="Cordia New" w:cs="Cordia New" w:hint="cs"/>
          <w:b/>
          <w:bCs/>
          <w:spacing w:val="-8"/>
          <w:sz w:val="32"/>
          <w:szCs w:val="32"/>
          <w:cs/>
        </w:rPr>
      </w:pPr>
      <w:r w:rsidRPr="008B3AA5">
        <w:rPr>
          <w:rFonts w:ascii="Cordia New" w:hAnsi="Cordia New" w:cs="Cordia New" w:hint="cs"/>
          <w:b/>
          <w:bCs/>
          <w:spacing w:val="-8"/>
          <w:sz w:val="32"/>
          <w:szCs w:val="32"/>
          <w:cs/>
        </w:rPr>
        <w:t>นโยบายการลงทุนที่สามารถเลือกได้</w:t>
      </w:r>
    </w:p>
    <w:tbl>
      <w:tblPr>
        <w:tblW w:w="0" w:type="auto"/>
        <w:tblInd w:w="1096" w:type="dxa"/>
        <w:tblLayout w:type="fixed"/>
        <w:tblLook w:val="0000" w:firstRow="0" w:lastRow="0" w:firstColumn="0" w:lastColumn="0" w:noHBand="0" w:noVBand="0"/>
      </w:tblPr>
      <w:tblGrid>
        <w:gridCol w:w="1989"/>
        <w:gridCol w:w="7234"/>
      </w:tblGrid>
      <w:tr w:rsidR="003A106F" w:rsidRPr="008B3AA5" w14:paraId="12D8B478" w14:textId="77777777"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14B3F4B" w14:textId="77777777" w:rsidR="003A106F" w:rsidRPr="008B3AA5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/>
              <w:jc w:val="center"/>
              <w:rPr>
                <w:rFonts w:ascii="Cordia New" w:hAnsi="Cordia New" w:cs="Cordia New"/>
                <w:b/>
                <w:bCs/>
                <w:spacing w:val="-8"/>
                <w:sz w:val="32"/>
                <w:szCs w:val="32"/>
                <w:cs/>
              </w:rPr>
            </w:pPr>
            <w:r w:rsidRPr="008B3AA5">
              <w:rPr>
                <w:rFonts w:ascii="Cordia New" w:hAnsi="Cordia New" w:cs="Cordia New"/>
                <w:b/>
                <w:bCs/>
                <w:spacing w:val="-8"/>
                <w:sz w:val="32"/>
                <w:szCs w:val="32"/>
                <w:cs/>
              </w:rPr>
              <w:t>ทางเลือกการลงทุน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EC7D239" w14:textId="77777777" w:rsidR="003A106F" w:rsidRPr="008B3AA5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/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B3AA5">
              <w:rPr>
                <w:rFonts w:ascii="Cordia New" w:hAnsi="Cordia New" w:cs="Cordia New"/>
                <w:b/>
                <w:bCs/>
                <w:spacing w:val="-8"/>
                <w:sz w:val="32"/>
                <w:szCs w:val="32"/>
                <w:cs/>
              </w:rPr>
              <w:t>สัดส่วนเงินนำส่งในแต่ละนโยบาย</w:t>
            </w:r>
          </w:p>
        </w:tc>
      </w:tr>
      <w:tr w:rsidR="003A106F" w:rsidRPr="008B3AA5" w14:paraId="56CC0DA0" w14:textId="77777777"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023C8" w14:textId="77777777" w:rsidR="003A106F" w:rsidRPr="008B3AA5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17"/>
                <w:tab w:val="left" w:pos="360"/>
              </w:tabs>
              <w:spacing w:before="60" w:line="320" w:lineRule="exact"/>
              <w:ind w:left="360" w:hanging="360"/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 w:rsidRPr="008B3AA5">
              <w:rPr>
                <w:rFonts w:ascii="Cordia New" w:hAnsi="Cordia New" w:cs="Cordia New"/>
                <w:b/>
                <w:bCs/>
                <w:sz w:val="32"/>
                <w:szCs w:val="32"/>
              </w:rPr>
              <w:t>  F</w:t>
            </w:r>
            <w:proofErr w:type="gramEnd"/>
            <w:r w:rsidRPr="008B3AA5">
              <w:rPr>
                <w:rFonts w:ascii="Cordia New" w:hAnsi="Cordia New" w:cs="Cordia New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E60" w14:textId="77777777" w:rsidR="003A106F" w:rsidRPr="008B3AA5" w:rsidRDefault="003A106F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spacing w:before="60" w:line="320" w:lineRule="exact"/>
              <w:ind w:left="360" w:hanging="360"/>
              <w:jc w:val="both"/>
              <w:rPr>
                <w:rFonts w:ascii="Cordia New" w:hAnsi="Cordia New" w:cs="Cordia New"/>
                <w:sz w:val="32"/>
                <w:szCs w:val="32"/>
              </w:rPr>
            </w:pPr>
            <w:r w:rsidRPr="008B3AA5">
              <w:rPr>
                <w:rFonts w:ascii="Cordia New" w:hAnsi="Cordia New" w:cs="Cordia New"/>
                <w:sz w:val="32"/>
                <w:szCs w:val="32"/>
                <w:cs/>
              </w:rPr>
              <w:t>เงินทั้งหมด</w:t>
            </w:r>
            <w:r w:rsidRPr="008B3AA5">
              <w:rPr>
                <w:rFonts w:ascii="Cordia New" w:eastAsia="Cordia New" w:hAnsi="Cordia New" w:cs="Cordia New"/>
                <w:sz w:val="32"/>
                <w:szCs w:val="32"/>
                <w:cs/>
              </w:rPr>
              <w:t xml:space="preserve"> </w:t>
            </w:r>
            <w:r w:rsidRPr="008B3AA5">
              <w:rPr>
                <w:rFonts w:ascii="Cordia New" w:hAnsi="Cordia New" w:cs="Cordia New"/>
                <w:sz w:val="32"/>
                <w:szCs w:val="32"/>
              </w:rPr>
              <w:t xml:space="preserve">100% </w:t>
            </w:r>
            <w:r w:rsidRPr="008B3AA5">
              <w:rPr>
                <w:rFonts w:ascii="Cordia New" w:hAnsi="Cordia New" w:cs="Cordia New"/>
                <w:sz w:val="32"/>
                <w:szCs w:val="32"/>
                <w:cs/>
              </w:rPr>
              <w:t>ของสมาชิกจะอยู่ในนโยบาย</w:t>
            </w:r>
            <w:r w:rsidRPr="008B3AA5">
              <w:rPr>
                <w:rFonts w:ascii="Cordia New" w:hAnsi="Cordia New" w:cs="Cordia New"/>
                <w:b/>
                <w:bCs/>
                <w:sz w:val="32"/>
                <w:szCs w:val="32"/>
                <w:u w:val="single"/>
                <w:cs/>
              </w:rPr>
              <w:t>ตราสารหนี้</w:t>
            </w:r>
          </w:p>
        </w:tc>
      </w:tr>
      <w:tr w:rsidR="003A106F" w:rsidRPr="008B3AA5" w14:paraId="2ED6A744" w14:textId="77777777"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 w14:paraId="6D33882B" w14:textId="77777777" w:rsidR="003A106F" w:rsidRPr="008B3AA5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32"/>
                <w:szCs w:val="32"/>
              </w:rPr>
            </w:pPr>
            <w:r w:rsidRPr="008B3AA5">
              <w:rPr>
                <w:rFonts w:cs="Cordia New"/>
                <w:b/>
                <w:bCs/>
                <w:sz w:val="32"/>
                <w:szCs w:val="32"/>
              </w:rPr>
              <w:t></w:t>
            </w:r>
            <w:r w:rsidRPr="008B3AA5">
              <w:rPr>
                <w:rFonts w:cs="Cordia New"/>
                <w:sz w:val="32"/>
                <w:szCs w:val="32"/>
              </w:rPr>
              <w:t xml:space="preserve"> F</w:t>
            </w:r>
            <w:proofErr w:type="gramStart"/>
            <w:r w:rsidRPr="008B3AA5">
              <w:rPr>
                <w:rFonts w:cs="Cordia New"/>
                <w:sz w:val="32"/>
                <w:szCs w:val="32"/>
              </w:rPr>
              <w:t>80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E20</w:t>
            </w:r>
          </w:p>
          <w:p w14:paraId="6CFBB9AD" w14:textId="77777777" w:rsidR="003A106F" w:rsidRPr="008B3AA5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1CF5" w14:textId="77777777" w:rsidR="003A106F" w:rsidRPr="008B3AA5" w:rsidRDefault="003A106F">
            <w:pPr>
              <w:spacing w:before="60" w:line="320" w:lineRule="exact"/>
              <w:jc w:val="both"/>
              <w:rPr>
                <w:rFonts w:eastAsia="BrowalliaUPC" w:cs="Cordia New"/>
                <w:sz w:val="32"/>
                <w:szCs w:val="32"/>
              </w:rPr>
            </w:pP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เงินสะสม</w:t>
            </w:r>
            <w:r w:rsidRPr="008B3AA5">
              <w:rPr>
                <w:rFonts w:eastAsia="BrowalliaUPC" w:cs="Cordia New"/>
                <w:sz w:val="32"/>
                <w:szCs w:val="32"/>
              </w:rPr>
              <w:t>-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เงินสมทบ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>ที่นำส่ง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เข้ากองทุนในแต่ละเดือน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จะนำส่งเข้ากองทุนภายใต้นโยบาย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>ตราสารหน</w:t>
            </w:r>
            <w:r w:rsidRPr="008B3AA5">
              <w:rPr>
                <w:rFonts w:eastAsia="BrowalliaUPC" w:cs="Cordia New" w:hint="cs"/>
                <w:b/>
                <w:bCs/>
                <w:sz w:val="32"/>
                <w:szCs w:val="32"/>
                <w:u w:val="single"/>
                <w:cs/>
              </w:rPr>
              <w:t>ี้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 xml:space="preserve"> 80%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ตราสารทุน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20%</w:t>
            </w:r>
          </w:p>
        </w:tc>
      </w:tr>
      <w:tr w:rsidR="003A106F" w:rsidRPr="008B3AA5" w14:paraId="15AFF8A5" w14:textId="77777777"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 w14:paraId="7BDBA162" w14:textId="77777777" w:rsidR="003A106F" w:rsidRPr="008B3AA5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32"/>
                <w:szCs w:val="32"/>
              </w:rPr>
            </w:pPr>
            <w:proofErr w:type="gramStart"/>
            <w:r w:rsidRPr="008B3AA5">
              <w:rPr>
                <w:rFonts w:cs="Cordia New"/>
                <w:b/>
                <w:bCs/>
                <w:sz w:val="32"/>
                <w:szCs w:val="32"/>
              </w:rPr>
              <w:t></w:t>
            </w:r>
            <w:r w:rsidRPr="008B3AA5">
              <w:rPr>
                <w:rFonts w:cs="Cordia New"/>
                <w:sz w:val="32"/>
                <w:szCs w:val="32"/>
              </w:rPr>
              <w:t xml:space="preserve">  F60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E40</w:t>
            </w:r>
          </w:p>
          <w:p w14:paraId="33CB29F5" w14:textId="77777777" w:rsidR="003A106F" w:rsidRPr="008B3AA5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7180" w14:textId="77777777" w:rsidR="003A106F" w:rsidRPr="008B3AA5" w:rsidRDefault="003A106F">
            <w:pPr>
              <w:spacing w:before="60" w:line="320" w:lineRule="exact"/>
              <w:jc w:val="both"/>
              <w:rPr>
                <w:rFonts w:eastAsia="BrowalliaUPC" w:cs="Cordia New"/>
                <w:sz w:val="32"/>
                <w:szCs w:val="32"/>
              </w:rPr>
            </w:pP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เงินสะสม</w:t>
            </w:r>
            <w:r w:rsidRPr="008B3AA5">
              <w:rPr>
                <w:rFonts w:eastAsia="BrowalliaUPC" w:cs="Cordia New"/>
                <w:sz w:val="32"/>
                <w:szCs w:val="32"/>
              </w:rPr>
              <w:t>-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เงินสมทบ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>ที่นำส่ง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เข้ากองทุนในแต่ละเดือน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จะนำส่งเข้ากองทุนภายใต้นโยบาย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>ตราสารหน</w:t>
            </w:r>
            <w:r w:rsidRPr="008B3AA5">
              <w:rPr>
                <w:rFonts w:eastAsia="BrowalliaUPC" w:cs="Cordia New" w:hint="cs"/>
                <w:b/>
                <w:bCs/>
                <w:sz w:val="32"/>
                <w:szCs w:val="32"/>
                <w:u w:val="single"/>
                <w:cs/>
              </w:rPr>
              <w:t xml:space="preserve">ี้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 xml:space="preserve"> 60%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ตราสารทุน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40%</w:t>
            </w:r>
          </w:p>
        </w:tc>
      </w:tr>
      <w:tr w:rsidR="003A106F" w:rsidRPr="008B3AA5" w14:paraId="41698567" w14:textId="77777777">
        <w:tc>
          <w:tcPr>
            <w:tcW w:w="1989" w:type="dxa"/>
            <w:tcBorders>
              <w:left w:val="single" w:sz="4" w:space="0" w:color="000000"/>
              <w:bottom w:val="single" w:sz="4" w:space="0" w:color="auto"/>
            </w:tcBorders>
          </w:tcPr>
          <w:p w14:paraId="1AE28DD0" w14:textId="77777777" w:rsidR="003A106F" w:rsidRPr="008B3AA5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32"/>
                <w:szCs w:val="32"/>
              </w:rPr>
            </w:pPr>
            <w:proofErr w:type="gramStart"/>
            <w:r w:rsidRPr="008B3AA5">
              <w:rPr>
                <w:rFonts w:cs="Cordia New"/>
                <w:b/>
                <w:bCs/>
                <w:sz w:val="32"/>
                <w:szCs w:val="32"/>
              </w:rPr>
              <w:t></w:t>
            </w:r>
            <w:r w:rsidRPr="008B3AA5">
              <w:rPr>
                <w:rFonts w:cs="Cordia New"/>
                <w:sz w:val="32"/>
                <w:szCs w:val="32"/>
              </w:rPr>
              <w:t xml:space="preserve">  F80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E</w:t>
            </w:r>
            <w:proofErr w:type="gramStart"/>
            <w:r w:rsidRPr="008B3AA5">
              <w:rPr>
                <w:rFonts w:cs="Cordia New"/>
                <w:sz w:val="32"/>
                <w:szCs w:val="32"/>
              </w:rPr>
              <w:t>15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FIF5</w:t>
            </w:r>
          </w:p>
          <w:p w14:paraId="00671D10" w14:textId="77777777" w:rsidR="003A106F" w:rsidRPr="008B3AA5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72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2A0A5" w14:textId="77777777" w:rsidR="003A106F" w:rsidRPr="008B3AA5" w:rsidRDefault="003A106F">
            <w:pPr>
              <w:pStyle w:val="BodyText"/>
              <w:spacing w:before="120" w:after="120" w:line="320" w:lineRule="exact"/>
              <w:rPr>
                <w:rFonts w:ascii="Browallia New" w:hAnsi="Browallia New" w:cs="Browallia New"/>
                <w:b/>
                <w:bCs/>
                <w:color w:val="943634"/>
                <w:sz w:val="36"/>
                <w:szCs w:val="36"/>
              </w:rPr>
            </w:pP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เงินสะสม</w:t>
            </w:r>
            <w:r w:rsidRPr="008B3AA5">
              <w:rPr>
                <w:rFonts w:eastAsia="BrowalliaUPC" w:cs="Cordia New"/>
                <w:sz w:val="32"/>
                <w:szCs w:val="32"/>
              </w:rPr>
              <w:t>-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เงินสมทบ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>ที่นำส่ง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เข้ากองทุนในแต่ละเดือน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จะนำส่งเข้ากองทุนภายใต้นโยบาย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>ตราสารหน</w:t>
            </w:r>
            <w:r w:rsidRPr="008B3AA5">
              <w:rPr>
                <w:rFonts w:eastAsia="BrowalliaUPC" w:cs="Cordia New" w:hint="cs"/>
                <w:b/>
                <w:bCs/>
                <w:sz w:val="32"/>
                <w:szCs w:val="32"/>
                <w:u w:val="single"/>
                <w:cs/>
              </w:rPr>
              <w:t>ี้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 xml:space="preserve"> 80%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ตราสารทุน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15%</w:t>
            </w:r>
            <w:r w:rsidRPr="008B3AA5">
              <w:rPr>
                <w:rFonts w:eastAsia="BrowalliaUPC" w:cs="Cordia New"/>
                <w:sz w:val="32"/>
                <w:szCs w:val="32"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หน่วยลงทุนกองทุนรวมต่างประเทศ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5%</w:t>
            </w:r>
          </w:p>
        </w:tc>
      </w:tr>
      <w:tr w:rsidR="003A106F" w:rsidRPr="008B3AA5" w14:paraId="190778ED" w14:textId="77777777">
        <w:tc>
          <w:tcPr>
            <w:tcW w:w="1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82F8FC1" w14:textId="77777777" w:rsidR="003A106F" w:rsidRPr="008B3AA5" w:rsidRDefault="003A106F">
            <w:pPr>
              <w:tabs>
                <w:tab w:val="left" w:pos="317"/>
              </w:tabs>
              <w:spacing w:before="60" w:line="320" w:lineRule="exact"/>
              <w:jc w:val="both"/>
              <w:rPr>
                <w:rFonts w:cs="Cordia New"/>
                <w:sz w:val="32"/>
                <w:szCs w:val="32"/>
              </w:rPr>
            </w:pPr>
            <w:proofErr w:type="gramStart"/>
            <w:r w:rsidRPr="008B3AA5">
              <w:rPr>
                <w:rFonts w:cs="Cordia New"/>
                <w:b/>
                <w:bCs/>
                <w:sz w:val="32"/>
                <w:szCs w:val="32"/>
              </w:rPr>
              <w:t></w:t>
            </w:r>
            <w:r w:rsidRPr="008B3AA5">
              <w:rPr>
                <w:rFonts w:cs="Cordia New"/>
                <w:sz w:val="32"/>
                <w:szCs w:val="32"/>
              </w:rPr>
              <w:t xml:space="preserve">  F</w:t>
            </w:r>
            <w:r w:rsidRPr="008B3AA5">
              <w:rPr>
                <w:rFonts w:cs="Cordia New" w:hint="cs"/>
                <w:sz w:val="32"/>
                <w:szCs w:val="32"/>
                <w:cs/>
              </w:rPr>
              <w:t>60</w:t>
            </w:r>
            <w:r w:rsidRPr="008B3AA5">
              <w:rPr>
                <w:rFonts w:cs="Cordia New"/>
                <w:sz w:val="32"/>
                <w:szCs w:val="32"/>
              </w:rPr>
              <w:t xml:space="preserve">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E</w:t>
            </w:r>
            <w:proofErr w:type="gramStart"/>
            <w:r w:rsidRPr="008B3AA5">
              <w:rPr>
                <w:rFonts w:cs="Cordia New" w:hint="cs"/>
                <w:sz w:val="32"/>
                <w:szCs w:val="32"/>
                <w:cs/>
              </w:rPr>
              <w:t>2</w:t>
            </w:r>
            <w:r w:rsidRPr="008B3AA5">
              <w:rPr>
                <w:rFonts w:cs="Cordia New"/>
                <w:sz w:val="32"/>
                <w:szCs w:val="32"/>
              </w:rPr>
              <w:t>5 :</w:t>
            </w:r>
            <w:proofErr w:type="gramEnd"/>
            <w:r w:rsidRPr="008B3AA5">
              <w:rPr>
                <w:rFonts w:cs="Cordia New"/>
                <w:sz w:val="32"/>
                <w:szCs w:val="32"/>
              </w:rPr>
              <w:t xml:space="preserve"> FIF15</w:t>
            </w:r>
          </w:p>
          <w:p w14:paraId="23AA81CF" w14:textId="77777777" w:rsidR="003A106F" w:rsidRPr="008B3AA5" w:rsidRDefault="003A106F">
            <w:pPr>
              <w:pStyle w:val="ListBullet"/>
              <w:tabs>
                <w:tab w:val="left" w:pos="0"/>
              </w:tabs>
              <w:spacing w:before="60" w:line="320" w:lineRule="exact"/>
              <w:ind w:left="720"/>
              <w:jc w:val="both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997F" w14:textId="77777777" w:rsidR="003A106F" w:rsidRPr="008B3AA5" w:rsidRDefault="003A106F">
            <w:pPr>
              <w:pStyle w:val="BodyText"/>
              <w:spacing w:before="120" w:after="120" w:line="320" w:lineRule="exact"/>
              <w:rPr>
                <w:rFonts w:ascii="Browallia New" w:hAnsi="Browallia New" w:cs="Browallia New"/>
                <w:b/>
                <w:bCs/>
                <w:color w:val="943634"/>
                <w:sz w:val="36"/>
                <w:szCs w:val="36"/>
              </w:rPr>
            </w:pP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เงินสะสม</w:t>
            </w:r>
            <w:r w:rsidRPr="008B3AA5">
              <w:rPr>
                <w:rFonts w:eastAsia="BrowalliaUPC" w:cs="Cordia New"/>
                <w:sz w:val="32"/>
                <w:szCs w:val="32"/>
              </w:rPr>
              <w:t>-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เงินสมทบ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>ที่นำส่ง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เข้ากองทุนในแต่ละเดือน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จะนำส่งเข้ากองทุนภายใต้นโยบาย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>ตราสารหน</w:t>
            </w:r>
            <w:r w:rsidRPr="008B3AA5">
              <w:rPr>
                <w:rFonts w:eastAsia="BrowalliaUPC" w:cs="Cordia New" w:hint="cs"/>
                <w:b/>
                <w:bCs/>
                <w:sz w:val="32"/>
                <w:szCs w:val="32"/>
                <w:u w:val="single"/>
                <w:cs/>
              </w:rPr>
              <w:t>ี้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 xml:space="preserve"> 60%</w:t>
            </w:r>
            <w:r w:rsidRPr="008B3AA5">
              <w:rPr>
                <w:rFonts w:eastAsia="BrowalliaUPC" w:cs="Cordia New" w:hint="cs"/>
                <w:sz w:val="32"/>
                <w:szCs w:val="32"/>
                <w:cs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ตราสารทุน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25%</w:t>
            </w:r>
            <w:r w:rsidRPr="008B3AA5">
              <w:rPr>
                <w:rFonts w:eastAsia="BrowalliaUPC" w:cs="Cordia New"/>
                <w:sz w:val="32"/>
                <w:szCs w:val="32"/>
              </w:rPr>
              <w:t xml:space="preserve"> </w:t>
            </w:r>
            <w:r w:rsidRPr="008B3AA5">
              <w:rPr>
                <w:rFonts w:eastAsia="BrowalliaUPC" w:cs="Cordia New"/>
                <w:sz w:val="32"/>
                <w:szCs w:val="32"/>
                <w:cs/>
              </w:rPr>
              <w:t>และนำส่งเข้ากองทุนภายใต้นโยบาย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  <w:cs/>
              </w:rPr>
              <w:t xml:space="preserve">หน่วยลงทุนกองทุนรวมต่างประเทศ </w:t>
            </w:r>
            <w:r w:rsidRPr="008B3AA5">
              <w:rPr>
                <w:rFonts w:eastAsia="BrowalliaUPC" w:cs="Cordia New"/>
                <w:b/>
                <w:bCs/>
                <w:sz w:val="32"/>
                <w:szCs w:val="32"/>
                <w:u w:val="single"/>
              </w:rPr>
              <w:t>15%</w:t>
            </w:r>
          </w:p>
        </w:tc>
      </w:tr>
    </w:tbl>
    <w:p w14:paraId="5C6B464D" w14:textId="77777777" w:rsidR="003A106F" w:rsidRPr="008B3AA5" w:rsidRDefault="003A106F" w:rsidP="00195219">
      <w:pPr>
        <w:pStyle w:val="ListBullet"/>
        <w:numPr>
          <w:ilvl w:val="0"/>
          <w:numId w:val="0"/>
        </w:numPr>
        <w:tabs>
          <w:tab w:val="left" w:pos="360"/>
        </w:tabs>
        <w:spacing w:before="60" w:line="320" w:lineRule="exact"/>
        <w:ind w:left="709"/>
        <w:jc w:val="both"/>
        <w:rPr>
          <w:rFonts w:cs="Cordia New"/>
          <w:sz w:val="36"/>
          <w:szCs w:val="36"/>
        </w:rPr>
      </w:pPr>
    </w:p>
    <w:sectPr w:rsidR="003A106F" w:rsidRPr="008B3AA5">
      <w:headerReference w:type="default" r:id="rId10"/>
      <w:footerReference w:type="default" r:id="rId11"/>
      <w:pgSz w:w="11906" w:h="16838"/>
      <w:pgMar w:top="284" w:right="851" w:bottom="142" w:left="851" w:header="289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984A3" w14:textId="77777777" w:rsidR="007957B8" w:rsidRDefault="007957B8">
      <w:r>
        <w:separator/>
      </w:r>
    </w:p>
  </w:endnote>
  <w:endnote w:type="continuationSeparator" w:id="0">
    <w:p w14:paraId="1391C8E5" w14:textId="77777777" w:rsidR="007957B8" w:rsidRDefault="0079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default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035A" w14:textId="77777777" w:rsidR="003A106F" w:rsidRDefault="00000000">
    <w:pPr>
      <w:pStyle w:val="Footer"/>
      <w:ind w:right="360"/>
    </w:pPr>
    <w:r>
      <w:pict w14:anchorId="182DC2A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0.45pt;margin-top:.05pt;width:12.25pt;height:18.65pt;z-index:1;mso-wrap-distance-left:0;mso-wrap-distance-right:0;mso-position-horizontal-relative:page" stroked="f">
          <v:fill opacity="0" color2="black"/>
          <v:textbox inset="0,0,0,0">
            <w:txbxContent>
              <w:p w14:paraId="26A26360" w14:textId="77777777" w:rsidR="003A106F" w:rsidRDefault="003A106F">
                <w:pPr>
                  <w:pStyle w:val="Footer"/>
                </w:pPr>
                <w:r>
                  <w:rPr>
                    <w:sz w:val="27"/>
                    <w:szCs w:val="27"/>
                  </w:rPr>
                  <w:fldChar w:fldCharType="begin"/>
                </w:r>
                <w:r>
                  <w:rPr>
                    <w:rStyle w:val="PageNumber"/>
                    <w:sz w:val="27"/>
                    <w:szCs w:val="27"/>
                  </w:rPr>
                  <w:instrText xml:space="preserve"> PAGE </w:instrText>
                </w:r>
                <w:r>
                  <w:rPr>
                    <w:sz w:val="27"/>
                    <w:szCs w:val="27"/>
                  </w:rPr>
                  <w:fldChar w:fldCharType="separate"/>
                </w:r>
                <w:r>
                  <w:rPr>
                    <w:rStyle w:val="PageNumber"/>
                    <w:sz w:val="27"/>
                    <w:szCs w:val="27"/>
                    <w:lang w:eastAsia="en-US"/>
                  </w:rPr>
                  <w:t>2</w:t>
                </w:r>
                <w:r>
                  <w:rPr>
                    <w:sz w:val="27"/>
                    <w:szCs w:val="27"/>
                  </w:rPr>
                  <w:fldChar w:fldCharType="end"/>
                </w:r>
                <w:r>
                  <w:rPr>
                    <w:rStyle w:val="PageNumber"/>
                    <w:rFonts w:cs="Cordia New"/>
                    <w:sz w:val="27"/>
                    <w:szCs w:val="27"/>
                  </w:rPr>
                  <w:t>/</w:t>
                </w:r>
                <w:r>
                  <w:rPr>
                    <w:sz w:val="27"/>
                    <w:szCs w:val="27"/>
                  </w:rPr>
                  <w:fldChar w:fldCharType="begin"/>
                </w:r>
                <w:r>
                  <w:rPr>
                    <w:rStyle w:val="PageNumber"/>
                    <w:sz w:val="27"/>
                    <w:szCs w:val="27"/>
                  </w:rPr>
                  <w:instrText xml:space="preserve"> NUMPAGES \*Arabic </w:instrText>
                </w:r>
                <w:r>
                  <w:rPr>
                    <w:sz w:val="27"/>
                    <w:szCs w:val="27"/>
                  </w:rPr>
                  <w:fldChar w:fldCharType="separate"/>
                </w:r>
                <w:r>
                  <w:rPr>
                    <w:rStyle w:val="PageNumber"/>
                    <w:sz w:val="27"/>
                    <w:szCs w:val="27"/>
                    <w:lang w:eastAsia="en-US"/>
                  </w:rPr>
                  <w:t>2</w:t>
                </w:r>
                <w:r>
                  <w:rPr>
                    <w:sz w:val="27"/>
                    <w:szCs w:val="27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3F970" w14:textId="77777777" w:rsidR="007957B8" w:rsidRDefault="007957B8">
      <w:r>
        <w:separator/>
      </w:r>
    </w:p>
  </w:footnote>
  <w:footnote w:type="continuationSeparator" w:id="0">
    <w:p w14:paraId="2727F3CD" w14:textId="77777777" w:rsidR="007957B8" w:rsidRDefault="00795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07990" w14:textId="77777777" w:rsidR="003A106F" w:rsidRDefault="003A106F">
    <w:pPr>
      <w:pStyle w:val="Header"/>
      <w:ind w:right="-84"/>
      <w:jc w:val="right"/>
    </w:pPr>
    <w:r>
      <w:rPr>
        <w:rFonts w:cs="Cordia New"/>
        <w:sz w:val="27"/>
        <w:szCs w:val="27"/>
        <w:cs/>
      </w:rPr>
      <w:t xml:space="preserve">เอกสารแนบ </w:t>
    </w:r>
    <w:r>
      <w:rPr>
        <w:rFonts w:cs="Cordia New"/>
        <w:sz w:val="27"/>
        <w:szCs w:val="27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ascii="Browallia New" w:hAnsi="Browallia New" w:cs="Browallia New"/>
        <w:b w:val="0"/>
        <w:bCs w:val="0"/>
        <w:i w:val="0"/>
        <w:iCs w:val="0"/>
        <w:color w:val="auto"/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cs="Symbol"/>
        <w:b w:val="0"/>
        <w:bCs w:val="0"/>
        <w:i w:val="0"/>
        <w:iCs w:val="0"/>
        <w:color w:val="auto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ListBullet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2A49CF"/>
    <w:multiLevelType w:val="multilevel"/>
    <w:tmpl w:val="142A49CF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ascii="Browallia New" w:hAnsi="Browallia New" w:cs="Browallia New" w:hint="default"/>
        <w:b w:val="0"/>
        <w:bCs w:val="0"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76"/>
        </w:tabs>
        <w:ind w:left="1576" w:hanging="360"/>
      </w:pPr>
    </w:lvl>
    <w:lvl w:ilvl="2">
      <w:start w:val="1"/>
      <w:numFmt w:val="lowerRoman"/>
      <w:lvlText w:val="%3."/>
      <w:lvlJc w:val="right"/>
      <w:pPr>
        <w:tabs>
          <w:tab w:val="num" w:pos="2296"/>
        </w:tabs>
        <w:ind w:left="2296" w:hanging="180"/>
      </w:pPr>
    </w:lvl>
    <w:lvl w:ilvl="3">
      <w:start w:val="1"/>
      <w:numFmt w:val="decimal"/>
      <w:lvlText w:val="%4."/>
      <w:lvlJc w:val="left"/>
      <w:pPr>
        <w:tabs>
          <w:tab w:val="num" w:pos="3016"/>
        </w:tabs>
        <w:ind w:left="3016" w:hanging="360"/>
      </w:pPr>
    </w:lvl>
    <w:lvl w:ilvl="4">
      <w:start w:val="1"/>
      <w:numFmt w:val="lowerLetter"/>
      <w:lvlText w:val="%5."/>
      <w:lvlJc w:val="left"/>
      <w:pPr>
        <w:tabs>
          <w:tab w:val="num" w:pos="3736"/>
        </w:tabs>
        <w:ind w:left="3736" w:hanging="360"/>
      </w:pPr>
    </w:lvl>
    <w:lvl w:ilvl="5">
      <w:start w:val="1"/>
      <w:numFmt w:val="lowerRoman"/>
      <w:lvlText w:val="%6."/>
      <w:lvlJc w:val="right"/>
      <w:pPr>
        <w:tabs>
          <w:tab w:val="num" w:pos="4456"/>
        </w:tabs>
        <w:ind w:left="4456" w:hanging="180"/>
      </w:pPr>
    </w:lvl>
    <w:lvl w:ilvl="6">
      <w:start w:val="1"/>
      <w:numFmt w:val="decimal"/>
      <w:lvlText w:val="%7."/>
      <w:lvlJc w:val="left"/>
      <w:pPr>
        <w:tabs>
          <w:tab w:val="num" w:pos="5176"/>
        </w:tabs>
        <w:ind w:left="5176" w:hanging="360"/>
      </w:pPr>
    </w:lvl>
    <w:lvl w:ilvl="7">
      <w:start w:val="1"/>
      <w:numFmt w:val="lowerLetter"/>
      <w:lvlText w:val="%8."/>
      <w:lvlJc w:val="left"/>
      <w:pPr>
        <w:tabs>
          <w:tab w:val="num" w:pos="5896"/>
        </w:tabs>
        <w:ind w:left="5896" w:hanging="360"/>
      </w:pPr>
    </w:lvl>
    <w:lvl w:ilvl="8">
      <w:start w:val="1"/>
      <w:numFmt w:val="lowerRoman"/>
      <w:lvlText w:val="%9."/>
      <w:lvlJc w:val="right"/>
      <w:pPr>
        <w:tabs>
          <w:tab w:val="num" w:pos="6616"/>
        </w:tabs>
        <w:ind w:left="6616" w:hanging="180"/>
      </w:pPr>
    </w:lvl>
  </w:abstractNum>
  <w:num w:numId="1" w16cid:durableId="281883239">
    <w:abstractNumId w:val="0"/>
  </w:num>
  <w:num w:numId="2" w16cid:durableId="1411077618">
    <w:abstractNumId w:val="3"/>
  </w:num>
  <w:num w:numId="3" w16cid:durableId="15321137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1780209">
    <w:abstractNumId w:val="2"/>
  </w:num>
  <w:num w:numId="5" w16cid:durableId="211015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5DD"/>
    <w:rsid w:val="000B06BC"/>
    <w:rsid w:val="000D3254"/>
    <w:rsid w:val="001254AD"/>
    <w:rsid w:val="00195219"/>
    <w:rsid w:val="002565DD"/>
    <w:rsid w:val="002768C9"/>
    <w:rsid w:val="003A106F"/>
    <w:rsid w:val="0047469B"/>
    <w:rsid w:val="0066361C"/>
    <w:rsid w:val="0067314A"/>
    <w:rsid w:val="00712B9B"/>
    <w:rsid w:val="00723860"/>
    <w:rsid w:val="00795421"/>
    <w:rsid w:val="007957B8"/>
    <w:rsid w:val="007D395F"/>
    <w:rsid w:val="00870C2E"/>
    <w:rsid w:val="008B3AA5"/>
    <w:rsid w:val="00AB1411"/>
    <w:rsid w:val="00D15D73"/>
    <w:rsid w:val="00E813A8"/>
    <w:rsid w:val="00EC1B84"/>
    <w:rsid w:val="00EE584D"/>
    <w:rsid w:val="00F10D65"/>
    <w:rsid w:val="00F77DBA"/>
    <w:rsid w:val="658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167553"/>
  <w15:chartTrackingRefBased/>
  <w15:docId w15:val="{0889B640-D8DD-4950-AEF9-801E880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rdia New" w:eastAsia="Cordia New" w:hAnsi="Cordia New" w:cs="Angsan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outlineLvl w:val="0"/>
    </w:pPr>
    <w:rPr>
      <w:rFonts w:ascii="Browallia New" w:hAnsi="Browallia New" w:cs="Browallia New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ind w:left="360" w:firstLine="0"/>
      <w:jc w:val="both"/>
      <w:outlineLvl w:val="1"/>
    </w:pPr>
    <w:rPr>
      <w:rFonts w:ascii="Browallia New" w:hAnsi="Browallia New" w:cs="Browallia New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ind w:left="12690" w:firstLine="0"/>
      <w:jc w:val="center"/>
      <w:outlineLvl w:val="2"/>
    </w:pPr>
    <w:rPr>
      <w:rFonts w:ascii="Browallia New" w:hAnsi="Browallia New" w:cs="Browallia New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  <w:tab w:val="left" w:pos="13410"/>
      </w:tabs>
      <w:ind w:left="2160" w:right="4" w:firstLine="0"/>
      <w:outlineLvl w:val="3"/>
    </w:pPr>
    <w:rPr>
      <w:rFonts w:ascii="Browallia New" w:hAnsi="Browallia New" w:cs="Browallia New"/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left" w:pos="1008"/>
        <w:tab w:val="left" w:pos="9000"/>
      </w:tabs>
      <w:ind w:left="1440" w:right="1829" w:firstLine="0"/>
      <w:jc w:val="center"/>
      <w:outlineLvl w:val="4"/>
    </w:pPr>
    <w:rPr>
      <w:rFonts w:ascii="Browallia New" w:hAnsi="Browallia New" w:cs="Browallia New"/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152"/>
        <w:tab w:val="left" w:pos="1350"/>
      </w:tabs>
      <w:ind w:left="2070" w:firstLine="0"/>
      <w:outlineLvl w:val="5"/>
    </w:pPr>
    <w:rPr>
      <w:rFonts w:ascii="Browallia New" w:hAnsi="Browallia New" w:cs="Browallia New"/>
      <w:sz w:val="40"/>
      <w:szCs w:val="4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1296"/>
      </w:tabs>
      <w:jc w:val="center"/>
      <w:outlineLvl w:val="6"/>
    </w:pPr>
    <w:rPr>
      <w:rFonts w:ascii="Browallia New" w:hAnsi="Browallia New" w:cs="Browallia New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440"/>
      </w:tabs>
      <w:jc w:val="center"/>
      <w:outlineLvl w:val="7"/>
    </w:pPr>
    <w:rPr>
      <w:rFonts w:ascii="Browallia New" w:hAnsi="Browallia New" w:cs="Browallia New"/>
      <w:b/>
      <w:bCs/>
      <w:sz w:val="40"/>
      <w:szCs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584"/>
      </w:tabs>
      <w:jc w:val="center"/>
      <w:outlineLvl w:val="8"/>
    </w:pPr>
    <w:rPr>
      <w:rFonts w:ascii="Browallia New" w:hAnsi="Browallia New" w:cs="Browalli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5z0">
    <w:name w:val="WW8Num35z0"/>
    <w:rPr>
      <w:rFonts w:ascii="Wingdings" w:hAnsi="Wingdings" w:cs="Microsoft Sans Serif"/>
      <w:sz w:val="28"/>
      <w:szCs w:val="28"/>
      <w:lang w:bidi="th-TH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0z0">
    <w:name w:val="WW8Num30z0"/>
    <w:rPr>
      <w:rFonts w:ascii="Browallia New" w:hAnsi="Browallia New" w:cs="Browallia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FootnoteCharacters">
    <w:name w:val="Footnote Characters"/>
    <w:rPr>
      <w:vertAlign w:val="superscript"/>
      <w:lang w:bidi="th-TH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0">
    <w:name w:val="WW8Num38z0"/>
    <w:rPr>
      <w:rFonts w:ascii="Browallia New" w:eastAsia="Cordia New" w:hAnsi="Browallia New" w:cs="Browallia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40z0">
    <w:name w:val="WW8Num40z0"/>
    <w:rPr>
      <w:rFonts w:ascii="Times New Roman" w:hAnsi="Times New Roman" w:cs="Monotype Sorts"/>
    </w:rPr>
  </w:style>
  <w:style w:type="character" w:customStyle="1" w:styleId="WW8Num22z0">
    <w:name w:val="WW8Num22z0"/>
    <w:rPr>
      <w:b/>
      <w:bCs/>
    </w:rPr>
  </w:style>
  <w:style w:type="character" w:customStyle="1" w:styleId="WW8Num9z0">
    <w:name w:val="WW8Num9z0"/>
    <w:rPr>
      <w:rFonts w:ascii="Times New Roman" w:hAnsi="Times New Roman" w:cs="Symbol"/>
    </w:rPr>
  </w:style>
  <w:style w:type="character" w:customStyle="1" w:styleId="WW8Num24z0">
    <w:name w:val="WW8Num24z0"/>
    <w:rPr>
      <w:sz w:val="28"/>
      <w:szCs w:val="28"/>
      <w:lang w:bidi="th-TH"/>
    </w:rPr>
  </w:style>
  <w:style w:type="character" w:customStyle="1" w:styleId="WW8Num12z0">
    <w:name w:val="WW8Num12z0"/>
    <w:rPr>
      <w:rFonts w:ascii="Times New Roman" w:hAnsi="Times New Roman" w:cs="Symbol"/>
    </w:rPr>
  </w:style>
  <w:style w:type="character" w:styleId="PageNumber">
    <w:name w:val="page number"/>
    <w:basedOn w:val="DefaultParagraphFont1"/>
  </w:style>
  <w:style w:type="character" w:customStyle="1" w:styleId="WW8Num37z0">
    <w:name w:val="WW8Num37z0"/>
    <w:rPr>
      <w:rFonts w:ascii="Times New Roman" w:hAnsi="Times New Roman" w:cs="Symbol"/>
    </w:rPr>
  </w:style>
  <w:style w:type="character" w:customStyle="1" w:styleId="DefaultParagraphFont1">
    <w:name w:val="Default Paragraph Font1"/>
  </w:style>
  <w:style w:type="character" w:customStyle="1" w:styleId="WW8Num11z0">
    <w:name w:val="WW8Num11z0"/>
    <w:rPr>
      <w:rFonts w:ascii="Symbol" w:hAnsi="Symbol" w:cs="Symbol"/>
      <w:b w:val="0"/>
      <w:bCs w:val="0"/>
      <w:i w:val="0"/>
      <w:iCs w:val="0"/>
      <w:color w:val="auto"/>
      <w:sz w:val="20"/>
      <w:szCs w:val="20"/>
    </w:rPr>
  </w:style>
  <w:style w:type="character" w:customStyle="1" w:styleId="WW8Num8z0">
    <w:name w:val="WW8Num8z0"/>
    <w:rPr>
      <w:rFonts w:ascii="Times New Roman" w:hAnsi="Times New Roman" w:cs="Symbol"/>
    </w:rPr>
  </w:style>
  <w:style w:type="character" w:customStyle="1" w:styleId="WW8Num1z0">
    <w:name w:val="WW8Num1z0"/>
    <w:rPr>
      <w:rFonts w:ascii="Times New Roman" w:hAnsi="Times New Roman" w:cs="Symbol"/>
    </w:rPr>
  </w:style>
  <w:style w:type="character" w:customStyle="1" w:styleId="WW8Num20z0">
    <w:name w:val="WW8Num20z0"/>
    <w:rPr>
      <w:rFonts w:ascii="Times New Roman" w:hAnsi="Times New Roman" w:cs="Monotype Sorts"/>
    </w:rPr>
  </w:style>
  <w:style w:type="character" w:customStyle="1" w:styleId="WW8Num7z0">
    <w:name w:val="WW8Num7z0"/>
    <w:rPr>
      <w:rFonts w:ascii="Browallia New" w:hAnsi="Browallia New" w:cs="Browallia New"/>
      <w:b w:val="0"/>
      <w:bCs w:val="0"/>
      <w:i w:val="0"/>
      <w:iCs w:val="0"/>
      <w:color w:val="auto"/>
      <w:sz w:val="28"/>
      <w:szCs w:val="28"/>
    </w:rPr>
  </w:style>
  <w:style w:type="paragraph" w:styleId="BodyTextIndent3">
    <w:name w:val="Body Text Indent 3"/>
    <w:basedOn w:val="Normal"/>
    <w:pPr>
      <w:spacing w:before="120"/>
      <w:ind w:left="720" w:hanging="360"/>
      <w:jc w:val="both"/>
    </w:pPr>
    <w:rPr>
      <w:rFonts w:ascii="Browallia New" w:hAnsi="Browallia New" w:cs="Browallia New"/>
    </w:rPr>
  </w:style>
  <w:style w:type="paragraph" w:styleId="BodyText3">
    <w:name w:val="Body Text 3"/>
    <w:basedOn w:val="Normal"/>
    <w:pPr>
      <w:tabs>
        <w:tab w:val="left" w:pos="540"/>
      </w:tabs>
      <w:ind w:right="4954"/>
      <w:jc w:val="both"/>
    </w:pPr>
  </w:style>
  <w:style w:type="paragraph" w:styleId="Caption">
    <w:name w:val="caption"/>
    <w:basedOn w:val="Normal"/>
    <w:next w:val="Normal"/>
    <w:qFormat/>
    <w:pPr>
      <w:tabs>
        <w:tab w:val="left" w:pos="540"/>
      </w:tabs>
      <w:spacing w:before="60"/>
      <w:ind w:right="2099"/>
      <w:jc w:val="center"/>
    </w:pPr>
    <w:rPr>
      <w:b/>
      <w:bCs/>
    </w:rPr>
  </w:style>
  <w:style w:type="paragraph" w:styleId="BodyTextIndent2">
    <w:name w:val="Body Text Indent 2"/>
    <w:basedOn w:val="Normal"/>
    <w:pPr>
      <w:spacing w:before="120"/>
      <w:ind w:left="360"/>
      <w:jc w:val="both"/>
    </w:pPr>
    <w:rPr>
      <w:rFonts w:ascii="Browallia New" w:hAnsi="Browallia New" w:cs="Browallia New"/>
    </w:rPr>
  </w:style>
  <w:style w:type="paragraph" w:styleId="BodyTextIndent">
    <w:name w:val="Body Text Indent"/>
    <w:basedOn w:val="Normal"/>
    <w:pPr>
      <w:ind w:left="360" w:hanging="360"/>
      <w:jc w:val="both"/>
    </w:pPr>
    <w:rPr>
      <w:rFonts w:ascii="Browallia New" w:hAnsi="Browallia New" w:cs="Browallia New"/>
    </w:rPr>
  </w:style>
  <w:style w:type="paragraph" w:styleId="BodyText2">
    <w:name w:val="Body Text 2"/>
    <w:basedOn w:val="Normal"/>
    <w:pPr>
      <w:tabs>
        <w:tab w:val="left" w:pos="630"/>
      </w:tabs>
      <w:ind w:right="4954"/>
    </w:pPr>
  </w:style>
  <w:style w:type="paragraph" w:styleId="BlockText">
    <w:name w:val="Block Text"/>
    <w:basedOn w:val="Normal"/>
    <w:pPr>
      <w:ind w:left="630" w:right="29"/>
      <w:jc w:val="both"/>
    </w:pPr>
  </w:style>
  <w:style w:type="paragraph" w:styleId="BodyText">
    <w:name w:val="Body Text"/>
    <w:basedOn w:val="Normal"/>
    <w:pPr>
      <w:tabs>
        <w:tab w:val="left" w:pos="720"/>
        <w:tab w:val="left" w:pos="1080"/>
        <w:tab w:val="left" w:pos="1170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">
    <w:name w:val="List"/>
    <w:basedOn w:val="BodyText"/>
    <w:rPr>
      <w:rFonts w:cs="Cordia New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Bullet">
    <w:name w:val="List Bullet"/>
    <w:basedOn w:val="Normal"/>
    <w:pPr>
      <w:numPr>
        <w:numId w:val="2"/>
      </w:numPr>
      <w:tabs>
        <w:tab w:val="left" w:pos="360"/>
      </w:tabs>
    </w:pPr>
    <w:rPr>
      <w:rFonts w:ascii="AngsanaUPC" w:eastAsia="Times New Roman" w:hAnsi="AngsanaUPC" w:cs="AngsanaUPC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  <w:rPr>
      <w:rFonts w:cs="Cordia New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DilleniaUPC" w:eastAsia="Times New Roman" w:hAnsi="DilleniaUPC" w:cs="DilleniaUPC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7D0B20980B94B8D5EC487A1A52553" ma:contentTypeVersion="0" ma:contentTypeDescription="Create a new document." ma:contentTypeScope="" ma:versionID="b110fe4058182d0ce082a50ecb7f67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F3220-2E9D-430B-9F1C-EF72CF923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4663E-6327-4387-B903-4D47A149D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4A953-3FDB-4F32-AEF8-E785F46CC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ขั้นตอนการปฏิบัติงานในการจัดการกองทุนสำรองเลี้ยงชีพ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ขั้นตอนการปฏิบัติงานในการจัดการกองทุนสำรองเลี้ยงชีพ</dc:title>
  <dc:subject/>
  <dc:creator>Administrator</dc:creator>
  <cp:keywords/>
  <cp:lastModifiedBy>Jakapan Narkbuakaew</cp:lastModifiedBy>
  <cp:revision>4</cp:revision>
  <cp:lastPrinted>2013-11-14T06:27:00Z</cp:lastPrinted>
  <dcterms:created xsi:type="dcterms:W3CDTF">2025-06-29T17:06:00Z</dcterms:created>
  <dcterms:modified xsi:type="dcterms:W3CDTF">2025-06-29T17:06:00Z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1054-10.8.2.6585</vt:lpwstr>
  </property>
</Properties>
</file>