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EB576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四旋翼无人机单摆数学模型 + LESO</w:t>
      </w:r>
    </w:p>
    <w:p w14:paraId="3806B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定义变量</w:t>
      </w:r>
    </w:p>
    <w:p w14:paraId="1F164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吊挂绳长：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l</m:t>
        </m:r>
      </m:oMath>
    </w:p>
    <w:p w14:paraId="7557E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载荷质量</w:t>
      </w:r>
      <w:r>
        <w:rPr>
          <w:rFonts w:hint="eastAsia"/>
          <w:lang w:val="en-US" w:eastAsia="zh-CN"/>
        </w:rPr>
        <w:t>：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m</m:t>
        </m:r>
      </m:oMath>
    </w:p>
    <w:p w14:paraId="79218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重力加速度</w:t>
      </w:r>
      <w:r>
        <w:rPr>
          <w:rFonts w:hint="eastAsia"/>
          <w:lang w:val="en-US" w:eastAsia="zh-CN"/>
        </w:rPr>
        <w:t>：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g</m:t>
        </m:r>
      </m:oMath>
    </w:p>
    <w:p w14:paraId="4126C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Ansi="Cambria Math"/>
          <w:i w:val="0"/>
          <w:sz w:val="21"/>
        </w:rPr>
      </w:pPr>
      <w:r>
        <w:rPr>
          <w:rFonts w:hint="default"/>
          <w:lang w:val="en-US" w:eastAsia="zh-CN"/>
        </w:rPr>
        <w:t>X-Z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Y-Z 平面摆角：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θ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/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θ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</w:p>
    <w:p w14:paraId="2552F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Ansi="Cambria Math"/>
          <w:i w:val="0"/>
          <w:sz w:val="21"/>
        </w:rPr>
      </w:pPr>
      <w:r>
        <w:rPr>
          <w:rFonts w:hint="default" w:hAnsi="Cambria Math"/>
          <w:i w:val="0"/>
          <w:sz w:val="21"/>
          <w:lang w:val="en-US" w:eastAsia="zh-CN"/>
        </w:rPr>
        <w:t>无人机机体加速度：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/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</w:p>
    <w:p w14:paraId="6E6B0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Ansi="Cambria Math"/>
          <w:i w:val="0"/>
          <w:sz w:val="21"/>
        </w:rPr>
      </w:pPr>
    </w:p>
    <w:p w14:paraId="7CFFB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根据牛顿-欧拉方程建立动力学方程</w:t>
      </w:r>
    </w:p>
    <w:p w14:paraId="7B8FB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>载荷绕悬挂点的转动惯量：</w:t>
      </w:r>
    </w:p>
    <w:p w14:paraId="4EFF0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eastAsiaTheme="minorEastAsia"/>
              <w:sz w:val="21"/>
            </w:rPr>
            <m:t>I=m</m:t>
          </m:r>
          <m:sSup>
            <m:sSup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l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Theme="minorEastAsia"/>
                  <w:sz w:val="21"/>
                </w:rPr>
                <m:t>2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p>
          </m:sSup>
        </m:oMath>
      </m:oMathPara>
    </w:p>
    <w:p w14:paraId="0C8AE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根据转动定律：</w:t>
      </w:r>
    </w:p>
    <w:p w14:paraId="79EEC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I</m:t>
          </m:r>
          <m:acc>
            <m:accPr>
              <m:chr m:val="̈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aryPr>
            <m:sub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  <m:sup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τ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nary>
        </m:oMath>
      </m:oMathPara>
    </w:p>
    <w:p w14:paraId="6529A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重力产生的恢复力矩：</w:t>
      </w:r>
    </w:p>
    <w:p w14:paraId="54737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Cambria Math" w:hAnsi="Cambria Math" w:eastAsiaTheme="minorEastAsia"/>
          <w:i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τ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=−mg⋅l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sin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</m:oMath>
      </m:oMathPara>
    </w:p>
    <w:p w14:paraId="4359F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无人机加速产生的惯性力矩：</w:t>
      </w:r>
    </w:p>
    <w:p w14:paraId="7285F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τ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a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=−ma⋅l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cos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</m:oMath>
      </m:oMathPara>
    </w:p>
    <w:p w14:paraId="6DB89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有方程：</w:t>
      </w:r>
    </w:p>
    <w:p w14:paraId="712E3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m</m:t>
          </m:r>
          <m:sSup>
            <m:s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p>
          <m:acc>
            <m:accPr>
              <m:chr m:val="̈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=−mgl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sin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  <m:r>
            <m:rPr/>
            <w:rPr>
              <w:rFonts w:hint="default" w:ascii="DejaVu Math TeX Gyre" w:hAnsi="DejaVu Math TeX Gyre" w:eastAsiaTheme="minorEastAsia"/>
              <w:sz w:val="21"/>
            </w:rPr>
            <m:t>−mal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cos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</m:oMath>
      </m:oMathPara>
    </w:p>
    <w:p w14:paraId="416BA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化简得非线性微分方程：</w:t>
      </w:r>
    </w:p>
    <w:p w14:paraId="3B17E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Theme="minorEastAsia"/>
          <w:i w:val="0"/>
          <w:sz w:val="21"/>
        </w:rPr>
      </w:pPr>
      <m:oMathPara>
        <m:oMath>
          <m:acc>
            <m:accPr>
              <m:chr m:val="̈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sin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  <m:r>
            <m:rPr/>
            <w:rPr>
              <w:rFonts w:hint="default" w:ascii="DejaVu Math TeX Gyre" w:hAnsi="DejaVu Math TeX Gyre" w:eastAsiaTheme="minorEastAsia"/>
              <w:sz w:val="21"/>
            </w:rPr>
            <m:t>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a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cos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</m:oMath>
      </m:oMathPara>
    </w:p>
    <w:p w14:paraId="37FE8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Theme="minorEastAsia"/>
          <w:i w:val="0"/>
          <w:sz w:val="21"/>
        </w:rPr>
      </w:pPr>
    </w:p>
    <w:p w14:paraId="10FE6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数学重构（线性部分 + 集总扰动）</w:t>
      </w:r>
    </w:p>
    <w:p w14:paraId="503E5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将原非线性动力学方程展开，提取出线性部分（即一阶泰勒展开项），打包剩余项：</w:t>
      </w:r>
    </w:p>
    <w:p w14:paraId="25BA2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acc>
            <m:accPr>
              <m:chr m:val="̈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θ−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a+[−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(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sin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  <m:r>
            <m:rPr/>
            <w:rPr>
              <w:rFonts w:hint="default" w:ascii="DejaVu Math TeX Gyre" w:hAnsi="DejaVu Math TeX Gyre" w:eastAsiaTheme="minorEastAsia"/>
              <w:sz w:val="21"/>
            </w:rPr>
            <m:t>−θ)−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a(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cos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  <m:r>
            <m:rPr/>
            <w:rPr>
              <w:rFonts w:hint="default" w:ascii="DejaVu Math TeX Gyre" w:hAnsi="DejaVu Math TeX Gyre" w:eastAsiaTheme="minorEastAsia"/>
              <w:sz w:val="21"/>
            </w:rPr>
            <m:t>−1)+扰动项]</m:t>
          </m:r>
        </m:oMath>
      </m:oMathPara>
    </w:p>
    <w:p w14:paraId="49BF2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其中，</w:t>
      </w: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扰动项包括：绳索的柔性多段特性、空气阻力、外部风场干扰、视觉处理带来的固定滞后等。</w:t>
      </w:r>
    </w:p>
    <w:p w14:paraId="32458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设集总扰动为：</w:t>
      </w:r>
    </w:p>
    <w:p w14:paraId="77D9E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f(t)=[−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(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sin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  <m:r>
            <m:rPr/>
            <w:rPr>
              <w:rFonts w:hint="default" w:ascii="DejaVu Math TeX Gyre" w:hAnsi="DejaVu Math TeX Gyre" w:eastAsiaTheme="minorEastAsia"/>
              <w:sz w:val="21"/>
            </w:rPr>
            <m:t>−θ)−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a(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cos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  <m:r>
            <m:rPr/>
            <w:rPr>
              <w:rFonts w:hint="default" w:ascii="DejaVu Math TeX Gyre" w:hAnsi="DejaVu Math TeX Gyre" w:eastAsiaTheme="minorEastAsia"/>
              <w:sz w:val="21"/>
            </w:rPr>
            <m:t>−1)+扰动项]</m:t>
          </m:r>
        </m:oMath>
      </m:oMathPara>
    </w:p>
    <w:p w14:paraId="55AF9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利用 ESO 架构，将 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f(t)</m:t>
        </m:r>
      </m:oMath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定义为系统的第三个状态变量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3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（即扩展状态），得：</w:t>
      </w:r>
    </w:p>
    <w:p w14:paraId="383FB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Cambria Math" w:eastAsiaTheme="minorEastAsia"/>
          <w:i w:val="0"/>
          <w:sz w:val="21"/>
        </w:rPr>
      </w:pPr>
      <m:oMathPara>
        <m:oMath>
          <m:acc>
            <m:accPr>
              <m:chr m:val="̈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θ−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a+f(t)</m:t>
          </m:r>
        </m:oMath>
      </m:oMathPara>
    </w:p>
    <w:p w14:paraId="29EA2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Theme="minorEastAsia"/>
          <w:i w:val="0"/>
          <w:sz w:val="21"/>
        </w:rPr>
      </w:pPr>
    </w:p>
    <w:p w14:paraId="64B3C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空间状态方程</w:t>
      </w:r>
    </w:p>
    <w:p w14:paraId="7396F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标准形式：</w:t>
      </w:r>
    </w:p>
    <w:p w14:paraId="1F14C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=AX+BU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Y=CX+DU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73C50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定义状态变量：</w:t>
      </w:r>
    </w:p>
    <w:p w14:paraId="7C9A5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Theme="minorEastAsia"/>
          <w:i w:val="0"/>
          <w:sz w:val="21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x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=θ,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x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acc>
            <m:accPr>
              <m:chr m:val="̇"/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</m:acc>
        </m:oMath>
      </m:oMathPara>
    </w:p>
    <w:p w14:paraId="37CC0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定义系统输入：</w:t>
      </w:r>
    </w:p>
    <w:p w14:paraId="366FD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u=a</m:t>
          </m:r>
        </m:oMath>
      </m:oMathPara>
    </w:p>
    <w:p w14:paraId="41234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定义系统输出：</w:t>
      </w:r>
    </w:p>
    <w:p w14:paraId="6F87E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DejaVu Math TeX Gyre" w:eastAsiaTheme="minorEastAsia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y=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x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</m:oMath>
      </m:oMathPara>
    </w:p>
    <w:p w14:paraId="7F885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对状态变量求导得变化率：</w:t>
      </w:r>
    </w:p>
    <w:p w14:paraId="7640F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</m:t>
                    </m:r>
                    <m:acc>
                      <m:accPr>
                        <m:chr m:val="̇"/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θ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</m:t>
                    </m:r>
                    <m:acc>
                      <m:accPr>
                        <m:chr m:val="̈"/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θ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u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102AE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写成矩阵形式：</w:t>
      </w:r>
    </w:p>
    <w:p w14:paraId="1EF63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Cambria Math" w:hAnsi="Cambria Math" w:eastAsiaTheme="minorEastAsia"/>
          <w:i/>
          <w:sz w:val="21"/>
        </w:rPr>
      </w:pPr>
      <m:oMathPara>
        <m:oMath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u</m:t>
          </m:r>
        </m:oMath>
      </m:oMathPara>
    </w:p>
    <w:p w14:paraId="27816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y=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u</m:t>
          </m:r>
        </m:oMath>
      </m:oMathPara>
    </w:p>
    <w:p w14:paraId="70A19BB8">
      <w:pPr>
        <w:ind w:firstLine="420" w:firstLineChars="0"/>
      </w:pPr>
      <w:r>
        <w:t>其中，a 是无人机在水平方向的加速度</w:t>
      </w:r>
      <w:r>
        <w:rPr>
          <w:rFonts w:hint="eastAsia"/>
          <w:lang w:eastAsia="zh-CN"/>
        </w:rPr>
        <w:t>（</w:t>
      </w:r>
      <w:r>
        <w:t xml:space="preserve">系统的输入 </w:t>
      </w:r>
      <w:r>
        <w:rPr>
          <w:rFonts w:hint="default" w:ascii="Cambria Math" w:hAnsi="Cambria Math" w:eastAsiaTheme="minorEastAsia"/>
          <w:i/>
          <w:sz w:val="21"/>
          <w:lang w:val="en-US" w:eastAsia="zh-CN"/>
        </w:rPr>
        <w:t>u</w:t>
      </w:r>
      <w:r>
        <w:rPr>
          <w:rFonts w:hint="eastAsia" w:ascii="DejaVu Math TeX Gyre" w:hAnsi="DejaVu Math TeX Gyre"/>
          <w:sz w:val="21"/>
          <w:lang w:eastAsia="zh-CN"/>
        </w:rPr>
        <w:t>）</w:t>
      </w:r>
      <w:r>
        <w:t xml:space="preserve">，故设控制增益 </w:t>
      </w:r>
      <m:oMath>
        <m:sSub>
          <m:sSubPr>
            <m:ctrlPr>
              <w:rPr>
                <w:rFonts w:hint="default" w:ascii="DejaVu Math TeX Gyre" w:hAnsi="DejaVu Math TeX Gyre" w:eastAsiaTheme="minorEastAsia"/>
                <w:i/>
                <w:sz w:val="21"/>
                <w:lang w:val="en-US" w:eastAsia="zh-CN"/>
              </w:rPr>
            </m:ctrlPr>
          </m:sSubPr>
          <m:e>
            <m:r>
              <m:rPr/>
              <w:rPr>
                <w:rFonts w:hint="default" w:ascii="DejaVu Math TeX Gyre" w:hAnsi="DejaVu Math TeX Gyre" w:eastAsiaTheme="minorEastAsia"/>
                <w:sz w:val="21"/>
                <w:lang w:eastAsia="zh-CN"/>
              </w:rPr>
              <m:t>b</m:t>
            </m:r>
            <m:ctrlPr>
              <w:rPr>
                <w:rFonts w:hint="eastAsia" w:ascii="DejaVu Math TeX Gyre" w:hAnsi="DejaVu Math TeX Gyre" w:eastAsiaTheme="minorEastAsia"/>
                <w:i/>
                <w:sz w:val="21"/>
                <w:lang w:val="en-US" w:eastAsia="zh-CN"/>
              </w:rPr>
            </m:ctrlPr>
          </m:e>
          <m:sub>
            <m:r>
              <m:rPr/>
              <w:rPr>
                <w:rFonts w:hint="default" w:ascii="DejaVu Math TeX Gyre" w:hAnsi="DejaVu Math TeX Gyre" w:eastAsiaTheme="minorEastAsia"/>
                <w:sz w:val="21"/>
                <w:lang w:eastAsia="zh-CN"/>
              </w:rPr>
              <m:t>0</m:t>
            </m:r>
            <m:ctrlPr>
              <w:rPr>
                <w:rFonts w:hint="eastAsia" w:ascii="DejaVu Math TeX Gyre" w:hAnsi="DejaVu Math TeX Gyre" w:eastAsiaTheme="minorEastAsia"/>
                <w:i/>
                <w:sz w:val="21"/>
                <w:lang w:val="en-US" w:eastAsia="zh-CN"/>
              </w:rPr>
            </m:ctrlPr>
          </m:sub>
        </m:sSub>
      </m:oMath>
      <w:r>
        <w:t>：</w:t>
      </w:r>
    </w:p>
    <w:p w14:paraId="5D44C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b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0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</m:oMath>
      </m:oMathPara>
    </w:p>
    <w:p w14:paraId="11427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最终</w:t>
      </w:r>
      <w:r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得：</w:t>
      </w:r>
    </w:p>
    <w:p w14:paraId="45BEA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Cambria Math" w:eastAsiaTheme="minorEastAsia"/>
          <w:i w:val="0"/>
          <w:sz w:val="21"/>
        </w:rPr>
      </w:pPr>
      <m:oMathPara>
        <m:oMath>
          <m:acc>
            <m:accPr>
              <m:chr m:val="̈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θ+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b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0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u+f(t)</m:t>
          </m:r>
        </m:oMath>
      </m:oMathPara>
    </w:p>
    <w:p w14:paraId="7B1DE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 w:hAnsi="Cambria Math" w:eastAsiaTheme="minorEastAsia"/>
          <w:i w:val="0"/>
          <w:sz w:val="21"/>
          <w:lang w:val="en-US" w:eastAsia="zh-CN"/>
        </w:rPr>
      </w:pPr>
    </w:p>
    <w:p w14:paraId="40B8E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sz w:val="28"/>
          <w:szCs w:val="36"/>
          <w:lang w:val="en-US" w:eastAsia="zh-CN"/>
        </w:rPr>
        <w:t>扩展</w:t>
      </w:r>
      <w:r>
        <w:rPr>
          <w:rFonts w:hint="default"/>
          <w:sz w:val="28"/>
          <w:szCs w:val="36"/>
          <w:lang w:val="en-US" w:eastAsia="zh-CN"/>
        </w:rPr>
        <w:t>状态空间模型</w:t>
      </w:r>
    </w:p>
    <w:p w14:paraId="5EB6E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定义状态变量与扩展扰动状态：</w:t>
      </w:r>
    </w:p>
    <w:p w14:paraId="186F8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x=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θ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θ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f</m:t>
                    </m:r>
                    <m:r>
                      <m:rPr/>
                      <w:rPr>
                        <w:rFonts w:hint="default" w:ascii="DejaVu Math TeX Gyre" w:hAnsi="DejaVu Math TeX Gyre"/>
                        <w:sz w:val="21"/>
                        <w:lang w:val="en-US" w:eastAsia="zh-CN"/>
                      </w:rPr>
                      <m:t>(t)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01023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由定义求导得一阶微分方程组：</w:t>
      </w:r>
    </w:p>
    <w:p w14:paraId="1CC13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b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  <w:lang w:val="en-US" w:eastAsia="zh-CN"/>
                      </w:rPr>
                      <m:t>u</m:t>
                    </m:r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</m:t>
                    </m:r>
                    <m:acc>
                      <m:accPr>
                        <m:chr m:val="̇"/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(t)=h(t)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33CFC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转换成状态空间的形式：</w:t>
      </w:r>
    </w:p>
    <w:p w14:paraId="5A7A3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ascii="Cambria Math" w:hAnsi="Cambria Math" w:eastAsiaTheme="minorEastAsia" w:cstheme="minorBidi"/>
          <w:i/>
          <w:kern w:val="2"/>
          <w:sz w:val="21"/>
          <w:szCs w:val="24"/>
          <w:lang w:val="en-US" w:eastAsia="zh-CN" w:bidi="ar-SA"/>
        </w:rPr>
      </w:pPr>
      <m:oMathPara>
        <m:oMath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b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u+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h(t)</m:t>
          </m:r>
        </m:oMath>
      </m:oMathPara>
    </w:p>
    <w:p w14:paraId="22D9E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30C47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可提取出系统状态矩阵 A，与观测矩阵 C：</w:t>
      </w:r>
    </w:p>
    <w:p w14:paraId="5B717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Ansi="Cambria Math" w:eastAsiaTheme="minorEastAsia"/>
          <w:i/>
          <w:sz w:val="21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A=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，C=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72BBE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 w:hAnsi="Cambria Math" w:eastAsiaTheme="minorEastAsia"/>
          <w:i/>
          <w:sz w:val="21"/>
          <w:lang w:val="en-US" w:eastAsia="zh-CN"/>
        </w:rPr>
      </w:pPr>
    </w:p>
    <w:p w14:paraId="1E231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建立观测器</w:t>
      </w:r>
    </w:p>
    <w:p w14:paraId="17DA6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基于龙伯格观测器结构，构建观测器采用输出误差注入形式：</w:t>
      </w:r>
    </w:p>
    <w:p w14:paraId="5F392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0"/>
          <w:sz w:val="24"/>
          <w:szCs w:val="24"/>
          <w:lang w:val="en-US" w:eastAsia="zh-CN" w:bidi="ar"/>
        </w:rPr>
      </w:pPr>
      <m:oMathPara>
        <m:oMath>
          <m:acc>
            <m:accPr>
              <m:chr m:val="̇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=A</m:t>
          </m:r>
          <m:acc>
            <m:ac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x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+B</m:t>
          </m:r>
          <m:r>
            <m:rPr/>
            <w:rPr>
              <w:rFonts w:hint="default" w:ascii="DejaVu Math TeX Gyre" w:hAnsi="DejaVu Math TeX Gyre" w:eastAsiaTheme="minorEastAsia"/>
              <w:sz w:val="21"/>
              <w:lang w:val="en-US" w:eastAsia="zh-CN"/>
            </w:rPr>
            <m:t>u</m:t>
          </m:r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e</m:t>
          </m:r>
        </m:oMath>
      </m:oMathPara>
    </w:p>
    <w:p w14:paraId="57353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设误差 e 为：</w:t>
      </w:r>
    </w:p>
    <w:p w14:paraId="3C671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e=y−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</m:oMath>
      </m:oMathPara>
      <w:bookmarkStart w:id="0" w:name="_GoBack"/>
      <w:bookmarkEnd w:id="0"/>
    </w:p>
    <w:p w14:paraId="7DBC5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其中，L_</w:t>
      </w:r>
      <w:r>
        <w:rPr>
          <w:rFonts w:hint="default" w:hAnsi="Cambria Math" w:cstheme="minorBidi"/>
          <w:i w:val="0"/>
          <w:kern w:val="2"/>
          <w:sz w:val="21"/>
          <w:szCs w:val="24"/>
          <w:lang w:eastAsia="zh-CN" w:bidi="ar-SA"/>
        </w:rPr>
        <w:t>o</w:t>
      </w: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为观测器增益矩阵</w:t>
      </w:r>
    </w:p>
    <w:p w14:paraId="5312F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Ansi="Cambria Math" w:eastAsiaTheme="minorEastAsia" w:cstheme="minorBidi"/>
          <w:i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54C9A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代入得动力学方程对应的 LESO 连续时间方程：</w:t>
      </w:r>
    </w:p>
    <w:p w14:paraId="19B28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Ansi="Cambria Math" w:eastAsiaTheme="minorEastAsia" w:cstheme="minorBidi"/>
          <w:i w:val="0"/>
          <w:kern w:val="0"/>
          <w:sz w:val="24"/>
          <w:szCs w:val="24"/>
          <w:lang w:val="en-US" w:eastAsia="zh-CN" w:bidi="ar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acc>
                              <m:accPr>
                                <m:ctrlPr>
                                  <w:rPr>
                                    <w:rFonts w:hint="default" w:ascii="DejaVu Math TeX Gyre" w:hAnsi="DejaVu Math TeX Gyre" w:eastAsiaTheme="minorEastAsia"/>
                                    <w:i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 w:eastAsiaTheme="minorEastAsia"/>
                                    <w:sz w:val="21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DejaVu Math TeX Gyre" w:hAnsi="DejaVu Math TeX Gyre" w:eastAsiaTheme="minorEastAsia"/>
                                    <w:i/>
                                    <w:sz w:val="21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e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acc>
                              <m:accPr>
                                <m:ctrlPr>
                                  <w:rPr>
                                    <w:rFonts w:hint="default" w:ascii="DejaVu Math TeX Gyre" w:hAnsi="DejaVu Math TeX Gyre" w:eastAsiaTheme="minorEastAsia"/>
                                    <w:i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 w:eastAsiaTheme="minorEastAsia"/>
                                    <w:sz w:val="21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DejaVu Math TeX Gyre" w:hAnsi="DejaVu Math TeX Gyre" w:eastAsiaTheme="minorEastAsia"/>
                                    <w:i/>
                                    <w:sz w:val="21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b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  <w:lang w:val="en-US" w:eastAsia="zh-CN"/>
                      </w:rPr>
                      <m:t>u</m:t>
                    </m:r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e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acc>
                              <m:accPr>
                                <m:ctrlPr>
                                  <w:rPr>
                                    <w:rFonts w:hint="default" w:ascii="DejaVu Math TeX Gyre" w:hAnsi="DejaVu Math TeX Gyre" w:eastAsiaTheme="minorEastAsia"/>
                                    <w:i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 w:eastAsiaTheme="minorEastAsia"/>
                                    <w:sz w:val="21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DejaVu Math TeX Gyre" w:hAnsi="DejaVu Math TeX Gyre" w:eastAsiaTheme="minorEastAsia"/>
                                    <w:i/>
                                    <w:sz w:val="21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e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1FD68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写成矩阵形式：</w:t>
      </w:r>
    </w:p>
    <w:p w14:paraId="4423F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0"/>
          <w:sz w:val="24"/>
          <w:szCs w:val="24"/>
          <w:lang w:val="en-US" w:eastAsia="zh-CN" w:bidi="ar"/>
        </w:rPr>
      </w:pPr>
      <m:oMathPara>
        <m:oMath>
          <m:acc>
            <m:accPr>
              <m:chr m:val="̇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=(A−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C)</m:t>
          </m:r>
          <m:acc>
            <m:ac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x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+B</m:t>
          </m:r>
          <m:r>
            <m:rPr/>
            <w:rPr>
              <w:rFonts w:hint="default" w:ascii="DejaVu Math TeX Gyre" w:hAnsi="DejaVu Math TeX Gyre" w:eastAsiaTheme="minorEastAsia"/>
              <w:sz w:val="21"/>
              <w:lang w:val="en-US" w:eastAsia="zh-CN"/>
            </w:rPr>
            <m:t>u</m:t>
          </m:r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y</m:t>
          </m:r>
        </m:oMath>
      </m:oMathPara>
    </w:p>
    <w:p w14:paraId="5905D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其中误差动力学矩阵：</w:t>
      </w:r>
    </w:p>
    <w:p w14:paraId="2A2B1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Ansi="Cambria Math" w:eastAsiaTheme="minorEastAsia" w:cstheme="minorBidi"/>
          <w:i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A−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C=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0CD31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对应的特征方程为：</w:t>
      </w:r>
    </w:p>
    <w:p w14:paraId="7DD43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Cambria Math" w:eastAsiaTheme="minorEastAsia"/>
          <w:i w:val="0"/>
          <w:sz w:val="24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det(sI−(A−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C))=</m:t>
          </m:r>
          <m:sSup>
            <m:s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β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sSup>
            <m:s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+(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β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)s+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β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=0</m:t>
          </m:r>
        </m:oMath>
      </m:oMathPara>
    </w:p>
    <w:p w14:paraId="011C3E67">
      <w:pPr>
        <w:rPr>
          <w:rFonts w:hint="eastAsia" w:hAnsi="Cambria Math" w:eastAsiaTheme="minorEastAsia"/>
          <w:i w:val="0"/>
          <w:sz w:val="24"/>
          <w:lang w:val="en-US" w:eastAsia="zh-CN"/>
        </w:rPr>
      </w:pPr>
    </w:p>
    <w:p w14:paraId="623BC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LESO带宽法配置</w:t>
      </w:r>
    </w:p>
    <w:p w14:paraId="52198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采用带宽法，将三个极点均配置在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</w:t>
      </w:r>
      <m:oMath>
        <m:r>
          <m:rPr/>
          <w:rPr>
            <w:rFonts w:hint="default" w:ascii="Cambria Math" w:hAnsi="Cambria Math"/>
            <w:sz w:val="21"/>
          </w:rPr>
          <m:t>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ω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o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 xml:space="preserve"> </w:t>
      </w: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处，期望特征多项式为：</w:t>
      </w:r>
    </w:p>
    <w:p w14:paraId="46479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Cambria Math" w:hAnsi="Cambria Math" w:eastAsiaTheme="minorEastAsia"/>
          <w:i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P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d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(s)=(s+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sSup>
            <m:s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)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sSup>
            <m:s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+3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sSup>
            <m:s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+3</m:t>
          </m:r>
          <m:sSubSup>
            <m:sSub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bSup>
          <m:r>
            <m:rPr/>
            <w:rPr>
              <w:rFonts w:hint="default" w:ascii="DejaVu Math TeX Gyre" w:hAnsi="DejaVu Math TeX Gyre" w:eastAsiaTheme="minorEastAsia"/>
              <w:sz w:val="21"/>
            </w:rPr>
            <m:t>s+</m:t>
          </m:r>
          <m:sSubSup>
            <m:sSub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bSup>
        </m:oMath>
      </m:oMathPara>
    </w:p>
    <w:p w14:paraId="11EFE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对比系数的观测器增益：</w:t>
      </w:r>
    </w:p>
    <w:p w14:paraId="26667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Cambria Math" w:eastAsiaTheme="minorEastAsia"/>
          <w:i w:val="0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=3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ω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o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=3</m:t>
                    </m:r>
                    <m:sSubSup>
                      <m:sSubSup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ω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o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</m:t>
                    </m:r>
                    <m:sSubSup>
                      <m:sSubSup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ω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o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31692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此观测器为基于模型的（Model-Assisted LESO），不仅依赖误差，还利用了已知的系统参数（摆长 l），本结构比完全不依赖模型的标准 LESO 跟踪效果更好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 Math">
    <w:altName w:val="DejaVu Math TeX Gyre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MS Mincho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77EA06"/>
    <w:rsid w:val="2DFB9307"/>
    <w:rsid w:val="5EB2F3A2"/>
    <w:rsid w:val="5F7B10FE"/>
    <w:rsid w:val="6FE71391"/>
    <w:rsid w:val="735B3C70"/>
    <w:rsid w:val="73F3F808"/>
    <w:rsid w:val="77B7178E"/>
    <w:rsid w:val="78CC7E27"/>
    <w:rsid w:val="794A573E"/>
    <w:rsid w:val="7D5A541B"/>
    <w:rsid w:val="7E01298A"/>
    <w:rsid w:val="7EFF3BFD"/>
    <w:rsid w:val="7F7EBF1E"/>
    <w:rsid w:val="BFBE147C"/>
    <w:rsid w:val="EDF5EA78"/>
    <w:rsid w:val="F6EE21B8"/>
    <w:rsid w:val="F7FB82E5"/>
    <w:rsid w:val="FAD740B1"/>
    <w:rsid w:val="FBCD9A05"/>
    <w:rsid w:val="FDFF29B8"/>
    <w:rsid w:val="FEB6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759</Words>
  <Characters>877</Characters>
  <Lines>0</Lines>
  <Paragraphs>0</Paragraphs>
  <TotalTime>7</TotalTime>
  <ScaleCrop>false</ScaleCrop>
  <LinksUpToDate>false</LinksUpToDate>
  <CharactersWithSpaces>898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2026-04-15T20:53:00Z</dcterms:created>
  <dc:creator>AShuang</dc:creator>
  <cp:lastModifiedBy>防锈润滑剂</cp:lastModifiedBy>
  <dcterms:modified xsi:type="dcterms:W3CDTF">2026-04-19T14:32:12Z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KSOTemplateDocerSaveRecord">
    <vt:lpwstr>eyJoZGlkIjoiZjhiZDgyMjZhMTAwNThmYWZiMzM1NTM4MzU0NGMwYjkiLCJ1c2VySWQiOiIxMTUwMDI1MzYyIn0=</vt:lpwstr>
  </property>
  <property fmtid="{D5CDD505-2E9C-101B-9397-08002B2CF9AE}" pid="4" name="ICV">
    <vt:lpwstr>C9048D603C58995BEC76E469D2200D54_43</vt:lpwstr>
  </property>
</Properties>
</file>