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Calibri" w:cs="Calibri" w:eastAsia="Calibri" w:hAnsi="Calibri"/>
          <w:b/>
          <w:bCs/>
          <w:color w:val="7F8C8D"/>
          <w:spacing w:val="400"/>
          <w:sz w:val="52"/>
          <w:szCs w:val="52"/>
        </w:rPr>
        <w:t xml:space="preserve">OMEGA PROJECT</w:t>
      </w:r>
    </w:p>
    <w:p>
      <w:pPr>
        <w:pBdr>
          <w:bottom w:val="single" w:color="1B2A4A" w:sz="6" w:space="12"/>
        </w:pBdr>
        <w:spacing w:after="200"/>
        <w:jc w:val="center"/>
      </w:pPr>
      <w:r>
        <w:rPr>
          <w:rFonts w:ascii="Cambria" w:cs="Cambria" w:eastAsia="Cambria" w:hAnsi="Cambria"/>
          <w:b/>
          <w:bCs/>
          <w:color w:val="1B2A4A"/>
          <w:sz w:val="44"/>
          <w:szCs w:val="44"/>
        </w:rPr>
        <w:t xml:space="preserve">MANIFESTE DE PHYSIQUE LITTÉRAIRE</w:t>
      </w:r>
    </w:p>
    <w:p>
      <w:pPr>
        <w:spacing w:before="200"/>
      </w:pPr>
    </w:p>
    <w:p>
      <w:pPr>
        <w:spacing w:after="60"/>
        <w:jc w:val="center"/>
      </w:pPr>
      <w:r>
        <w:rPr>
          <w:rFonts w:ascii="Cambria" w:cs="Cambria" w:eastAsia="Cambria" w:hAnsi="Cambria"/>
          <w:color w:val="1A5276"/>
          <w:sz w:val="28"/>
          <w:szCs w:val="28"/>
        </w:rPr>
        <w:t xml:space="preserve">Lois Universelles et Signatures Culturelles</w:t>
      </w:r>
    </w:p>
    <w:p>
      <w:pPr>
        <w:spacing w:after="60"/>
        <w:jc w:val="center"/>
      </w:pPr>
      <w:r>
        <w:rPr>
          <w:rFonts w:ascii="Cambria" w:cs="Cambria" w:eastAsia="Cambria" w:hAnsi="Cambria"/>
          <w:color w:val="1A5276"/>
          <w:sz w:val="28"/>
          <w:szCs w:val="28"/>
        </w:rPr>
        <w:t xml:space="preserve">de la Prose Littéraire sur 881 Œuvres Bilingues</w:t>
      </w:r>
    </w:p>
    <w:p>
      <w:pPr>
        <w:spacing w:before="400"/>
      </w:pPr>
    </w:p>
    <w:p>
      <w:pPr>
        <w:spacing w:after="40"/>
        <w:jc w:val="center"/>
      </w:pPr>
      <w:r>
        <w:rPr>
          <w:rFonts w:ascii="Calibri" w:cs="Calibri" w:eastAsia="Calibri" w:hAnsi="Calibri"/>
          <w:color w:val="7F8C8D"/>
          <w:sz w:val="20"/>
          <w:szCs w:val="20"/>
        </w:rPr>
        <w:t xml:space="preserve">Corpus : 881 livres | 2 064 038 fenêtres | 42 features | Français + Anglais</w:t>
      </w:r>
    </w:p>
    <w:p>
      <w:pPr>
        <w:spacing w:after="40"/>
        <w:jc w:val="center"/>
      </w:pPr>
      <w:r>
        <w:rPr>
          <w:rFonts w:ascii="Calibri" w:cs="Calibri" w:eastAsia="Calibri" w:hAnsi="Calibri"/>
          <w:color w:val="7F8C8D"/>
          <w:sz w:val="20"/>
          <w:szCs w:val="20"/>
        </w:rPr>
        <w:t xml:space="preserve">Standard : NASA-Grade L4 / DO-178C Level A</w:t>
      </w:r>
    </w:p>
    <w:p>
      <w:pPr>
        <w:spacing w:after="40"/>
        <w:jc w:val="center"/>
      </w:pPr>
      <w:r>
        <w:rPr>
          <w:rFonts w:ascii="Calibri" w:cs="Calibri" w:eastAsia="Calibri" w:hAnsi="Calibri"/>
          <w:color w:val="7F8C8D"/>
          <w:sz w:val="20"/>
          <w:szCs w:val="20"/>
        </w:rPr>
        <w:t xml:space="preserve">Date : 29 mars 2026 — Version 1.0</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Champ</w:t>
            </w:r>
          </w:p>
        </w:tc>
        <w:tc>
          <w:tcPr>
            <w:tcW w:type="dxa" w:w="636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Valeur</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Document ID</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OMEGA-MANIFESTE-PHYSIQUE-LITTERAIRE-v1.0</w:t>
            </w:r>
          </w:p>
        </w:tc>
      </w:tr>
      <w:tr>
        <w:tc>
          <w:tcPr>
            <w:tcW w:type="dxa" w:w="3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Auteur principal</w:t>
            </w:r>
          </w:p>
        </w:tc>
        <w:tc>
          <w:tcPr>
            <w:tcW w:type="dxa" w:w="636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Projet OMEGA (Francky, Architecte Suprême)</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Intelligence Artificielle</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Claude Opus 4.6 (Anthropic) — IA Principal</w:t>
            </w:r>
          </w:p>
        </w:tc>
      </w:tr>
      <w:tr>
        <w:tc>
          <w:tcPr>
            <w:tcW w:type="dxa" w:w="3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Auditeurs</w:t>
            </w:r>
          </w:p>
        </w:tc>
        <w:tc>
          <w:tcPr>
            <w:tcW w:type="dxa" w:w="636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ChatGPT (OpenAI) — Auditeur Hostile | Gemini (Google) — Gardien Architectural</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Convergence</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3/3 IAs sur tous les verdicts finaux</w:t>
            </w:r>
          </w:p>
        </w:tc>
      </w:tr>
      <w:tr>
        <w:tc>
          <w:tcPr>
            <w:tcW w:type="dxa" w:w="3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Référentiel</w:t>
            </w:r>
          </w:p>
        </w:tc>
        <w:tc>
          <w:tcPr>
            <w:tcW w:type="dxa" w:w="636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phase-r-metrology-rebuild @ d59839c8</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Licence</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 2026 Projet OMEGA — Tous droits réservés</w:t>
            </w:r>
          </w:p>
        </w:tc>
      </w:tr>
    </w:tbl>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Résumé / Abstract</w:t>
      </w:r>
    </w:p>
    <w:p>
      <w:pPr>
        <w:pStyle w:val="Heading2"/>
        <w:spacing w:after="160" w:before="300"/>
      </w:pPr>
      <w:r>
        <w:rPr>
          <w:rFonts w:ascii="Cambria" w:cs="Cambria" w:eastAsia="Cambria" w:hAnsi="Cambria"/>
          <w:b/>
          <w:bCs/>
          <w:color w:val="1A5276"/>
          <w:sz w:val="26"/>
          <w:szCs w:val="26"/>
        </w:rPr>
        <w:t xml:space="preserve">Français</w:t>
      </w:r>
    </w:p>
    <w:p>
      <w:pPr>
        <w:spacing w:after="100" w:line="276"/>
        <w:jc w:val="both"/>
      </w:pPr>
      <w:r>
        <w:rPr>
          <w:rFonts w:ascii="Cambria" w:cs="Cambria" w:eastAsia="Cambria" w:hAnsi="Cambria"/>
          <w:b w:val="false"/>
          <w:bCs w:val="false"/>
          <w:i w:val="false"/>
          <w:iCs w:val="false"/>
          <w:color w:val="1C1C1C"/>
          <w:sz w:val="21"/>
          <w:szCs w:val="21"/>
        </w:rPr>
        <w:t xml:space="preserve">Ce manifeste présente les résultats d’une cartographie causale complète de la prose littéraire, réalisée sur un corpus de 881 œuvres bilingues (238 françaises, 643 anglaises) représentant plus de 2 millions de fenêtres d’analyse et 42 features structurelles. L’étude établit qu’une seule loi causale est pleinement universelle : la subordination syntaxique (sub_per_sentence) gouverne le taux de phrases longues (f26b), qui médiatise la qualité littéraire perçue à hauteur de 136% en français et 95% en anglais. Cette chaîne résiste au retrait de tout auteur individuel. L’étude démontre également que les traditions littéraires française et anglaise diffèrent fondamentalement : le signal de qualité est DOMINÉ par la ponctuation-syntaxe en français (semicolon #1, R²=0.297) et DISTRIBUÉ sur le rythme, la variance et la rareté lexicale en anglais (f1a_rhythm #1, R²=0.101). Enfin, les 42 features structurelles sont nécessaires mais insuffisantes pour le registre maximaliste anglophone (R² = −0.187), identifiant la frontière sémantique comme zone non close.</w:t>
      </w:r>
    </w:p>
    <w:p>
      <w:pPr>
        <w:pStyle w:val="Heading2"/>
        <w:spacing w:after="160" w:before="300"/>
      </w:pPr>
      <w:r>
        <w:rPr>
          <w:rFonts w:ascii="Cambria" w:cs="Cambria" w:eastAsia="Cambria" w:hAnsi="Cambria"/>
          <w:b/>
          <w:bCs/>
          <w:color w:val="1A5276"/>
          <w:sz w:val="26"/>
          <w:szCs w:val="26"/>
        </w:rPr>
        <w:t xml:space="preserve">English</w:t>
      </w:r>
    </w:p>
    <w:p>
      <w:pPr>
        <w:spacing w:after="100" w:line="276"/>
        <w:jc w:val="both"/>
      </w:pPr>
      <w:r>
        <w:rPr>
          <w:rFonts w:ascii="Cambria" w:cs="Cambria" w:eastAsia="Cambria" w:hAnsi="Cambria"/>
          <w:b w:val="false"/>
          <w:bCs w:val="false"/>
          <w:i w:val="false"/>
          <w:iCs w:val="false"/>
          <w:color w:val="1C1C1C"/>
          <w:sz w:val="21"/>
          <w:szCs w:val="21"/>
        </w:rPr>
        <w:t xml:space="preserve">This manifesto presents the results of a complete causal mapping of literary prose, conducted on a corpus of 881 bilingual works (238 French, 643 English) representing over 2 million analysis windows and 42 structural features. The study establishes that only one causal law is fully universal: syntactic subordination (sub_per_sentence) governs the long sentence rate (f26b), which mediates perceived literary quality at 136% in French and 95% in English. This chain resists the removal of any individual author. The study also demonstrates that French and English literary traditions differ fundamentally: the quality signal is DOMINATED by punctuation-syntax in French (semicolon #1, R²=0.297) and DISTRIBUTED across rhythm, variance and lexical rarity in English (f1a_rhythm #1, R²=0.101). Finally, the 42 structural features are necessary but insufficient for the English maximalist register (R² = −0.187), identifying the semantic frontier as a non-closed zone.</w:t>
      </w:r>
    </w:p>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pPr>
        <w:spacing w:after="100" w:line="276"/>
        <w:jc w:val="both"/>
      </w:pPr>
      <w:r>
        <w:rPr>
          <w:rFonts w:ascii="Cambria" w:cs="Cambria" w:eastAsia="Cambria" w:hAnsi="Cambria"/>
          <w:b w:val="false"/>
          <w:bCs w:val="false"/>
          <w:i/>
          <w:iCs/>
          <w:color w:val="7F8C8D"/>
          <w:sz w:val="18"/>
          <w:szCs w:val="18"/>
        </w:rPr>
        <w:t xml:space="preserve">(La table des matières sera générée automatiquement à l’ouverture dans Word : clic droit → Mettre à jour les champs)</w:t>
      </w:r>
    </w:p>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1. Introduction et périmètre</w:t>
      </w:r>
    </w:p>
    <w:p>
      <w:pPr>
        <w:spacing w:after="100" w:line="276"/>
        <w:jc w:val="both"/>
      </w:pPr>
      <w:r>
        <w:rPr>
          <w:rFonts w:ascii="Cambria" w:cs="Cambria" w:eastAsia="Cambria" w:hAnsi="Cambria"/>
          <w:b w:val="false"/>
          <w:bCs w:val="false"/>
          <w:i w:val="false"/>
          <w:iCs w:val="false"/>
          <w:color w:val="1C1C1C"/>
          <w:sz w:val="21"/>
          <w:szCs w:val="21"/>
        </w:rPr>
        <w:t xml:space="preserve">Ce manifeste documente les lois de la physique structurelle de la prose littéraire, établies par le projet OMEGA au cours d’une session marathon de 20 heures d’audits métrologiques. Il ne s’agit pas d’un guide stylistique ni d’un modèle de scoring — c’est un document de preuve mathématique, structuré selon la doctrine M4 :</w:t>
      </w:r>
    </w:p>
    <w:p>
      <w:pPr>
        <w:spacing w:after="100" w:line="276"/>
        <w:jc w:val="both"/>
      </w:pPr>
      <w:r>
        <w:rPr>
          <w:rFonts w:ascii="Cambria" w:cs="Cambria" w:eastAsia="Cambria" w:hAnsi="Cambria"/>
          <w:b/>
          <w:bCs/>
          <w:i w:val="false"/>
          <w:iCs w:val="false"/>
          <w:color w:val="1C1C1C"/>
          <w:sz w:val="21"/>
          <w:szCs w:val="21"/>
        </w:rPr>
        <w:t xml:space="preserve">Couche 1 — Axiomes de mesure </w:t>
      </w:r>
      <w:r>
        <w:rPr>
          <w:rFonts w:ascii="Cambria" w:cs="Cambria" w:eastAsia="Cambria" w:hAnsi="Cambria"/>
          <w:b w:val="false"/>
          <w:bCs w:val="false"/>
          <w:i w:val="false"/>
          <w:iCs w:val="false"/>
          <w:color w:val="1C1C1C"/>
          <w:sz w:val="21"/>
          <w:szCs w:val="21"/>
        </w:rPr>
        <w:t xml:space="preserve">(limites et conditions de validité)</w:t>
      </w:r>
    </w:p>
    <w:p>
      <w:pPr>
        <w:spacing w:after="100" w:line="276"/>
        <w:jc w:val="both"/>
      </w:pPr>
      <w:r>
        <w:rPr>
          <w:rFonts w:ascii="Cambria" w:cs="Cambria" w:eastAsia="Cambria" w:hAnsi="Cambria"/>
          <w:b/>
          <w:bCs/>
          <w:i w:val="false"/>
          <w:iCs w:val="false"/>
          <w:color w:val="1C1C1C"/>
          <w:sz w:val="21"/>
          <w:szCs w:val="21"/>
        </w:rPr>
        <w:t xml:space="preserve">Couche 2 — Lois universelles </w:t>
      </w:r>
      <w:r>
        <w:rPr>
          <w:rFonts w:ascii="Cambria" w:cs="Cambria" w:eastAsia="Cambria" w:hAnsi="Cambria"/>
          <w:b w:val="false"/>
          <w:bCs w:val="false"/>
          <w:i w:val="false"/>
          <w:iCs w:val="false"/>
          <w:color w:val="1C1C1C"/>
          <w:sz w:val="21"/>
          <w:szCs w:val="21"/>
        </w:rPr>
        <w:t xml:space="preserve">(prouvées dans les deux langues, 4/4 critères)</w:t>
      </w:r>
    </w:p>
    <w:p>
      <w:pPr>
        <w:spacing w:after="100" w:line="276"/>
        <w:jc w:val="both"/>
      </w:pPr>
      <w:r>
        <w:rPr>
          <w:rFonts w:ascii="Cambria" w:cs="Cambria" w:eastAsia="Cambria" w:hAnsi="Cambria"/>
          <w:b/>
          <w:bCs/>
          <w:i w:val="false"/>
          <w:iCs w:val="false"/>
          <w:color w:val="1C1C1C"/>
          <w:sz w:val="21"/>
          <w:szCs w:val="21"/>
        </w:rPr>
        <w:t xml:space="preserve">Couche 3 — Lois culturelles </w:t>
      </w:r>
      <w:r>
        <w:rPr>
          <w:rFonts w:ascii="Cambria" w:cs="Cambria" w:eastAsia="Cambria" w:hAnsi="Cambria"/>
          <w:b w:val="false"/>
          <w:bCs w:val="false"/>
          <w:i w:val="false"/>
          <w:iCs w:val="false"/>
          <w:color w:val="1C1C1C"/>
          <w:sz w:val="21"/>
          <w:szCs w:val="21"/>
        </w:rPr>
        <w:t xml:space="preserve">(spécifiques à une tradition littéraire)</w:t>
      </w:r>
    </w:p>
    <w:p>
      <w:pPr>
        <w:spacing w:after="100" w:line="276"/>
        <w:jc w:val="both"/>
      </w:pPr>
      <w:r>
        <w:rPr>
          <w:rFonts w:ascii="Cambria" w:cs="Cambria" w:eastAsia="Cambria" w:hAnsi="Cambria"/>
          <w:b/>
          <w:bCs/>
          <w:i w:val="false"/>
          <w:iCs w:val="false"/>
          <w:color w:val="1C1C1C"/>
          <w:sz w:val="21"/>
          <w:szCs w:val="21"/>
        </w:rPr>
        <w:t xml:space="preserve">Couche 4 — Zones non closes </w:t>
      </w:r>
      <w:r>
        <w:rPr>
          <w:rFonts w:ascii="Cambria" w:cs="Cambria" w:eastAsia="Cambria" w:hAnsi="Cambria"/>
          <w:b w:val="false"/>
          <w:bCs w:val="false"/>
          <w:i w:val="false"/>
          <w:iCs w:val="false"/>
          <w:color w:val="1C1C1C"/>
          <w:sz w:val="21"/>
          <w:szCs w:val="21"/>
        </w:rPr>
        <w:t xml:space="preserve">(limites identifiées, protocoles de falsification)</w:t>
      </w:r>
    </w:p>
    <w:p>
      <w:pPr>
        <w:pStyle w:val="Heading2"/>
        <w:spacing w:after="160" w:before="300"/>
      </w:pPr>
      <w:r>
        <w:rPr>
          <w:rFonts w:ascii="Cambria" w:cs="Cambria" w:eastAsia="Cambria" w:hAnsi="Cambria"/>
          <w:b/>
          <w:bCs/>
          <w:color w:val="1A5276"/>
          <w:sz w:val="26"/>
          <w:szCs w:val="26"/>
        </w:rPr>
        <w:t xml:space="preserve">1.1 Doctrine de preuve (M1–M4)</w:t>
      </w:r>
    </w:p>
    <w:p>
      <w:pPr>
        <w:spacing w:after="100" w:line="276"/>
        <w:jc w:val="both"/>
      </w:pPr>
      <w:r>
        <w:rPr>
          <w:rFonts w:ascii="Cambria" w:cs="Cambria" w:eastAsia="Cambria" w:hAnsi="Cambria"/>
          <w:b/>
          <w:bCs/>
          <w:i w:val="false"/>
          <w:iCs w:val="false"/>
          <w:color w:val="1C1C1C"/>
          <w:sz w:val="21"/>
          <w:szCs w:val="21"/>
        </w:rPr>
        <w:t xml:space="preserve">Règle M1 : </w:t>
      </w:r>
      <w:r>
        <w:rPr>
          <w:rFonts w:ascii="Cambria" w:cs="Cambria" w:eastAsia="Cambria" w:hAnsi="Cambria"/>
          <w:b w:val="false"/>
          <w:bCs w:val="false"/>
          <w:i w:val="false"/>
          <w:iCs w:val="false"/>
          <w:color w:val="1C1C1C"/>
          <w:sz w:val="21"/>
          <w:szCs w:val="21"/>
        </w:rPr>
        <w:t xml:space="preserve">Une loi universelle exige 4 preuves : stabilité géométrique FR/EN, stabilité multi-échelle, robustesse auteur/œuvre, mécanisme causal/médiation.</w:t>
      </w:r>
    </w:p>
    <w:p>
      <w:pPr>
        <w:spacing w:after="100" w:line="276"/>
        <w:jc w:val="both"/>
      </w:pPr>
      <w:r>
        <w:rPr>
          <w:rFonts w:ascii="Cambria" w:cs="Cambria" w:eastAsia="Cambria" w:hAnsi="Cambria"/>
          <w:b/>
          <w:bCs/>
          <w:i w:val="false"/>
          <w:iCs w:val="false"/>
          <w:color w:val="1C1C1C"/>
          <w:sz w:val="21"/>
          <w:szCs w:val="21"/>
        </w:rPr>
        <w:t xml:space="preserve">Règle M2 : </w:t>
      </w:r>
      <w:r>
        <w:rPr>
          <w:rFonts w:ascii="Cambria" w:cs="Cambria" w:eastAsia="Cambria" w:hAnsi="Cambria"/>
          <w:b w:val="false"/>
          <w:bCs w:val="false"/>
          <w:i w:val="false"/>
          <w:iCs w:val="false"/>
          <w:color w:val="1C1C1C"/>
          <w:sz w:val="21"/>
          <w:szCs w:val="21"/>
        </w:rPr>
        <w:t xml:space="preserve">Une AUC n’est jamais une causalité. Elle prouve la séparation et l’utilité discriminante, pas le sens causal ni le médiateur.</w:t>
      </w:r>
    </w:p>
    <w:p>
      <w:pPr>
        <w:spacing w:after="100" w:line="276"/>
        <w:jc w:val="both"/>
      </w:pPr>
      <w:r>
        <w:rPr>
          <w:rFonts w:ascii="Cambria" w:cs="Cambria" w:eastAsia="Cambria" w:hAnsi="Cambria"/>
          <w:b/>
          <w:bCs/>
          <w:i w:val="false"/>
          <w:iCs w:val="false"/>
          <w:color w:val="1C1C1C"/>
          <w:sz w:val="21"/>
          <w:szCs w:val="21"/>
        </w:rPr>
        <w:t xml:space="preserve">Règle M3 : </w:t>
      </w:r>
      <w:r>
        <w:rPr>
          <w:rFonts w:ascii="Cambria" w:cs="Cambria" w:eastAsia="Cambria" w:hAnsi="Cambria"/>
          <w:b w:val="false"/>
          <w:bCs w:val="false"/>
          <w:i w:val="false"/>
          <w:iCs w:val="false"/>
          <w:color w:val="1C1C1C"/>
          <w:sz w:val="21"/>
          <w:szCs w:val="21"/>
        </w:rPr>
        <w:t xml:space="preserve">Une loi culturelle n’est pas une faiblesse. C’est une force épistémique : le système distingue invariants géométriques et signatures culturelles.</w:t>
      </w:r>
    </w:p>
    <w:p>
      <w:pPr>
        <w:spacing w:after="100" w:line="276"/>
        <w:jc w:val="both"/>
      </w:pPr>
      <w:r>
        <w:rPr>
          <w:rFonts w:ascii="Cambria" w:cs="Cambria" w:eastAsia="Cambria" w:hAnsi="Cambria"/>
          <w:b/>
          <w:bCs/>
          <w:i w:val="false"/>
          <w:iCs w:val="false"/>
          <w:color w:val="1C1C1C"/>
          <w:sz w:val="21"/>
          <w:szCs w:val="21"/>
        </w:rPr>
        <w:t xml:space="preserve">Règle M4 : </w:t>
      </w:r>
      <w:r>
        <w:rPr>
          <w:rFonts w:ascii="Cambria" w:cs="Cambria" w:eastAsia="Cambria" w:hAnsi="Cambria"/>
          <w:b w:val="false"/>
          <w:bCs w:val="false"/>
          <w:i w:val="false"/>
          <w:iCs w:val="false"/>
          <w:color w:val="1C1C1C"/>
          <w:sz w:val="21"/>
          <w:szCs w:val="21"/>
        </w:rPr>
        <w:t xml:space="preserve">Le manifeste est structuré en 4 couches : axiomes → lois universelles → lois culturelles → zones non closes.</w:t>
      </w:r>
    </w:p>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2. Corpus et méthodologie</w:t>
      </w:r>
    </w:p>
    <w:p>
      <w:pPr>
        <w:pStyle w:val="Heading2"/>
        <w:spacing w:after="160" w:before="300"/>
      </w:pPr>
      <w:r>
        <w:rPr>
          <w:rFonts w:ascii="Cambria" w:cs="Cambria" w:eastAsia="Cambria" w:hAnsi="Cambria"/>
          <w:b/>
          <w:bCs/>
          <w:color w:val="1A5276"/>
          <w:sz w:val="26"/>
          <w:szCs w:val="26"/>
        </w:rPr>
        <w:t xml:space="preserve">2.1 Composition du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Métrique</w:t>
            </w:r>
          </w:p>
        </w:tc>
        <w:tc>
          <w:tcPr>
            <w:tcW w:type="dxa" w:w="2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Français</w:t>
            </w:r>
          </w:p>
        </w:tc>
        <w:tc>
          <w:tcPr>
            <w:tcW w:type="dxa" w:w="2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Anglais</w:t>
            </w:r>
          </w:p>
        </w:tc>
        <w:tc>
          <w:tcPr>
            <w:tcW w:type="dxa" w:w="236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Total</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Livres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238</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643</w:t>
            </w:r>
          </w:p>
        </w:tc>
        <w:tc>
          <w:tcPr>
            <w:tcW w:type="dxa" w:w="2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881</w:t>
            </w:r>
          </w:p>
        </w:tc>
      </w:tr>
      <w:tr>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Chapitres</w:t>
            </w:r>
          </w:p>
        </w:tc>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11 336</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24 337</w:t>
            </w:r>
          </w:p>
        </w:tc>
        <w:tc>
          <w:tcPr>
            <w:tcW w:type="dxa" w:w="236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35 673</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Fenêtres totales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638 097</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1 286 009+</w:t>
            </w:r>
          </w:p>
        </w:tc>
        <w:tc>
          <w:tcPr>
            <w:tcW w:type="dxa" w:w="2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2 064 038+</w:t>
            </w:r>
          </w:p>
        </w:tc>
      </w:tr>
      <w:tr>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Fenêtres 500 mots</w:t>
            </w:r>
          </w:p>
        </w:tc>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141 366</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267 651</w:t>
            </w:r>
          </w:p>
        </w:tc>
        <w:tc>
          <w:tcPr>
            <w:tcW w:type="dxa" w:w="236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409 017</w:t>
            </w:r>
          </w:p>
        </w:tc>
      </w:tr>
    </w:tbl>
    <w:p>
      <w:pPr>
        <w:pStyle w:val="Heading2"/>
        <w:spacing w:after="160" w:before="300"/>
      </w:pPr>
      <w:r>
        <w:rPr>
          <w:rFonts w:ascii="Cambria" w:cs="Cambria" w:eastAsia="Cambria" w:hAnsi="Cambria"/>
          <w:b/>
          <w:bCs/>
          <w:color w:val="1A5276"/>
          <w:sz w:val="26"/>
          <w:szCs w:val="26"/>
        </w:rPr>
        <w:t xml:space="preserve">2.2 Distribution des tiers (fenêtres 500w, S/A/B/C)</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200"/>
        <w:gridCol w:w="800"/>
        <w:gridCol w:w="1200"/>
        <w:gridCol w:w="1300"/>
        <w:gridCol w:w="800"/>
      </w:tblGrid>
      <w:tr>
        <w:tc>
          <w:tcPr>
            <w:tcW w:type="dxa" w:w="1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Tier</w:t>
            </w:r>
          </w:p>
        </w:tc>
        <w:tc>
          <w:tcPr>
            <w:tcW w:type="dxa" w:w="11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FR livres</w:t>
            </w:r>
          </w:p>
        </w:tc>
        <w:tc>
          <w:tcPr>
            <w:tcW w:type="dxa" w:w="1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FR fenêtres</w:t>
            </w:r>
          </w:p>
        </w:tc>
        <w:tc>
          <w:tcPr>
            <w:tcW w:type="dxa" w:w="8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t>
            </w:r>
          </w:p>
        </w:tc>
        <w:tc>
          <w:tcPr>
            <w:tcW w:type="dxa" w:w="1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EN livres</w:t>
            </w:r>
          </w:p>
        </w:tc>
        <w:tc>
          <w:tcPr>
            <w:tcW w:type="dxa" w:w="13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EN fenêtres</w:t>
            </w:r>
          </w:p>
        </w:tc>
        <w:tc>
          <w:tcPr>
            <w:tcW w:type="dxa" w:w="8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 (Maîtres)</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127</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78 446</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55.5%</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220+</w:t>
            </w:r>
          </w:p>
        </w:tc>
        <w:tc>
          <w:tcPr>
            <w:tcW w:type="dxa" w:w="1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131 118+</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49.0%</w:t>
            </w:r>
          </w:p>
        </w:tc>
      </w:tr>
      <w:tr>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A (Excellent)</w:t>
            </w:r>
          </w:p>
        </w:tc>
        <w:tc>
          <w:tcPr>
            <w:tcW w:type="dxa" w:w="11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37</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21 654</w:t>
            </w:r>
          </w:p>
        </w:tc>
        <w:tc>
          <w:tcPr>
            <w:tcW w:type="dxa" w:w="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15.3%</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79+</w:t>
            </w:r>
          </w:p>
        </w:tc>
        <w:tc>
          <w:tcPr>
            <w:tcW w:type="dxa" w:w="13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47 948+</w:t>
            </w:r>
          </w:p>
        </w:tc>
        <w:tc>
          <w:tcPr>
            <w:tcW w:type="dxa" w:w="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17.9%</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B (Bon)</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34</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23 788</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16.8%</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94+</w:t>
            </w:r>
          </w:p>
        </w:tc>
        <w:tc>
          <w:tcPr>
            <w:tcW w:type="dxa" w:w="1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53 843+</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20.1%</w:t>
            </w:r>
          </w:p>
        </w:tc>
      </w:tr>
      <w:tr>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 (Moyen)</w:t>
            </w:r>
          </w:p>
        </w:tc>
        <w:tc>
          <w:tcPr>
            <w:tcW w:type="dxa" w:w="11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37</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17 478</w:t>
            </w:r>
          </w:p>
        </w:tc>
        <w:tc>
          <w:tcPr>
            <w:tcW w:type="dxa" w:w="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12.4%</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62+</w:t>
            </w:r>
          </w:p>
        </w:tc>
        <w:tc>
          <w:tcPr>
            <w:tcW w:type="dxa" w:w="13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34 742+</w:t>
            </w:r>
          </w:p>
        </w:tc>
        <w:tc>
          <w:tcPr>
            <w:tcW w:type="dxa" w:w="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13.0%</w:t>
            </w:r>
          </w:p>
        </w:tc>
      </w:tr>
    </w:tbl>
    <w:p>
      <w:pPr>
        <w:pStyle w:val="Heading2"/>
        <w:spacing w:after="160" w:before="300"/>
      </w:pPr>
      <w:r>
        <w:rPr>
          <w:rFonts w:ascii="Cambria" w:cs="Cambria" w:eastAsia="Cambria" w:hAnsi="Cambria"/>
          <w:b/>
          <w:bCs/>
          <w:color w:val="1A5276"/>
          <w:sz w:val="26"/>
          <w:szCs w:val="26"/>
        </w:rPr>
        <w:t xml:space="preserve">2.3 Méthodes statistiques</w:t>
      </w:r>
    </w:p>
    <w:p>
      <w:pPr>
        <w:spacing w:after="100" w:line="276"/>
        <w:jc w:val="both"/>
      </w:pPr>
      <w:r>
        <w:rPr>
          <w:rFonts w:ascii="Cambria" w:cs="Cambria" w:eastAsia="Cambria" w:hAnsi="Cambria"/>
          <w:b/>
          <w:bCs/>
          <w:i w:val="false"/>
          <w:iCs w:val="false"/>
          <w:color w:val="1C1C1C"/>
          <w:sz w:val="21"/>
          <w:szCs w:val="21"/>
        </w:rPr>
        <w:t xml:space="preserve">Modèle de prédiction : </w:t>
      </w:r>
      <w:r>
        <w:rPr>
          <w:rFonts w:ascii="Cambria" w:cs="Cambria" w:eastAsia="Cambria" w:hAnsi="Cambria"/>
          <w:b w:val="false"/>
          <w:bCs w:val="false"/>
          <w:i w:val="false"/>
          <w:iCs w:val="false"/>
          <w:color w:val="1C1C1C"/>
          <w:sz w:val="21"/>
          <w:szCs w:val="21"/>
        </w:rPr>
        <w:t xml:space="preserve">Random Forest Regressor (200 arbres, max_depth=10, random_state=42). Le tier littéraire est encodé numériquement (S=4, A=3, B=2, C=1). La performance est mesurée par R² en cross-validation 5-fold.</w:t>
      </w:r>
    </w:p>
    <w:p>
      <w:pPr>
        <w:spacing w:after="100" w:line="276"/>
        <w:jc w:val="both"/>
      </w:pPr>
      <w:r>
        <w:rPr>
          <w:rFonts w:ascii="Cambria" w:cs="Cambria" w:eastAsia="Cambria" w:hAnsi="Cambria"/>
          <w:b/>
          <w:bCs/>
          <w:i w:val="false"/>
          <w:iCs w:val="false"/>
          <w:color w:val="1C1C1C"/>
          <w:sz w:val="21"/>
          <w:szCs w:val="21"/>
        </w:rPr>
        <w:t xml:space="preserve">Importance des features : </w:t>
      </w:r>
      <w:r>
        <w:rPr>
          <w:rFonts w:ascii="Cambria" w:cs="Cambria" w:eastAsia="Cambria" w:hAnsi="Cambria"/>
          <w:b w:val="false"/>
          <w:bCs w:val="false"/>
          <w:i w:val="false"/>
          <w:iCs w:val="false"/>
          <w:color w:val="1C1C1C"/>
          <w:sz w:val="21"/>
          <w:szCs w:val="21"/>
        </w:rPr>
        <w:t xml:space="preserve">Permutation importance (10 répétitions, sous-échantillon 100K max). L’importance mesure la chute de R² quand on permute aléatoirement une feature.</w:t>
      </w:r>
    </w:p>
    <w:p>
      <w:pPr>
        <w:spacing w:after="100" w:line="276"/>
        <w:jc w:val="both"/>
      </w:pPr>
      <w:r>
        <w:rPr>
          <w:rFonts w:ascii="Cambria" w:cs="Cambria" w:eastAsia="Cambria" w:hAnsi="Cambria"/>
          <w:b/>
          <w:bCs/>
          <w:i w:val="false"/>
          <w:iCs w:val="false"/>
          <w:color w:val="1C1C1C"/>
          <w:sz w:val="21"/>
          <w:szCs w:val="21"/>
        </w:rPr>
        <w:t xml:space="preserve">Médiation causale : </w:t>
      </w:r>
      <w:r>
        <w:rPr>
          <w:rFonts w:ascii="Cambria" w:cs="Cambria" w:eastAsia="Cambria" w:hAnsi="Cambria"/>
          <w:b w:val="false"/>
          <w:bCs w:val="false"/>
          <w:i w:val="false"/>
          <w:iCs w:val="false"/>
          <w:color w:val="1C1C1C"/>
          <w:sz w:val="21"/>
          <w:szCs w:val="21"/>
        </w:rPr>
        <w:t xml:space="preserve">Régression linéaire OLS (Baron &amp; Kenny). Effet total c = Source → Tier. Effet indirect a×b = Source → Médiateur → Tier. Médiation % = |a×b / c| × 100.</w:t>
      </w:r>
    </w:p>
    <w:p>
      <w:pPr>
        <w:spacing w:after="100" w:line="276"/>
        <w:jc w:val="both"/>
      </w:pPr>
      <w:r>
        <w:rPr>
          <w:rFonts w:ascii="Cambria" w:cs="Cambria" w:eastAsia="Cambria" w:hAnsi="Cambria"/>
          <w:b/>
          <w:bCs/>
          <w:i w:val="false"/>
          <w:iCs w:val="false"/>
          <w:color w:val="1C1C1C"/>
          <w:sz w:val="21"/>
          <w:szCs w:val="21"/>
        </w:rPr>
        <w:t xml:space="preserve">Corrélations : </w:t>
      </w:r>
      <w:r>
        <w:rPr>
          <w:rFonts w:ascii="Cambria" w:cs="Cambria" w:eastAsia="Cambria" w:hAnsi="Cambria"/>
          <w:b w:val="false"/>
          <w:bCs w:val="false"/>
          <w:i w:val="false"/>
          <w:iCs w:val="false"/>
          <w:color w:val="1C1C1C"/>
          <w:sz w:val="21"/>
          <w:szCs w:val="21"/>
        </w:rPr>
        <w:t xml:space="preserve">Spearman ρ (rang, non paramétrique). Élasticité : régression linéaire sur features standardisées (z-score).</w:t>
      </w:r>
    </w:p>
    <w:p>
      <w:pPr>
        <w:spacing w:after="100" w:line="276"/>
        <w:jc w:val="both"/>
      </w:pPr>
      <w:r>
        <w:rPr>
          <w:rFonts w:ascii="Cambria" w:cs="Cambria" w:eastAsia="Cambria" w:hAnsi="Cambria"/>
          <w:b/>
          <w:bCs/>
          <w:i w:val="false"/>
          <w:iCs w:val="false"/>
          <w:color w:val="1C1C1C"/>
          <w:sz w:val="21"/>
          <w:szCs w:val="21"/>
        </w:rPr>
        <w:t xml:space="preserve">Clustering : </w:t>
      </w:r>
      <w:r>
        <w:rPr>
          <w:rFonts w:ascii="Cambria" w:cs="Cambria" w:eastAsia="Cambria" w:hAnsi="Cambria"/>
          <w:b w:val="false"/>
          <w:bCs w:val="false"/>
          <w:i w:val="false"/>
          <w:iCs w:val="false"/>
          <w:color w:val="1C1C1C"/>
          <w:sz w:val="21"/>
          <w:szCs w:val="21"/>
        </w:rPr>
        <w:t xml:space="preserve">K-Means (K=2, random_state=42) sur features standardisées. Qualité mesurée par score de silhouette.</w:t>
      </w:r>
    </w:p>
    <w:p>
      <w:pPr>
        <w:pStyle w:val="Heading2"/>
        <w:spacing w:after="160" w:before="300"/>
      </w:pPr>
      <w:r>
        <w:rPr>
          <w:rFonts w:ascii="Cambria" w:cs="Cambria" w:eastAsia="Cambria" w:hAnsi="Cambria"/>
          <w:b/>
          <w:bCs/>
          <w:color w:val="1A5276"/>
          <w:sz w:val="26"/>
          <w:szCs w:val="26"/>
        </w:rPr>
        <w:t xml:space="preserve">2.4 Extraction des features</w:t>
      </w:r>
    </w:p>
    <w:p>
      <w:pPr>
        <w:spacing w:after="100" w:line="276"/>
        <w:jc w:val="both"/>
      </w:pPr>
      <w:r>
        <w:rPr>
          <w:rFonts w:ascii="Cambria" w:cs="Cambria" w:eastAsia="Cambria" w:hAnsi="Cambria"/>
          <w:b w:val="false"/>
          <w:bCs w:val="false"/>
          <w:i w:val="false"/>
          <w:iCs w:val="false"/>
          <w:color w:val="1C1C1C"/>
          <w:sz w:val="21"/>
          <w:szCs w:val="21"/>
        </w:rPr>
        <w:t xml:space="preserve">Les 42 features sont extraites directement du texte brut par regex et comptage, sans aucun modèle NLP ni embeddings. La segmentation en phrases utilise le pattern (?&lt;=[.!?…»])\s+. Les seuils sont explicitement documentés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Seuil</w:t>
            </w:r>
          </w:p>
        </w:tc>
        <w:tc>
          <w:tcPr>
            <w:tcW w:type="dxa" w:w="2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Valeur</w:t>
            </w:r>
          </w:p>
        </w:tc>
        <w:tc>
          <w:tcPr>
            <w:tcW w:type="dxa" w:w="436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Définition</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LONG_SENT_THRESHOLD</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40 mots</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Phrase considérée comme longue</w:t>
            </w:r>
          </w:p>
        </w:tc>
      </w:tr>
      <w:tr>
        <w:tc>
          <w:tcPr>
            <w:tcW w:type="dxa" w:w="3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SHORT_SENT_THRESHOLD</w:t>
            </w:r>
          </w:p>
        </w:tc>
        <w:tc>
          <w:tcPr>
            <w:tcW w:type="dxa" w:w="2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10 mots</w:t>
            </w:r>
          </w:p>
        </w:tc>
        <w:tc>
          <w:tcPr>
            <w:tcW w:type="dxa" w:w="436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Phrase considérée comme courte</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KNIFE_THRESHOLD</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 mots</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Phrase-couteau (f17)</w:t>
            </w:r>
          </w:p>
        </w:tc>
      </w:tr>
      <w:tr>
        <w:tc>
          <w:tcPr>
            <w:tcW w:type="dxa" w:w="3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TRANS_LONG</w:t>
            </w:r>
          </w:p>
        </w:tc>
        <w:tc>
          <w:tcPr>
            <w:tcW w:type="dxa" w:w="2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30 mots</w:t>
            </w:r>
          </w:p>
        </w:tc>
        <w:tc>
          <w:tcPr>
            <w:tcW w:type="dxa" w:w="436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Transition vers phrase longue</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TRANS_SHORT</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10 mots</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Transition vers phrase courte</w:t>
            </w:r>
          </w:p>
        </w:tc>
      </w:tr>
    </w:tbl>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3. Axiomes de mesure</w:t>
      </w:r>
    </w:p>
    <w:p>
      <w:pPr>
        <w:spacing w:after="100" w:line="276"/>
        <w:jc w:val="both"/>
      </w:pPr>
      <w:r>
        <w:rPr>
          <w:rFonts w:ascii="Cambria" w:cs="Cambria" w:eastAsia="Cambria" w:hAnsi="Cambria"/>
          <w:b w:val="false"/>
          <w:bCs w:val="false"/>
          <w:i w:val="false"/>
          <w:iCs w:val="false"/>
          <w:color w:val="1C1C1C"/>
          <w:sz w:val="21"/>
          <w:szCs w:val="21"/>
        </w:rPr>
        <w:t xml:space="preserve">Tout résultat de ce manifeste est conditionné par les axiomes suivants. Toute violation d’un axiome invalide les conclusions qui en dépendent.</w:t>
      </w:r>
    </w:p>
    <w:p>
      <w:pPr>
        <w:pStyle w:val="Heading2"/>
        <w:spacing w:after="160" w:before="300"/>
      </w:pPr>
      <w:r>
        <w:rPr>
          <w:rFonts w:ascii="Cambria" w:cs="Cambria" w:eastAsia="Cambria" w:hAnsi="Cambria"/>
          <w:b/>
          <w:bCs/>
          <w:color w:val="1A5276"/>
          <w:sz w:val="26"/>
          <w:szCs w:val="26"/>
        </w:rPr>
        <w:t xml:space="preserve">3.1 Axiome A1 — Périmètre structural</w:t>
      </w:r>
    </w:p>
    <w:p>
      <w:pPr>
        <w:pBdr>
          <w:left w:val="single" w:color="2E75B6" w:sz="8" w:space="8"/>
        </w:pBdr>
        <w:spacing w:after="120" w:before="120" w:line="276"/>
        <w:ind w:left="400" w:right="200"/>
      </w:pPr>
      <w:r>
        <w:rPr>
          <w:rFonts w:ascii="Cambria" w:cs="Cambria" w:eastAsia="Cambria" w:hAnsi="Cambria"/>
          <w:i/>
          <w:iCs/>
          <w:color w:val="1A5276"/>
          <w:sz w:val="21"/>
          <w:szCs w:val="21"/>
        </w:rPr>
        <w:t xml:space="preserve">Les 42 features mesurent exclusivement la structure syntaxique et rythmique de la prose. Elles ne capturent pas la sémantique, la focalisation narrative, la cohérence métaphorique, l’ironie, le sous-texte ni aucune dimension de contenu.</w:t>
      </w:r>
    </w:p>
    <w:p>
      <w:pPr>
        <w:pStyle w:val="Heading2"/>
        <w:spacing w:after="160" w:before="300"/>
      </w:pPr>
      <w:r>
        <w:rPr>
          <w:rFonts w:ascii="Cambria" w:cs="Cambria" w:eastAsia="Cambria" w:hAnsi="Cambria"/>
          <w:b/>
          <w:bCs/>
          <w:color w:val="1A5276"/>
          <w:sz w:val="26"/>
          <w:szCs w:val="26"/>
        </w:rPr>
        <w:t xml:space="preserve">3.2 Axiome A2 — Tiering</w:t>
      </w:r>
    </w:p>
    <w:p>
      <w:pPr>
        <w:pBdr>
          <w:left w:val="single" w:color="2E75B6" w:sz="8" w:space="8"/>
        </w:pBdr>
        <w:spacing w:after="120" w:before="120" w:line="276"/>
        <w:ind w:left="400" w:right="200"/>
      </w:pPr>
      <w:r>
        <w:rPr>
          <w:rFonts w:ascii="Cambria" w:cs="Cambria" w:eastAsia="Cambria" w:hAnsi="Cambria"/>
          <w:i/>
          <w:iCs/>
          <w:color w:val="1A5276"/>
          <w:sz w:val="21"/>
          <w:szCs w:val="21"/>
        </w:rPr>
        <w:t xml:space="preserve">Le tier littéraire (S/A/B/C/D) est attribué par qualité littéraire reconnue, pas par popularité. Stephen King est Tier B/C (prose fonctionnelle). Cormac McCarthy est Tier S (prose radicale). Le tiering est subjectif mais cohérent.</w:t>
      </w:r>
    </w:p>
    <w:p>
      <w:pPr>
        <w:pStyle w:val="Heading2"/>
        <w:spacing w:after="160" w:before="300"/>
      </w:pPr>
      <w:r>
        <w:rPr>
          <w:rFonts w:ascii="Cambria" w:cs="Cambria" w:eastAsia="Cambria" w:hAnsi="Cambria"/>
          <w:b/>
          <w:bCs/>
          <w:color w:val="1A5276"/>
          <w:sz w:val="26"/>
          <w:szCs w:val="26"/>
        </w:rPr>
        <w:t xml:space="preserve">3.3 Axiome A3 — Stationnarité</w:t>
      </w:r>
    </w:p>
    <w:p>
      <w:pPr>
        <w:pBdr>
          <w:left w:val="single" w:color="2E75B6" w:sz="8" w:space="8"/>
        </w:pBdr>
        <w:spacing w:after="120" w:before="120" w:line="276"/>
        <w:ind w:left="400" w:right="200"/>
      </w:pPr>
      <w:r>
        <w:rPr>
          <w:rFonts w:ascii="Cambria" w:cs="Cambria" w:eastAsia="Cambria" w:hAnsi="Cambria"/>
          <w:i/>
          <w:iCs/>
          <w:color w:val="1A5276"/>
          <w:sz w:val="21"/>
          <w:szCs w:val="21"/>
        </w:rPr>
        <w:t xml:space="preserve">Les features sont mesurées sur des fenêtres de taille fixe (200, 500, 700, 1000, 2000 mots) ou sur des chapitres entiers. Les conclusions à une échelle ne sont pas automatiquement transférables à une autre.</w:t>
      </w:r>
    </w:p>
    <w:p>
      <w:pPr>
        <w:pStyle w:val="Heading2"/>
        <w:spacing w:after="160" w:before="300"/>
      </w:pPr>
      <w:r>
        <w:rPr>
          <w:rFonts w:ascii="Cambria" w:cs="Cambria" w:eastAsia="Cambria" w:hAnsi="Cambria"/>
          <w:b/>
          <w:bCs/>
          <w:color w:val="1A5276"/>
          <w:sz w:val="26"/>
          <w:szCs w:val="26"/>
        </w:rPr>
        <w:t xml:space="preserve">3.4 Axiome A4 — Indépendance linguistique</w:t>
      </w:r>
    </w:p>
    <w:p>
      <w:pPr>
        <w:pBdr>
          <w:left w:val="single" w:color="2E75B6" w:sz="8" w:space="8"/>
        </w:pBdr>
        <w:spacing w:after="120" w:before="120" w:line="276"/>
        <w:ind w:left="400" w:right="200"/>
      </w:pPr>
      <w:r>
        <w:rPr>
          <w:rFonts w:ascii="Cambria" w:cs="Cambria" w:eastAsia="Cambria" w:hAnsi="Cambria"/>
          <w:i/>
          <w:iCs/>
          <w:color w:val="1A5276"/>
          <w:sz w:val="21"/>
          <w:szCs w:val="21"/>
        </w:rPr>
        <w:t xml:space="preserve">Les mesures FR et EN sont conduites séparément sur des corpus distincts. Aucune interpolation inter-langue n’est effectuée. Une loi n’est déclarée universelle que si elle est vérifiée indépendamment dans les deux langues (M1).</w:t>
      </w:r>
    </w:p>
    <w:p>
      <w:pPr>
        <w:pStyle w:val="Heading2"/>
        <w:spacing w:after="160" w:before="300"/>
      </w:pPr>
      <w:r>
        <w:rPr>
          <w:rFonts w:ascii="Cambria" w:cs="Cambria" w:eastAsia="Cambria" w:hAnsi="Cambria"/>
          <w:b/>
          <w:bCs/>
          <w:color w:val="1A5276"/>
          <w:sz w:val="26"/>
          <w:szCs w:val="26"/>
        </w:rPr>
        <w:t xml:space="preserve">3.5 Axiome A5 — Limite des 42 features</w:t>
      </w:r>
    </w:p>
    <w:p>
      <w:pPr>
        <w:pBdr>
          <w:left w:val="single" w:color="2E75B6" w:sz="8" w:space="8"/>
        </w:pBdr>
        <w:spacing w:after="120" w:before="120" w:line="276"/>
        <w:ind w:left="400" w:right="200"/>
      </w:pPr>
      <w:r>
        <w:rPr>
          <w:rFonts w:ascii="Cambria" w:cs="Cambria" w:eastAsia="Cambria" w:hAnsi="Cambria"/>
          <w:i/>
          <w:iCs/>
          <w:color w:val="1A5276"/>
          <w:sz w:val="21"/>
          <w:szCs w:val="21"/>
        </w:rPr>
        <w:t xml:space="preserve">Les 42 features structurelles sont NÉCESSAIRES mais INSUFFISANTES pour capturer l’intégralité de la qualité littéraire. Le registre maximaliste anglophone (R² = −0.187) démontre l’existence d’une frontière sémantique au-delà de laquelle ces features ne discriminent plus.</w:t>
      </w:r>
    </w:p>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4. Découverte Angostura : le renversement des features</w:t>
      </w:r>
    </w:p>
    <w:p>
      <w:pPr>
        <w:spacing w:after="100" w:line="276"/>
        <w:jc w:val="both"/>
      </w:pPr>
      <w:r>
        <w:rPr>
          <w:rFonts w:ascii="Cambria" w:cs="Cambria" w:eastAsia="Cambria" w:hAnsi="Cambria"/>
          <w:b w:val="false"/>
          <w:bCs w:val="false"/>
          <w:i w:val="false"/>
          <w:iCs w:val="false"/>
          <w:color w:val="1C1C1C"/>
          <w:sz w:val="21"/>
          <w:szCs w:val="21"/>
        </w:rPr>
        <w:t xml:space="preserve">L’audit Angostura a révélé que les features les plus « instables » (coefficient de variation &gt; 1.0) sont les meilleurs prédicteurs de la qualité littéraire, tandis que les features les plus « stables » sont des thermomètres qui ne discriminent rien. On confondait stabilité de mesure et importance causale.</w:t>
      </w:r>
    </w:p>
    <w:p>
      <w:pPr>
        <w:pStyle w:val="Heading2"/>
        <w:spacing w:after="160" w:before="300"/>
      </w:pPr>
      <w:r>
        <w:rPr>
          <w:rFonts w:ascii="Cambria" w:cs="Cambria" w:eastAsia="Cambria" w:hAnsi="Cambria"/>
          <w:b/>
          <w:bCs/>
          <w:color w:val="1A5276"/>
          <w:sz w:val="26"/>
          <w:szCs w:val="26"/>
        </w:rPr>
        <w:t xml:space="preserve">4.1 Données brutes — Top 15 FR (141 366 fenêtres, R² = 0.297)</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700"/>
        <w:gridCol w:w="1000"/>
        <w:gridCol w:w="1200"/>
        <w:gridCol w:w="1400"/>
      </w:tblGrid>
      <w:tr>
        <w:tc>
          <w:tcPr>
            <w:tcW w:type="dxa" w:w="7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Rang</w:t>
            </w:r>
          </w:p>
        </w:tc>
        <w:tc>
          <w:tcPr>
            <w:tcW w:type="dxa" w:w="2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Feature</w:t>
            </w:r>
          </w:p>
        </w:tc>
        <w:tc>
          <w:tcPr>
            <w:tcW w:type="dxa" w:w="17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Perm. Importance</w:t>
            </w:r>
          </w:p>
        </w:tc>
        <w:tc>
          <w:tcPr>
            <w:tcW w:type="dxa" w:w="1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 std</w:t>
            </w:r>
          </w:p>
        </w:tc>
        <w:tc>
          <w:tcPr>
            <w:tcW w:type="dxa" w:w="1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CV @500w</w:t>
            </w:r>
          </w:p>
        </w:tc>
        <w:tc>
          <w:tcPr>
            <w:tcW w:type="dxa" w:w="1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Ancien statut</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semicolon_count</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0.4157</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0.0015</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&gt;1.0</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Instable</w:t>
            </w:r>
          </w:p>
        </w:tc>
      </w:tr>
      <w:tr>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dash_count</w:t>
            </w:r>
          </w:p>
        </w:tc>
        <w:tc>
          <w:tcPr>
            <w:tcW w:type="dxa" w:w="1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0.2130</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0.0012</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&gt;1.0</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Instable</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excl_count</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0.0763</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0.0007</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&gt;1.0</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Instable</w:t>
            </w:r>
          </w:p>
        </w:tc>
      </w:tr>
      <w:tr>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4</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dialogue_ratio</w:t>
            </w:r>
          </w:p>
        </w:tc>
        <w:tc>
          <w:tcPr>
            <w:tcW w:type="dxa" w:w="1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0.0698</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0.0006</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&gt;2.0</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Instable</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colon_count</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0.0535</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0.0008</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&gt;1.0</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Instable</w:t>
            </w:r>
          </w:p>
        </w:tc>
      </w:tr>
      <w:tr>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6</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f16a_bigram_rarity</w:t>
            </w:r>
          </w:p>
        </w:tc>
        <w:tc>
          <w:tcPr>
            <w:tcW w:type="dxa" w:w="1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0.0472</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0.0008</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0.019</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Stable</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7</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ellipsis_count</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0.0456</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0.0005</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&gt;1.0</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Instable</w:t>
            </w:r>
          </w:p>
        </w:tc>
      </w:tr>
      <w:tr>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8</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std_sent_len</w:t>
            </w:r>
          </w:p>
        </w:tc>
        <w:tc>
          <w:tcPr>
            <w:tcW w:type="dxa" w:w="1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0.0370</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0.0003</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~0.8</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Instable</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9</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f1a_rhythm_variance</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0.0359</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0.0003</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0.776</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Instable</w:t>
            </w:r>
          </w:p>
        </w:tc>
      </w:tr>
      <w:tr>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10</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sub_per_sentence</w:t>
            </w:r>
          </w:p>
        </w:tc>
        <w:tc>
          <w:tcPr>
            <w:tcW w:type="dxa" w:w="1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0.0282</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0.0003</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0.879</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Instable</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r>
      <w:tr>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24</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f29d_ttr_score</w:t>
            </w:r>
          </w:p>
        </w:tc>
        <w:tc>
          <w:tcPr>
            <w:tcW w:type="dxa" w:w="1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0.0027</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0.0001</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0.033</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Stable</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32</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f35c_hook_score</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0.0004</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0.0000</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0.343</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Stable</w:t>
            </w:r>
          </w:p>
        </w:tc>
      </w:tr>
      <w:tr>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37</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f36c_cliff_score</w:t>
            </w:r>
          </w:p>
        </w:tc>
        <w:tc>
          <w:tcPr>
            <w:tcW w:type="dxa" w:w="1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0.0002</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0.0000</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0.155</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Stable</w:t>
            </w:r>
          </w:p>
        </w:tc>
      </w:tr>
    </w:tbl>
    <w:p>
      <w:pPr>
        <w:pStyle w:val="Heading2"/>
        <w:spacing w:after="160" w:before="300"/>
      </w:pPr>
      <w:r>
        <w:rPr>
          <w:rFonts w:ascii="Cambria" w:cs="Cambria" w:eastAsia="Cambria" w:hAnsi="Cambria"/>
          <w:b/>
          <w:bCs/>
          <w:color w:val="1A5276"/>
          <w:sz w:val="26"/>
          <w:szCs w:val="26"/>
        </w:rPr>
        <w:t xml:space="preserve">4.2 Données brutes — Top 15 EN (267 651 fenêtres, R² = 0.101)</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1200"/>
      </w:tblGrid>
      <w:tr>
        <w:tc>
          <w:tcPr>
            <w:tcW w:type="dxa" w:w="7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Rang</w:t>
            </w:r>
          </w:p>
        </w:tc>
        <w:tc>
          <w:tcPr>
            <w:tcW w:type="dxa" w:w="28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Feature</w:t>
            </w:r>
          </w:p>
        </w:tc>
        <w:tc>
          <w:tcPr>
            <w:tcW w:type="dxa" w:w="2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Perm. Importance</w:t>
            </w:r>
          </w:p>
        </w:tc>
        <w:tc>
          <w:tcPr>
            <w:tcW w:type="dxa" w:w="1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 std</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f1a_rhythm_variance</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0.0936</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0.0004</w:t>
            </w:r>
          </w:p>
        </w:tc>
      </w:tr>
      <w:tr>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w:t>
            </w:r>
          </w:p>
        </w:tc>
        <w:tc>
          <w:tcPr>
            <w:tcW w:type="dxa" w:w="2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std_sent_len</w:t>
            </w:r>
          </w:p>
        </w:tc>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0.0835</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0.0004</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f16a_bigram_rarity</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0.0777</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0.0004</w:t>
            </w:r>
          </w:p>
        </w:tc>
      </w:tr>
      <w:tr>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4</w:t>
            </w:r>
          </w:p>
        </w:tc>
        <w:tc>
          <w:tcPr>
            <w:tcW w:type="dxa" w:w="2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ellipsis_count</w:t>
            </w:r>
          </w:p>
        </w:tc>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0.0687</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0.0006</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semicolon_count</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0.0581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0.0003</w:t>
            </w:r>
          </w:p>
        </w:tc>
      </w:tr>
      <w:tr>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6</w:t>
            </w:r>
          </w:p>
        </w:tc>
        <w:tc>
          <w:tcPr>
            <w:tcW w:type="dxa" w:w="2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dialogue_ratio</w:t>
            </w:r>
          </w:p>
        </w:tc>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0.0557</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0.0005</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7</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dash_count</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0.0357</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0.0002</w:t>
            </w:r>
          </w:p>
        </w:tc>
      </w:tr>
      <w:tr>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8</w:t>
            </w:r>
          </w:p>
        </w:tc>
        <w:tc>
          <w:tcPr>
            <w:tcW w:type="dxa" w:w="2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excl_count</w:t>
            </w:r>
          </w:p>
        </w:tc>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0.0333</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0.0003</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9</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f9a_contradiction_rate</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0.0260</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0.0003</w:t>
            </w:r>
          </w:p>
        </w:tc>
      </w:tr>
      <w:tr>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10</w:t>
            </w:r>
          </w:p>
        </w:tc>
        <w:tc>
          <w:tcPr>
            <w:tcW w:type="dxa" w:w="2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colon_count</w:t>
            </w:r>
          </w:p>
        </w:tc>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0.0212</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0.0002</w:t>
            </w:r>
          </w:p>
        </w:tc>
      </w:tr>
    </w:tbl>
    <w:p>
      <w:pPr>
        <w:pStyle w:val="Heading2"/>
        <w:spacing w:after="160" w:before="300"/>
      </w:pPr>
      <w:r>
        <w:rPr>
          <w:rFonts w:ascii="Cambria" w:cs="Cambria" w:eastAsia="Cambria" w:hAnsi="Cambria"/>
          <w:b/>
          <w:bCs/>
          <w:color w:val="1A5276"/>
          <w:sz w:val="26"/>
          <w:szCs w:val="26"/>
        </w:rPr>
        <w:t xml:space="preserve">4.3 Équation fondamentale</w:t>
      </w:r>
    </w:p>
    <w:p>
      <w:pPr>
        <w:spacing w:after="100" w:line="276"/>
        <w:jc w:val="both"/>
      </w:pPr>
      <w:r>
        <w:rPr>
          <w:rFonts w:ascii="Cambria" w:cs="Cambria" w:eastAsia="Cambria" w:hAnsi="Cambria"/>
          <w:b w:val="false"/>
          <w:bCs w:val="false"/>
          <w:i w:val="false"/>
          <w:iCs w:val="false"/>
          <w:color w:val="1C1C1C"/>
          <w:sz w:val="21"/>
          <w:szCs w:val="21"/>
        </w:rPr>
        <w:t xml:space="preserve">Le tableau révèle une équation d’asymétrie FR/EN :</w:t>
      </w:r>
    </w:p>
    <w:p>
      <w:pPr>
        <w:shd w:fill="F2F3F4" w:val="clear"/>
        <w:spacing w:after="120" w:before="120"/>
        <w:ind w:left="600" w:right="600"/>
        <w:jc w:val="center"/>
      </w:pPr>
      <w:r>
        <w:rPr>
          <w:rFonts w:ascii="Consolas" w:cs="Consolas" w:eastAsia="Consolas" w:hAnsi="Consolas"/>
          <w:color w:val="1B2A4A"/>
          <w:sz w:val="20"/>
          <w:szCs w:val="20"/>
        </w:rPr>
        <w:t xml:space="preserve">Importance_FR(semicolon) / Importance_EN(semicolon) = 0.416 / 0.058 = 7.2×</w:t>
      </w:r>
    </w:p>
    <w:p>
      <w:pPr>
        <w:shd w:fill="F2F3F4" w:val="clear"/>
        <w:spacing w:after="120" w:before="120"/>
        <w:ind w:left="600" w:right="600"/>
        <w:jc w:val="center"/>
      </w:pPr>
      <w:r>
        <w:rPr>
          <w:rFonts w:ascii="Consolas" w:cs="Consolas" w:eastAsia="Consolas" w:hAnsi="Consolas"/>
          <w:color w:val="1B2A4A"/>
          <w:sz w:val="20"/>
          <w:szCs w:val="20"/>
        </w:rPr>
        <w:t xml:space="preserve">Importance_EN(f1a_rhythm) / Importance_FR(f1a_rhythm) = 0.094 / 0.036 = 2.6×</w:t>
      </w:r>
    </w:p>
    <w:p>
      <w:pPr>
        <w:spacing w:after="100" w:line="276"/>
        <w:jc w:val="both"/>
      </w:pPr>
      <w:r>
        <w:rPr>
          <w:rFonts w:ascii="Cambria" w:cs="Cambria" w:eastAsia="Cambria" w:hAnsi="Cambria"/>
          <w:b w:val="false"/>
          <w:bCs w:val="false"/>
          <w:i w:val="false"/>
          <w:iCs w:val="false"/>
          <w:color w:val="1C1C1C"/>
          <w:sz w:val="21"/>
          <w:szCs w:val="21"/>
        </w:rPr>
        <w:t xml:space="preserve">Le rapport d’asymétrie 7.2× pour le point-virgule prouve son caractère culturellement spécifique.</w:t>
      </w:r>
    </w:p>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5. Hiérarchie multi-échelle</w:t>
      </w:r>
    </w:p>
    <w:p>
      <w:pPr>
        <w:spacing w:after="100" w:line="276"/>
        <w:jc w:val="both"/>
      </w:pPr>
      <w:r>
        <w:rPr>
          <w:rFonts w:ascii="Cambria" w:cs="Cambria" w:eastAsia="Cambria" w:hAnsi="Cambria"/>
          <w:b w:val="false"/>
          <w:bCs w:val="false"/>
          <w:i w:val="false"/>
          <w:iCs w:val="false"/>
          <w:color w:val="1C1C1C"/>
          <w:sz w:val="21"/>
          <w:szCs w:val="21"/>
        </w:rPr>
        <w:t xml:space="preserve">L’importance des features change avec la taille de la fenêtre d’analyse. Ce phénomène est confirmé dans les deux langues.</w:t>
      </w:r>
    </w:p>
    <w:p>
      <w:pPr>
        <w:pStyle w:val="Heading2"/>
        <w:spacing w:after="160" w:before="300"/>
      </w:pPr>
      <w:r>
        <w:rPr>
          <w:rFonts w:ascii="Cambria" w:cs="Cambria" w:eastAsia="Cambria" w:hAnsi="Cambria"/>
          <w:b/>
          <w:bCs/>
          <w:color w:val="1A5276"/>
          <w:sz w:val="26"/>
          <w:szCs w:val="26"/>
        </w:rPr>
        <w:t xml:space="preserve">5.1 R² par taille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200"/>
        <w:gridCol w:w="1000"/>
        <w:gridCol w:w="2200"/>
        <w:gridCol w:w="1200"/>
      </w:tblGrid>
      <w:tr>
        <w:tc>
          <w:tcPr>
            <w:tcW w:type="dxa" w:w="1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Taille</w:t>
            </w:r>
          </w:p>
        </w:tc>
        <w:tc>
          <w:tcPr>
            <w:tcW w:type="dxa" w:w="1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R² FR</w:t>
            </w:r>
          </w:p>
        </w:tc>
        <w:tc>
          <w:tcPr>
            <w:tcW w:type="dxa" w:w="2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Top 1 FR</w:t>
            </w:r>
          </w:p>
        </w:tc>
        <w:tc>
          <w:tcPr>
            <w:tcW w:type="dxa" w:w="1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R² EN</w:t>
            </w:r>
          </w:p>
        </w:tc>
        <w:tc>
          <w:tcPr>
            <w:tcW w:type="dxa" w:w="2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Top 1 EN</w:t>
            </w:r>
          </w:p>
        </w:tc>
        <w:tc>
          <w:tcPr>
            <w:tcW w:type="dxa" w:w="1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Ratio FR/EN</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200 mots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0.203</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semicolon (0.249)</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0.066</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sentence_count (0.091)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3.1×</w:t>
            </w:r>
          </w:p>
        </w:tc>
      </w:tr>
      <w:tr>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500 mots</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0.297</w:t>
            </w:r>
          </w:p>
        </w:tc>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semicolon (0.416)</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0.101</w:t>
            </w:r>
          </w:p>
        </w:tc>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f1a_rhythm (0.094)</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2.9×</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1000 mots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0.342</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semicolon (0.438)</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0.102</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f1a_rhythm (0.108)</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3.4×</w:t>
            </w:r>
          </w:p>
        </w:tc>
      </w:tr>
      <w:tr>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2000 mots</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0.385</w:t>
            </w:r>
          </w:p>
        </w:tc>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semicolon (0.403)</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0.025</w:t>
            </w:r>
          </w:p>
        </w:tc>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f1a_rhythm (0.089)</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15.4×</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3000+ mots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0.519</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f26b (0.241)</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−0.127</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std_para_len (0.169)</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N/A</w:t>
            </w:r>
          </w:p>
        </w:tc>
      </w:tr>
      <w:tr>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5000+ mots</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0.422</w:t>
            </w:r>
          </w:p>
        </w:tc>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f26b (0.225)</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≈0.000</w:t>
            </w:r>
          </w:p>
        </w:tc>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std_para_len (0.193)</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N/A</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Chapitre entier</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0.333</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semicolon (0.277)</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0.059</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std_para_len (0.185)</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5.6×</w:t>
            </w:r>
          </w:p>
        </w:tc>
      </w:tr>
    </w:tbl>
    <w:p>
      <w:pPr>
        <w:pStyle w:val="Heading2"/>
        <w:spacing w:after="160" w:before="300"/>
      </w:pPr>
      <w:r>
        <w:rPr>
          <w:rFonts w:ascii="Cambria" w:cs="Cambria" w:eastAsia="Cambria" w:hAnsi="Cambria"/>
          <w:b/>
          <w:bCs/>
          <w:color w:val="1A5276"/>
          <w:sz w:val="26"/>
          <w:szCs w:val="26"/>
        </w:rPr>
        <w:t xml:space="preserve">5.2 Architecture des étages</w:t>
      </w:r>
    </w:p>
    <w:p>
      <w:pPr>
        <w:spacing w:after="100" w:line="276"/>
        <w:jc w:val="both"/>
      </w:pPr>
      <w:r>
        <w:rPr>
          <w:rFonts w:ascii="Cambria" w:cs="Cambria" w:eastAsia="Cambria" w:hAnsi="Cambria"/>
          <w:b w:val="false"/>
          <w:bCs w:val="false"/>
          <w:i w:val="false"/>
          <w:iCs w:val="false"/>
          <w:color w:val="1C1C1C"/>
          <w:sz w:val="21"/>
          <w:szCs w:val="21"/>
        </w:rPr>
        <w:t xml:space="preserve">Les données révèlent une hiérarchie à 4 étages :</w:t>
      </w:r>
    </w:p>
    <w:p>
      <w:pPr>
        <w:shd w:fill="F2F3F4" w:val="clear"/>
        <w:spacing w:after="120" w:before="120"/>
        <w:ind w:left="600" w:right="600"/>
        <w:jc w:val="center"/>
      </w:pPr>
      <w:r>
        <w:rPr>
          <w:rFonts w:ascii="Consolas" w:cs="Consolas" w:eastAsia="Consolas" w:hAnsi="Consolas"/>
          <w:color w:val="1B2A4A"/>
          <w:sz w:val="20"/>
          <w:szCs w:val="20"/>
        </w:rPr>
        <w:t xml:space="preserve">Étage 0 (Observable/Atomique) : semicolon, dash, excl, colon, ellipsis, dialogue, quest</w:t>
      </w:r>
    </w:p>
    <w:p>
      <w:pPr>
        <w:shd w:fill="F2F3F4" w:val="clear"/>
        <w:spacing w:after="120" w:before="120"/>
        <w:ind w:left="600" w:right="600"/>
        <w:jc w:val="center"/>
      </w:pPr>
      <w:r>
        <w:rPr>
          <w:rFonts w:ascii="Consolas" w:cs="Consolas" w:eastAsia="Consolas" w:hAnsi="Consolas"/>
          <w:color w:val="1B2A4A"/>
          <w:sz w:val="20"/>
          <w:szCs w:val="20"/>
        </w:rPr>
        <w:t xml:space="preserve">Étage 1 (Dérivé/Syntaxique) : mean_sent_len, cv_sent, f1a, knife_rate, f26b, ratio_alt, sub_per_sentence</w:t>
      </w:r>
    </w:p>
    <w:p>
      <w:pPr>
        <w:shd w:fill="F2F3F4" w:val="clear"/>
        <w:spacing w:after="120" w:before="120"/>
        <w:ind w:left="600" w:right="600"/>
        <w:jc w:val="center"/>
      </w:pPr>
      <w:r>
        <w:rPr>
          <w:rFonts w:ascii="Consolas" w:cs="Consolas" w:eastAsia="Consolas" w:hAnsi="Consolas"/>
          <w:color w:val="1B2A4A"/>
          <w:sz w:val="20"/>
          <w:szCs w:val="20"/>
        </w:rPr>
        <w:t xml:space="preserve">Étage 2 (Régime/Structurel) : f26b+ratio_alt (régime ample), knife+f17 (régime percutant)</w:t>
      </w:r>
    </w:p>
    <w:p>
      <w:pPr>
        <w:shd w:fill="F2F3F4" w:val="clear"/>
        <w:spacing w:after="120" w:before="120"/>
        <w:ind w:left="600" w:right="600"/>
        <w:jc w:val="center"/>
      </w:pPr>
      <w:r>
        <w:rPr>
          <w:rFonts w:ascii="Consolas" w:cs="Consolas" w:eastAsia="Consolas" w:hAnsi="Consolas"/>
          <w:color w:val="1B2A4A"/>
          <w:sz w:val="20"/>
          <w:szCs w:val="20"/>
        </w:rPr>
        <w:t xml:space="preserve">Étage 3 (Macro/Paragraphe) : mean_para_len, std_para_len, cv_para</w:t>
      </w:r>
    </w:p>
    <w:p>
      <w:pPr>
        <w:spacing w:after="100" w:line="276"/>
        <w:jc w:val="both"/>
      </w:pPr>
      <w:r>
        <w:rPr>
          <w:rFonts w:ascii="Cambria" w:cs="Cambria" w:eastAsia="Cambria" w:hAnsi="Cambria"/>
          <w:b w:val="false"/>
          <w:bCs w:val="false"/>
          <w:i w:val="false"/>
          <w:iCs w:val="false"/>
          <w:color w:val="1C1C1C"/>
          <w:sz w:val="21"/>
          <w:szCs w:val="21"/>
        </w:rPr>
        <w:t xml:space="preserve">La transition entre étages est confirmée empiriquement : semicolon domine à ≤2000w mais recule à #4–5 au-delà de 3000w, où f26b et mean_para_len prennent le relais.</w:t>
      </w:r>
    </w:p>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6. Inter-relations et équations de proportionnalité</w:t>
      </w:r>
    </w:p>
    <w:p>
      <w:pPr>
        <w:pStyle w:val="Heading2"/>
        <w:spacing w:after="160" w:before="300"/>
      </w:pPr>
      <w:r>
        <w:rPr>
          <w:rFonts w:ascii="Cambria" w:cs="Cambria" w:eastAsia="Cambria" w:hAnsi="Cambria"/>
          <w:b/>
          <w:bCs/>
          <w:color w:val="1A5276"/>
          <w:sz w:val="26"/>
          <w:szCs w:val="26"/>
        </w:rPr>
        <w:t xml:space="preserve">6.1 Matrice d’élasticité (FR, 500w)</w:t>
      </w:r>
    </w:p>
    <w:p>
      <w:pPr>
        <w:spacing w:after="100" w:line="276"/>
        <w:jc w:val="both"/>
      </w:pPr>
      <w:r>
        <w:rPr>
          <w:rFonts w:ascii="Cambria" w:cs="Cambria" w:eastAsia="Cambria" w:hAnsi="Cambria"/>
          <w:b w:val="false"/>
          <w:bCs w:val="false"/>
          <w:i w:val="false"/>
          <w:iCs w:val="false"/>
          <w:color w:val="1C1C1C"/>
          <w:sz w:val="21"/>
          <w:szCs w:val="21"/>
        </w:rPr>
        <w:t xml:space="preserve">Quand la feature X monte de +1 écart-type (σ), de combien bouge la feature Y (β standardisé)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1400"/>
        <w:gridCol w:w="1400"/>
      </w:tblGrid>
      <w:tr>
        <w:tc>
          <w:tcPr>
            <w:tcW w:type="dxa" w:w="2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Cible ↓ / Source →</w:t>
            </w:r>
          </w:p>
        </w:tc>
        <w:tc>
          <w:tcPr>
            <w:tcW w:type="dxa" w:w="1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semicolon</w:t>
            </w:r>
          </w:p>
        </w:tc>
        <w:tc>
          <w:tcPr>
            <w:tcW w:type="dxa" w:w="1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dash</w:t>
            </w:r>
          </w:p>
        </w:tc>
        <w:tc>
          <w:tcPr>
            <w:tcW w:type="dxa" w:w="1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excl</w:t>
            </w:r>
          </w:p>
        </w:tc>
        <w:tc>
          <w:tcPr>
            <w:tcW w:type="dxa" w:w="1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dialogue</w:t>
            </w:r>
          </w:p>
        </w:tc>
        <w:tc>
          <w:tcPr>
            <w:tcW w:type="dxa" w:w="1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f1a_rhythm</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f26b_long_sent_rate</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+0.326</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−0.321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−0.147</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−0.089</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+0.619</w:t>
            </w:r>
          </w:p>
        </w:tc>
      </w:tr>
      <w:tr>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mean_sent_len</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+0.299</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−0.355</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−0.177</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−0.048</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+0.850</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cv_sent</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+0.189</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−0.028</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+0.180</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+0.062</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+0.513</w:t>
            </w:r>
          </w:p>
        </w:tc>
      </w:tr>
      <w:tr>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knife_rate</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−0.241</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+0.541</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+0.340</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+0.239</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−0.266</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ratio_alt</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+0.249</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−0.289</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−0.013</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−0.117</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+0.320</w:t>
            </w:r>
          </w:p>
        </w:tc>
      </w:tr>
      <w:tr>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sub_per_sentence</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+0.153</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−0.233</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−0.173</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−0.044</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+0.639</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f17_knife_count</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−0.262</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+0.557</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+0.303</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+0.220</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−0.306</w:t>
            </w:r>
          </w:p>
        </w:tc>
      </w:tr>
      <w:tr>
        <w:tc>
          <w:tcPr>
            <w:tcW w:type="dxa" w:w="2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f24c_contrast_delta</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+0.361</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−0.405</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−0.107</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−0.183</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+0.429</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f35c_hook_score</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−0.192</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+0.386</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+0.298</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+0.166</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−0.337</w:t>
            </w:r>
          </w:p>
        </w:tc>
      </w:tr>
    </w:tbl>
    <w:p>
      <w:pPr>
        <w:pStyle w:val="Heading2"/>
        <w:spacing w:after="160" w:before="300"/>
      </w:pPr>
      <w:r>
        <w:rPr>
          <w:rFonts w:ascii="Cambria" w:cs="Cambria" w:eastAsia="Cambria" w:hAnsi="Cambria"/>
          <w:b/>
          <w:bCs/>
          <w:color w:val="1A5276"/>
          <w:sz w:val="26"/>
          <w:szCs w:val="26"/>
        </w:rPr>
        <w:t xml:space="preserve">6.2 Équations de proportionnalité (P25→P75 Tier S FR)</w:t>
      </w:r>
    </w:p>
    <w:p>
      <w:pPr>
        <w:pStyle w:val="Heading3"/>
        <w:spacing w:after="120" w:before="200"/>
      </w:pPr>
      <w:r>
        <w:rPr>
          <w:rFonts w:ascii="Calibri" w:cs="Calibri" w:eastAsia="Calibri" w:hAnsi="Calibri"/>
          <w:b/>
          <w:bCs/>
          <w:color w:val="1B2A4A"/>
          <w:sz w:val="22"/>
          <w:szCs w:val="22"/>
        </w:rPr>
        <w:t xml:space="preserve">sub_per_sentence (P25=0.49 → P75=1.03)</w:t>
      </w:r>
    </w:p>
    <w:p>
      <w:pPr>
        <w:shd w:fill="F2F3F4" w:val="clear"/>
        <w:spacing w:after="120" w:before="120"/>
        <w:ind w:left="600" w:right="600"/>
        <w:jc w:val="center"/>
      </w:pPr>
      <w:r>
        <w:rPr>
          <w:rFonts w:ascii="Consolas" w:cs="Consolas" w:eastAsia="Consolas" w:hAnsi="Consolas"/>
          <w:color w:val="1B2A4A"/>
          <w:sz w:val="20"/>
          <w:szCs w:val="20"/>
        </w:rPr>
        <w:t xml:space="preserve">f26b : +205% | mean_sent : +56% | knife_rate : −49% | f17 : −67% | f24c : +38%</w:t>
      </w:r>
    </w:p>
    <w:p>
      <w:pPr>
        <w:spacing w:after="100" w:line="276"/>
        <w:jc w:val="both"/>
      </w:pPr>
      <w:r>
        <w:rPr>
          <w:rFonts w:ascii="Cambria" w:cs="Cambria" w:eastAsia="Cambria" w:hAnsi="Cambria"/>
          <w:b w:val="false"/>
          <w:bCs w:val="false"/>
          <w:i w:val="false"/>
          <w:iCs w:val="false"/>
          <w:color w:val="1C1C1C"/>
          <w:sz w:val="21"/>
          <w:szCs w:val="21"/>
        </w:rPr>
        <w:t xml:space="preserve">La subordination est le méga-levier : quand elle double, les phrases longues triplent.</w:t>
      </w:r>
    </w:p>
    <w:p>
      <w:pPr>
        <w:pStyle w:val="Heading3"/>
        <w:spacing w:after="120" w:before="200"/>
      </w:pPr>
      <w:r>
        <w:rPr>
          <w:rFonts w:ascii="Calibri" w:cs="Calibri" w:eastAsia="Calibri" w:hAnsi="Calibri"/>
          <w:b/>
          <w:bCs/>
          <w:color w:val="1B2A4A"/>
          <w:sz w:val="22"/>
          <w:szCs w:val="22"/>
        </w:rPr>
        <w:t xml:space="preserve">semicolon_count (P25=1 → P75=5)</w:t>
      </w:r>
    </w:p>
    <w:p>
      <w:pPr>
        <w:shd w:fill="F2F3F4" w:val="clear"/>
        <w:spacing w:after="120" w:before="120"/>
        <w:ind w:left="600" w:right="600"/>
        <w:jc w:val="center"/>
      </w:pPr>
      <w:r>
        <w:rPr>
          <w:rFonts w:ascii="Consolas" w:cs="Consolas" w:eastAsia="Consolas" w:hAnsi="Consolas"/>
          <w:color w:val="1B2A4A"/>
          <w:sz w:val="20"/>
          <w:szCs w:val="20"/>
        </w:rPr>
        <w:t xml:space="preserve">f26b : +54% | mean_sent : +16% | knife_rate : −22% | f17 : −38% | ratio_alt : +24%</w:t>
      </w:r>
    </w:p>
    <w:p>
      <w:pPr>
        <w:pStyle w:val="Heading3"/>
        <w:spacing w:after="120" w:before="200"/>
      </w:pPr>
      <w:r>
        <w:rPr>
          <w:rFonts w:ascii="Calibri" w:cs="Calibri" w:eastAsia="Calibri" w:hAnsi="Calibri"/>
          <w:b/>
          <w:bCs/>
          <w:color w:val="1B2A4A"/>
          <w:sz w:val="22"/>
          <w:szCs w:val="22"/>
        </w:rPr>
        <w:t xml:space="preserve">f1a_rhythm_variance (P25=9.7 → P75=16.3)</w:t>
      </w:r>
    </w:p>
    <w:p>
      <w:pPr>
        <w:shd w:fill="F2F3F4" w:val="clear"/>
        <w:spacing w:after="120" w:before="120"/>
        <w:ind w:left="600" w:right="600"/>
        <w:jc w:val="center"/>
      </w:pPr>
      <w:r>
        <w:rPr>
          <w:rFonts w:ascii="Consolas" w:cs="Consolas" w:eastAsia="Consolas" w:hAnsi="Consolas"/>
          <w:color w:val="1B2A4A"/>
          <w:sz w:val="20"/>
          <w:szCs w:val="20"/>
        </w:rPr>
        <w:t xml:space="preserve">f26b : +540% | mean_sent : +70% | ratio_alt : +116% | f17 : −60% | f24c : +77%</w:t>
      </w:r>
    </w:p>
    <w:p>
      <w:pPr>
        <w:pStyle w:val="Heading2"/>
        <w:spacing w:after="160" w:before="300"/>
      </w:pPr>
      <w:r>
        <w:rPr>
          <w:rFonts w:ascii="Cambria" w:cs="Cambria" w:eastAsia="Cambria" w:hAnsi="Cambria"/>
          <w:b/>
          <w:bCs/>
          <w:color w:val="1A5276"/>
          <w:sz w:val="26"/>
          <w:szCs w:val="26"/>
        </w:rPr>
        <w:t xml:space="preserve">6.3 Les deux blocs antagonistes</w:t>
      </w:r>
    </w:p>
    <w:p>
      <w:pPr>
        <w:spacing w:after="100" w:line="276"/>
        <w:jc w:val="both"/>
      </w:pPr>
      <w:r>
        <w:rPr>
          <w:rFonts w:ascii="Cambria" w:cs="Cambria" w:eastAsia="Cambria" w:hAnsi="Cambria"/>
          <w:b w:val="false"/>
          <w:bCs w:val="false"/>
          <w:i w:val="false"/>
          <w:iCs w:val="false"/>
          <w:color w:val="1C1C1C"/>
          <w:sz w:val="21"/>
          <w:szCs w:val="21"/>
        </w:rPr>
        <w:t xml:space="preserve">Le système littéraire est organisé en deux blocs en tension partielle :</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000"/>
        <w:gridCol w:w="1500"/>
      </w:tblGrid>
      <w:tr>
        <w:tc>
          <w:tcPr>
            <w:tcW w:type="dxa" w:w="1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Bloc</w:t>
            </w:r>
          </w:p>
        </w:tc>
        <w:tc>
          <w:tcPr>
            <w:tcW w:type="dxa" w:w="35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Features</w:t>
            </w:r>
          </w:p>
        </w:tc>
        <w:tc>
          <w:tcPr>
            <w:tcW w:type="dxa" w:w="2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Aide</w:t>
            </w:r>
          </w:p>
        </w:tc>
        <w:tc>
          <w:tcPr>
            <w:tcW w:type="dxa" w:w="15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Nuit</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AMPLE</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semicolon, f26b, sub, f1a, ratio_alt, f24c</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ECC, SII</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IFI</w:t>
            </w:r>
          </w:p>
        </w:tc>
      </w:tr>
      <w:tr>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PERCUTANT</w:t>
            </w:r>
          </w:p>
        </w:tc>
        <w:tc>
          <w:tcPr>
            <w:tcW w:type="dxa" w:w="3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dash, excl, knife, f17, hook, dialogue</w:t>
            </w:r>
          </w:p>
        </w:tc>
        <w:tc>
          <w:tcPr>
            <w:tcW w:type="dxa" w:w="2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IFI, RCI</w:t>
            </w:r>
          </w:p>
        </w:tc>
        <w:tc>
          <w:tcPr>
            <w:tcW w:type="dxa" w:w="1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ECC, SII</w:t>
            </w:r>
          </w:p>
        </w:tc>
      </w:tr>
    </w:tbl>
    <w:p>
      <w:pPr>
        <w:spacing w:after="100" w:line="276"/>
        <w:jc w:val="both"/>
      </w:pPr>
      <w:r>
        <w:rPr>
          <w:rFonts w:ascii="Cambria" w:cs="Cambria" w:eastAsia="Cambria" w:hAnsi="Cambria"/>
          <w:b w:val="false"/>
          <w:bCs w:val="false"/>
          <w:i w:val="false"/>
          <w:iCs w:val="false"/>
          <w:color w:val="1C1C1C"/>
          <w:sz w:val="21"/>
          <w:szCs w:val="21"/>
        </w:rPr>
        <w:t xml:space="preserve">Les Maîtres ne maximisent pas un bloc — ils ALTERNENT. Le coefficient d’interaction négatif (std×f1a = −0.030) prouve l’existence d’un optimum, pas d’un maximum.</w:t>
      </w:r>
    </w:p>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7. Chaînes causales et analyse de médiation</w:t>
      </w:r>
    </w:p>
    <w:p>
      <w:pPr>
        <w:spacing w:after="100" w:line="276"/>
        <w:jc w:val="both"/>
      </w:pPr>
      <w:r>
        <w:rPr>
          <w:rFonts w:ascii="Cambria" w:cs="Cambria" w:eastAsia="Cambria" w:hAnsi="Cambria"/>
          <w:b w:val="false"/>
          <w:bCs w:val="false"/>
          <w:i w:val="false"/>
          <w:iCs w:val="false"/>
          <w:color w:val="1C1C1C"/>
          <w:sz w:val="21"/>
          <w:szCs w:val="21"/>
        </w:rPr>
        <w:t xml:space="preserve">La médiation mesure le pourcentage de l’effet d’une feature source sur le tier qui passe par un médiateur intermédiaire. Une médiation &gt; 100% indique une amplification avec suppression (l’effet direct s’inverse quand on contrôle le médiateur).</w:t>
      </w:r>
    </w:p>
    <w:p>
      <w:pPr>
        <w:pStyle w:val="Heading2"/>
        <w:spacing w:after="160" w:before="300"/>
      </w:pPr>
      <w:r>
        <w:rPr>
          <w:rFonts w:ascii="Cambria" w:cs="Cambria" w:eastAsia="Cambria" w:hAnsi="Cambria"/>
          <w:b/>
          <w:bCs/>
          <w:color w:val="1A5276"/>
          <w:sz w:val="26"/>
          <w:szCs w:val="26"/>
        </w:rPr>
        <w:t xml:space="preserve">7.1 Chaînes de médiation FR et EN (15 chaînes testées)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000"/>
        <w:gridCol w:w="1000"/>
        <w:gridCol w:w="1700"/>
        <w:gridCol w:w="1600"/>
      </w:tblGrid>
      <w:tr>
        <w:tc>
          <w:tcPr>
            <w:tcW w:type="dxa" w:w="5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t>
            </w:r>
          </w:p>
        </w:tc>
        <w:tc>
          <w:tcPr>
            <w:tcW w:type="dxa" w:w="2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Chaîne</w:t>
            </w:r>
          </w:p>
        </w:tc>
        <w:tc>
          <w:tcPr>
            <w:tcW w:type="dxa" w:w="1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Méd. FR</w:t>
            </w:r>
          </w:p>
        </w:tc>
        <w:tc>
          <w:tcPr>
            <w:tcW w:type="dxa" w:w="1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Méd. EN</w:t>
            </w:r>
          </w:p>
        </w:tc>
        <w:tc>
          <w:tcPr>
            <w:tcW w:type="dxa" w:w="17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Type EN</w:t>
            </w:r>
          </w:p>
        </w:tc>
        <w:tc>
          <w:tcPr>
            <w:tcW w:type="dxa" w:w="16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Verdict</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sub → f26b → Tier</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136%</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95%</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AMPLIFICATION</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UNIVERSELLE</w:t>
            </w:r>
          </w:p>
        </w:tc>
      </w:tr>
      <w:tr>
        <w:tc>
          <w:tcPr>
            <w:tcW w:type="dxa" w:w="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sub → mean_sent → Tier</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216%</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110%</w:t>
            </w:r>
          </w:p>
        </w:tc>
        <w:tc>
          <w:tcPr>
            <w:tcW w:type="dxa" w:w="1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AMPLIFICATION</w:t>
            </w:r>
          </w:p>
        </w:tc>
        <w:tc>
          <w:tcPr>
            <w:tcW w:type="dxa" w:w="16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UNIVERSELLE</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semi → f26b → Tier</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17%</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39%</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AMPLIFICATION</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Présente</w:t>
            </w:r>
          </w:p>
        </w:tc>
      </w:tr>
      <w:tr>
        <w:tc>
          <w:tcPr>
            <w:tcW w:type="dxa" w:w="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4</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semi → sub → Tier</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4%</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22%</w:t>
            </w:r>
          </w:p>
        </w:tc>
        <w:tc>
          <w:tcPr>
            <w:tcW w:type="dxa" w:w="1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AMPLIFICATION</w:t>
            </w:r>
          </w:p>
        </w:tc>
        <w:tc>
          <w:tcPr>
            <w:tcW w:type="dxa" w:w="16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Faible FR</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dash → knife → Tier</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7%</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52%</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SUPPRESSION</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Inversée</w:t>
            </w:r>
          </w:p>
        </w:tc>
      </w:tr>
      <w:tr>
        <w:tc>
          <w:tcPr>
            <w:tcW w:type="dxa" w:w="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6</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dash → f17 → Tier</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8%</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32%</w:t>
            </w:r>
          </w:p>
        </w:tc>
        <w:tc>
          <w:tcPr>
            <w:tcW w:type="dxa" w:w="1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SUPPRESSION</w:t>
            </w:r>
          </w:p>
        </w:tc>
        <w:tc>
          <w:tcPr>
            <w:tcW w:type="dxa" w:w="16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Inversée</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7</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excl → mean_sent → Tier</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62%</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200%</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SUPPRESSION</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UNIVERSELLE</w:t>
            </w:r>
          </w:p>
        </w:tc>
      </w:tr>
      <w:tr>
        <w:tc>
          <w:tcPr>
            <w:tcW w:type="dxa" w:w="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8</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excl → f26b → Tier</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54%</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168%</w:t>
            </w:r>
          </w:p>
        </w:tc>
        <w:tc>
          <w:tcPr>
            <w:tcW w:type="dxa" w:w="1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SUPPRESSION</w:t>
            </w:r>
          </w:p>
        </w:tc>
        <w:tc>
          <w:tcPr>
            <w:tcW w:type="dxa" w:w="16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UNIVERSELLE</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9</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f1a → f26b → Tier</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65%</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54%</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AMPLIFICATION</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UNIVERSELLE</w:t>
            </w:r>
          </w:p>
        </w:tc>
      </w:tr>
      <w:tr>
        <w:tc>
          <w:tcPr>
            <w:tcW w:type="dxa" w:w="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10</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f1a → mean_sent → Tier</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106%</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57%</w:t>
            </w:r>
          </w:p>
        </w:tc>
        <w:tc>
          <w:tcPr>
            <w:tcW w:type="dxa" w:w="1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AMPLIFICATION</w:t>
            </w:r>
          </w:p>
        </w:tc>
        <w:tc>
          <w:tcPr>
            <w:tcW w:type="dxa" w:w="16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UNIVERSELLE</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11</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f1a → sub → Tier</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19%</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AMPLIFICATION</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Faible</w:t>
            </w:r>
          </w:p>
        </w:tc>
      </w:tr>
      <w:tr>
        <w:tc>
          <w:tcPr>
            <w:tcW w:type="dxa" w:w="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12</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f16a → ttr → Tier</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10%</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w:t>
            </w:r>
          </w:p>
        </w:tc>
        <w:tc>
          <w:tcPr>
            <w:tcW w:type="dxa" w:w="1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AMPLIFICATION</w:t>
            </w:r>
          </w:p>
        </w:tc>
        <w:tc>
          <w:tcPr>
            <w:tcW w:type="dxa" w:w="16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Marginale</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13</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std → mean_sent → Tier</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106%</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57%</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AMPLIFICATION</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UNIVERSELLE</w:t>
            </w:r>
          </w:p>
        </w:tc>
      </w:tr>
      <w:tr>
        <w:tc>
          <w:tcPr>
            <w:tcW w:type="dxa" w:w="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14</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ellipsis → mean_sent → Tier</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47%</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319%</w:t>
            </w:r>
          </w:p>
        </w:tc>
        <w:tc>
          <w:tcPr>
            <w:tcW w:type="dxa" w:w="1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SUPPRESSION</w:t>
            </w:r>
          </w:p>
        </w:tc>
        <w:tc>
          <w:tcPr>
            <w:tcW w:type="dxa" w:w="16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UNIVERSELLE</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15</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colon → ratio_alt → Tier</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31%</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9%</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AMPLIFICATION</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FR-only</w:t>
            </w:r>
          </w:p>
        </w:tc>
      </w:tr>
    </w:tbl>
    <w:p>
      <w:pPr>
        <w:spacing w:after="100" w:line="276"/>
        <w:jc w:val="both"/>
      </w:pPr>
      <w:r>
        <w:rPr>
          <w:rFonts w:ascii="Cambria" w:cs="Cambria" w:eastAsia="Cambria" w:hAnsi="Cambria"/>
          <w:b/>
          <w:bCs/>
          <w:i w:val="false"/>
          <w:iCs w:val="false"/>
          <w:color w:val="1C1C1C"/>
          <w:sz w:val="21"/>
          <w:szCs w:val="21"/>
        </w:rPr>
        <w:t xml:space="preserve">Résultat clé : </w:t>
      </w:r>
      <w:r>
        <w:rPr>
          <w:rFonts w:ascii="Cambria" w:cs="Cambria" w:eastAsia="Cambria" w:hAnsi="Cambria"/>
          <w:b w:val="false"/>
          <w:bCs w:val="false"/>
          <w:i w:val="false"/>
          <w:iCs w:val="false"/>
          <w:color w:val="1C1C1C"/>
          <w:sz w:val="21"/>
          <w:szCs w:val="21"/>
        </w:rPr>
        <w:t xml:space="preserve">13 chaînes sur 15 ont une médiation &gt; 10% en anglais. Le mécanisme causal est RÉEL dans les deux langues. La chaîne sub → f26b → Tier est quasi-identique (136% FR, 95% EN).</w:t>
      </w:r>
    </w:p>
    <w:p>
      <w:pPr>
        <w:pStyle w:val="Heading2"/>
        <w:spacing w:after="160" w:before="300"/>
      </w:pPr>
      <w:r>
        <w:rPr>
          <w:rFonts w:ascii="Cambria" w:cs="Cambria" w:eastAsia="Cambria" w:hAnsi="Cambria"/>
          <w:b/>
          <w:bCs/>
          <w:color w:val="1A5276"/>
          <w:sz w:val="26"/>
          <w:szCs w:val="26"/>
        </w:rPr>
        <w:t xml:space="preserve">7.2 Équation causale universelle (L37)</w:t>
      </w:r>
    </w:p>
    <w:p>
      <w:pPr>
        <w:shd w:fill="F2F3F4" w:val="clear"/>
        <w:spacing w:after="120" w:before="120"/>
        <w:ind w:left="600" w:right="600"/>
        <w:jc w:val="center"/>
      </w:pPr>
      <w:r>
        <w:rPr>
          <w:rFonts w:ascii="Consolas" w:cs="Consolas" w:eastAsia="Consolas" w:hAnsi="Consolas"/>
          <w:color w:val="1B2A4A"/>
          <w:sz w:val="20"/>
          <w:szCs w:val="20"/>
        </w:rPr>
        <w:t xml:space="preserve">sub_per_sentence → f26b_long_sent_rate → Tier littéraire</w:t>
      </w:r>
    </w:p>
    <w:p>
      <w:pPr>
        <w:shd w:fill="F2F3F4" w:val="clear"/>
        <w:spacing w:after="120" w:before="120"/>
        <w:ind w:left="600" w:right="600"/>
        <w:jc w:val="center"/>
      </w:pPr>
      <w:r>
        <w:rPr>
          <w:rFonts w:ascii="Consolas" w:cs="Consolas" w:eastAsia="Consolas" w:hAnsi="Consolas"/>
          <w:color w:val="1B2A4A"/>
          <w:sz w:val="20"/>
          <w:szCs w:val="20"/>
        </w:rPr>
        <w:t xml:space="preserve">Médiation FR = 136% (amplification + suppression)</w:t>
      </w:r>
    </w:p>
    <w:p>
      <w:pPr>
        <w:shd w:fill="F2F3F4" w:val="clear"/>
        <w:spacing w:after="120" w:before="120"/>
        <w:ind w:left="600" w:right="600"/>
        <w:jc w:val="center"/>
      </w:pPr>
      <w:r>
        <w:rPr>
          <w:rFonts w:ascii="Consolas" w:cs="Consolas" w:eastAsia="Consolas" w:hAnsi="Consolas"/>
          <w:color w:val="1B2A4A"/>
          <w:sz w:val="20"/>
          <w:szCs w:val="20"/>
        </w:rPr>
        <w:t xml:space="preserve">Médiation EN = 95% (amplification)</w:t>
      </w:r>
    </w:p>
    <w:p>
      <w:pPr>
        <w:shd w:fill="F2F3F4" w:val="clear"/>
        <w:spacing w:after="120" w:before="120"/>
        <w:ind w:left="600" w:right="600"/>
        <w:jc w:val="center"/>
      </w:pPr>
      <w:r>
        <w:rPr>
          <w:rFonts w:ascii="Consolas" w:cs="Consolas" w:eastAsia="Consolas" w:hAnsi="Consolas"/>
          <w:color w:val="1B2A4A"/>
          <w:sz w:val="20"/>
          <w:szCs w:val="20"/>
        </w:rPr>
        <w:t xml:space="preserve">Robustesse V6 : 114–194% après retrait de chaque auteur majeur</w:t>
      </w:r>
    </w:p>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8. Analyse comparative bilingue FR vs EN</w:t>
      </w:r>
    </w:p>
    <w:p>
      <w:pPr>
        <w:pStyle w:val="Heading2"/>
        <w:spacing w:after="160" w:before="300"/>
      </w:pPr>
      <w:r>
        <w:rPr>
          <w:rFonts w:ascii="Cambria" w:cs="Cambria" w:eastAsia="Cambria" w:hAnsi="Cambria"/>
          <w:b/>
          <w:bCs/>
          <w:color w:val="1A5276"/>
          <w:sz w:val="26"/>
          <w:szCs w:val="26"/>
        </w:rPr>
        <w:t xml:space="preserve">8.1 Comparaison directe des drivers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000"/>
        <w:gridCol w:w="1000"/>
        <w:gridCol w:w="1000"/>
        <w:gridCol w:w="900"/>
        <w:gridCol w:w="1200"/>
      </w:tblGrid>
      <w:tr>
        <w:tc>
          <w:tcPr>
            <w:tcW w:type="dxa" w:w="2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Feature</w:t>
            </w:r>
          </w:p>
        </w:tc>
        <w:tc>
          <w:tcPr>
            <w:tcW w:type="dxa" w:w="9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Rang FR</w:t>
            </w:r>
          </w:p>
        </w:tc>
        <w:tc>
          <w:tcPr>
            <w:tcW w:type="dxa" w:w="1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Perm FR</w:t>
            </w:r>
          </w:p>
        </w:tc>
        <w:tc>
          <w:tcPr>
            <w:tcW w:type="dxa" w:w="1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Rang EN</w:t>
            </w:r>
          </w:p>
        </w:tc>
        <w:tc>
          <w:tcPr>
            <w:tcW w:type="dxa" w:w="1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Perm EN</w:t>
            </w:r>
          </w:p>
        </w:tc>
        <w:tc>
          <w:tcPr>
            <w:tcW w:type="dxa" w:w="9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Ratio</w:t>
            </w:r>
          </w:p>
        </w:tc>
        <w:tc>
          <w:tcPr>
            <w:tcW w:type="dxa" w:w="1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Divergence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semicolon_count</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0.416</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0.058</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7.2×</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FORTE</w:t>
            </w:r>
          </w:p>
        </w:tc>
      </w:tr>
      <w:tr>
        <w:tc>
          <w:tcPr>
            <w:tcW w:type="dxa" w:w="2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dash_count</w:t>
            </w:r>
          </w:p>
        </w:tc>
        <w:tc>
          <w:tcPr>
            <w:tcW w:type="dxa" w:w="9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0.213</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7</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0.036</w:t>
            </w:r>
          </w:p>
        </w:tc>
        <w:tc>
          <w:tcPr>
            <w:tcW w:type="dxa" w:w="9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5.9×</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FORTE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f1a_rhythm_variance</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9</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0.036</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0.094</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0.4×</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INVERSÉE</w:t>
            </w:r>
          </w:p>
        </w:tc>
      </w:tr>
      <w:tr>
        <w:tc>
          <w:tcPr>
            <w:tcW w:type="dxa" w:w="2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std_sent_len</w:t>
            </w:r>
          </w:p>
        </w:tc>
        <w:tc>
          <w:tcPr>
            <w:tcW w:type="dxa" w:w="9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8</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0.037</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0.084</w:t>
            </w:r>
          </w:p>
        </w:tc>
        <w:tc>
          <w:tcPr>
            <w:tcW w:type="dxa" w:w="9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0.4×</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INVERSÉE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f16a_bigram_rarity</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6</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0.047</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0.078</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0.6×</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MODÉRÉE</w:t>
            </w:r>
          </w:p>
        </w:tc>
      </w:tr>
      <w:tr>
        <w:tc>
          <w:tcPr>
            <w:tcW w:type="dxa" w:w="2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ellipsis_count</w:t>
            </w:r>
          </w:p>
        </w:tc>
        <w:tc>
          <w:tcPr>
            <w:tcW w:type="dxa" w:w="9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7</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0.046</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4</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0.069</w:t>
            </w:r>
          </w:p>
        </w:tc>
        <w:tc>
          <w:tcPr>
            <w:tcW w:type="dxa" w:w="9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0.7×</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FAIBLE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excl_count</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0.076</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8</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0.033</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2.3×</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MODÉRÉE</w:t>
            </w:r>
          </w:p>
        </w:tc>
      </w:tr>
      <w:tr>
        <w:tc>
          <w:tcPr>
            <w:tcW w:type="dxa" w:w="2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dialogue_ratio</w:t>
            </w:r>
          </w:p>
        </w:tc>
        <w:tc>
          <w:tcPr>
            <w:tcW w:type="dxa" w:w="9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4</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0.070</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6</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0.056</w:t>
            </w:r>
          </w:p>
        </w:tc>
        <w:tc>
          <w:tcPr>
            <w:tcW w:type="dxa" w:w="9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1.3×</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FAIBLE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sub_per_sentence</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0.028</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11</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0.021</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1.3×</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FAIBLE</w:t>
            </w:r>
          </w:p>
        </w:tc>
      </w:tr>
    </w:tbl>
    <w:p>
      <w:pPr>
        <w:pStyle w:val="Heading2"/>
        <w:spacing w:after="160" w:before="300"/>
      </w:pPr>
      <w:r>
        <w:rPr>
          <w:rFonts w:ascii="Cambria" w:cs="Cambria" w:eastAsia="Cambria" w:hAnsi="Cambria"/>
          <w:b/>
          <w:bCs/>
          <w:color w:val="1A5276"/>
          <w:sz w:val="26"/>
          <w:szCs w:val="26"/>
        </w:rPr>
        <w:t xml:space="preserve">8.2 Formulation structurelle</w:t>
      </w:r>
    </w:p>
    <w:p>
      <w:pPr>
        <w:pBdr>
          <w:left w:val="single" w:color="2E75B6" w:sz="8" w:space="8"/>
        </w:pBdr>
        <w:spacing w:after="120" w:before="120" w:line="276"/>
        <w:ind w:left="400" w:right="200"/>
      </w:pPr>
      <w:r>
        <w:rPr>
          <w:rFonts w:ascii="Cambria" w:cs="Cambria" w:eastAsia="Cambria" w:hAnsi="Cambria"/>
          <w:i/>
          <w:iCs/>
          <w:color w:val="1A5276"/>
          <w:sz w:val="21"/>
          <w:szCs w:val="21"/>
        </w:rPr>
        <w:t xml:space="preserve">En français, le signal de qualité est DOMINÉ par des signaux ponctuation-syntaxe : semicolon_count pèse 0.416 (11× la moyenne des features #3–#10). Le modèle est MONOCENTRIQUE.</w:t>
      </w:r>
    </w:p>
    <w:p>
      <w:pPr>
        <w:pBdr>
          <w:left w:val="single" w:color="2E75B6" w:sz="8" w:space="8"/>
        </w:pBdr>
        <w:spacing w:after="120" w:before="120" w:line="276"/>
        <w:ind w:left="400" w:right="200"/>
      </w:pPr>
      <w:r>
        <w:rPr>
          <w:rFonts w:ascii="Cambria" w:cs="Cambria" w:eastAsia="Cambria" w:hAnsi="Cambria"/>
          <w:i/>
          <w:iCs/>
          <w:color w:val="1A5276"/>
          <w:sz w:val="21"/>
          <w:szCs w:val="21"/>
        </w:rPr>
        <w:t xml:space="preserve">En anglais, le signal est DISTRIBUÉ sur le rythme (f1a_rhythm, 0.094), la variance syntaxique (std_sent_len, 0.084) et la rareté lexicale (f16a_bigram, 0.078). Aucun marqueur unique ne domine. Le modèle est POLYCENTRIQUE.</w:t>
      </w:r>
    </w:p>
    <w:p>
      <w:pPr>
        <w:pStyle w:val="Heading2"/>
        <w:spacing w:after="160" w:before="300"/>
      </w:pPr>
      <w:r>
        <w:rPr>
          <w:rFonts w:ascii="Cambria" w:cs="Cambria" w:eastAsia="Cambria" w:hAnsi="Cambria"/>
          <w:b/>
          <w:bCs/>
          <w:color w:val="1A5276"/>
          <w:sz w:val="26"/>
          <w:szCs w:val="26"/>
        </w:rPr>
        <w:t xml:space="preserve">8.3 Corrélations C3 — Interactions par taille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500"/>
        <w:gridCol w:w="1500"/>
        <w:gridCol w:w="1200"/>
      </w:tblGrid>
      <w:tr>
        <w:tc>
          <w:tcPr>
            <w:tcW w:type="dxa" w:w="2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Interaction</w:t>
            </w:r>
          </w:p>
        </w:tc>
        <w:tc>
          <w:tcPr>
            <w:tcW w:type="dxa" w:w="1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ρ @200w FR</w:t>
            </w:r>
          </w:p>
        </w:tc>
        <w:tc>
          <w:tcPr>
            <w:tcW w:type="dxa" w:w="1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ρ @500w FR</w:t>
            </w:r>
          </w:p>
        </w:tc>
        <w:tc>
          <w:tcPr>
            <w:tcW w:type="dxa" w:w="15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ρ @1000w FR</w:t>
            </w:r>
          </w:p>
        </w:tc>
        <w:tc>
          <w:tcPr>
            <w:tcW w:type="dxa" w:w="15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ρ @2000w FR</w:t>
            </w:r>
          </w:p>
        </w:tc>
        <w:tc>
          <w:tcPr>
            <w:tcW w:type="dxa" w:w="1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ρ @500w EN</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std × f1a</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0.397</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0.530</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0.583</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0.599</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0.359</w:t>
            </w:r>
          </w:p>
        </w:tc>
      </w:tr>
      <w:tr>
        <w:tc>
          <w:tcPr>
            <w:tcW w:type="dxa" w:w="2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semi × dash</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1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0.231</w:t>
            </w:r>
          </w:p>
        </w:tc>
        <w:tc>
          <w:tcPr>
            <w:tcW w:type="dxa" w:w="1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1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0.056</w:t>
            </w:r>
          </w:p>
        </w:tc>
      </w:tr>
    </w:tbl>
    <w:p>
      <w:pPr>
        <w:spacing w:after="100" w:line="276"/>
        <w:jc w:val="both"/>
      </w:pPr>
      <w:r>
        <w:rPr>
          <w:rFonts w:ascii="Cambria" w:cs="Cambria" w:eastAsia="Cambria" w:hAnsi="Cambria"/>
          <w:b w:val="false"/>
          <w:bCs w:val="false"/>
          <w:i w:val="false"/>
          <w:iCs w:val="false"/>
          <w:color w:val="1C1C1C"/>
          <w:sz w:val="21"/>
          <w:szCs w:val="21"/>
        </w:rPr>
        <w:t xml:space="preserve">L’interaction std×f1a est positive et significative dans les deux langues. L’interaction semi×dash est francophone uniquement (ρ=0.231 FR vs 0.056 EN).</w:t>
      </w:r>
    </w:p>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9. Bimodalité du Tier S anglophone</w:t>
      </w:r>
    </w:p>
    <w:p>
      <w:pPr>
        <w:spacing w:after="100" w:line="276"/>
        <w:jc w:val="both"/>
      </w:pPr>
      <w:r>
        <w:rPr>
          <w:rFonts w:ascii="Cambria" w:cs="Cambria" w:eastAsia="Cambria" w:hAnsi="Cambria"/>
          <w:b w:val="false"/>
          <w:bCs w:val="false"/>
          <w:i w:val="false"/>
          <w:iCs w:val="false"/>
          <w:color w:val="1C1C1C"/>
          <w:sz w:val="21"/>
          <w:szCs w:val="21"/>
        </w:rPr>
        <w:t xml:space="preserve">Le Tier S anglais contient deux galaxies stylistiques incompatibles, confirmées par clustering K-Means (K=2) et Gaussian Mixture Model sur les fenêtres 500w.</w:t>
      </w:r>
    </w:p>
    <w:p>
      <w:pPr>
        <w:pStyle w:val="Heading2"/>
        <w:spacing w:after="160" w:before="300"/>
      </w:pPr>
      <w:r>
        <w:rPr>
          <w:rFonts w:ascii="Cambria" w:cs="Cambria" w:eastAsia="Cambria" w:hAnsi="Cambria"/>
          <w:b/>
          <w:bCs/>
          <w:color w:val="1A5276"/>
          <w:sz w:val="26"/>
          <w:szCs w:val="26"/>
        </w:rPr>
        <w:t xml:space="preserve">9.1 Profils des deux clusters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000"/>
      </w:tblGrid>
      <w:tr>
        <w:tc>
          <w:tcPr>
            <w:tcW w:type="dxa" w:w="2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Feature</w:t>
            </w:r>
          </w:p>
        </w:tc>
        <w:tc>
          <w:tcPr>
            <w:tcW w:type="dxa" w:w="2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Cluster 0 (COURT/Minimaliste)</w:t>
            </w:r>
          </w:p>
        </w:tc>
        <w:tc>
          <w:tcPr>
            <w:tcW w:type="dxa" w:w="28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Cluster 1 (LONG/Maximaliste)</w:t>
            </w:r>
          </w:p>
        </w:tc>
        <w:tc>
          <w:tcPr>
            <w:tcW w:type="dxa" w:w="1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Ratio</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Fenêtres Tier 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~105 000 (80%)</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~26 000 (20%)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4:1</w:t>
            </w:r>
          </w:p>
        </w:tc>
      </w:tr>
      <w:tr>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mean_sent_len</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19.4 mots</w:t>
            </w:r>
          </w:p>
        </w:tc>
        <w:tc>
          <w:tcPr>
            <w:tcW w:type="dxa" w:w="2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39.7 mots</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2.0×</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f1a_rhythm_variance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13.9</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28.7</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2.1×</w:t>
            </w:r>
          </w:p>
        </w:tc>
      </w:tr>
      <w:tr>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f17_knife_count</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5.1</w:t>
            </w:r>
          </w:p>
        </w:tc>
        <w:tc>
          <w:tcPr>
            <w:tcW w:type="dxa" w:w="2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0.7</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7.3×</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f26b_long_sent_rate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0.09</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0.38</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4.2×</w:t>
            </w:r>
          </w:p>
        </w:tc>
      </w:tr>
      <w:tr>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sub_per_sentence</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0.58</w:t>
            </w:r>
          </w:p>
        </w:tc>
        <w:tc>
          <w:tcPr>
            <w:tcW w:type="dxa" w:w="2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1.55</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2.7×</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Silhouette K=2</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0.249</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r>
    </w:tbl>
    <w:p>
      <w:pPr>
        <w:spacing w:after="100" w:line="276"/>
        <w:jc w:val="both"/>
      </w:pPr>
      <w:r>
        <w:rPr>
          <w:rFonts w:ascii="Cambria" w:cs="Cambria" w:eastAsia="Cambria" w:hAnsi="Cambria"/>
          <w:b/>
          <w:bCs/>
          <w:i w:val="false"/>
          <w:iCs w:val="false"/>
          <w:color w:val="1C1C1C"/>
          <w:sz w:val="21"/>
          <w:szCs w:val="21"/>
        </w:rPr>
        <w:t xml:space="preserve">Interprétation : </w:t>
      </w:r>
      <w:r>
        <w:rPr>
          <w:rFonts w:ascii="Cambria" w:cs="Cambria" w:eastAsia="Cambria" w:hAnsi="Cambria"/>
          <w:b w:val="false"/>
          <w:bCs w:val="false"/>
          <w:i w:val="false"/>
          <w:iCs w:val="false"/>
          <w:color w:val="1C1C1C"/>
          <w:sz w:val="21"/>
          <w:szCs w:val="21"/>
        </w:rPr>
        <w:t xml:space="preserve">Le cluster minimaliste (Hemingway, Carver, Chandler) a des phrases courtes (19.4 mots), beaucoup de découpage (5.1 couteaux) et peu de subordination. Le cluster maximaliste (Faulkner, Pynchon, DFW) a des phrases longues (39.7 mots), presque pas de découpage (0.7) et une subordination complexe (1.55). Ces deux profils sont TOUS DEUX considérés comme du génie (Tier S).</w:t>
      </w:r>
    </w:p>
    <w:p>
      <w:pPr>
        <w:pStyle w:val="Heading2"/>
        <w:spacing w:after="160" w:before="300"/>
      </w:pPr>
      <w:r>
        <w:rPr>
          <w:rFonts w:ascii="Cambria" w:cs="Cambria" w:eastAsia="Cambria" w:hAnsi="Cambria"/>
          <w:b/>
          <w:bCs/>
          <w:color w:val="1A5276"/>
          <w:sz w:val="26"/>
          <w:szCs w:val="26"/>
        </w:rPr>
        <w:t xml:space="preserve">9.2 Impact sur le R²</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000"/>
      </w:tblGrid>
      <w:tr>
        <w:tc>
          <w:tcPr>
            <w:tcW w:type="dxa" w:w="3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Périmètre</w:t>
            </w:r>
          </w:p>
        </w:tc>
        <w:tc>
          <w:tcPr>
            <w:tcW w:type="dxa" w:w="15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R² CV</w:t>
            </w:r>
          </w:p>
        </w:tc>
        <w:tc>
          <w:tcPr>
            <w:tcW w:type="dxa" w:w="4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Observation</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Global EN</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0.087</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Référence</w:t>
            </w:r>
          </w:p>
        </w:tc>
      </w:tr>
      <w:tr>
        <w:tc>
          <w:tcPr>
            <w:tcW w:type="dxa" w:w="3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Cluster 0 (COURT)</w:t>
            </w:r>
          </w:p>
        </w:tc>
        <w:tc>
          <w:tcPr>
            <w:tcW w:type="dxa" w:w="1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0.088</w:t>
            </w:r>
          </w:p>
        </w:tc>
        <w:tc>
          <w:tcPr>
            <w:tcW w:type="dxa" w:w="4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Stable — le modèle fonctionne ici</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Cluster 1 (LONG)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−0.187</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CATASTROPHIQUE — le modèle échoue</w:t>
            </w:r>
          </w:p>
        </w:tc>
      </w:tr>
    </w:tbl>
    <w:p>
      <w:pPr>
        <w:spacing w:after="100" w:line="276"/>
        <w:jc w:val="both"/>
      </w:pPr>
      <w:r>
        <w:rPr>
          <w:rFonts w:ascii="Cambria" w:cs="Cambria" w:eastAsia="Cambria" w:hAnsi="Cambria"/>
          <w:b w:val="false"/>
          <w:bCs w:val="false"/>
          <w:i w:val="false"/>
          <w:iCs w:val="false"/>
          <w:color w:val="1C1C1C"/>
          <w:sz w:val="21"/>
          <w:szCs w:val="21"/>
        </w:rPr>
        <w:t xml:space="preserve">Le R² négatif du Cluster 1 signifie que le modèle fait pire qu’un estimateur constant. Ce résultat PERSISTE même après enrichissement du corpus avec 47 livres maximalistes supplémentaires (708 fenêtres Tier C au lieu de 84).</w:t>
      </w:r>
    </w:p>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10. Le mur sémantique (L38)</w:t>
      </w:r>
    </w:p>
    <w:p>
      <w:pPr>
        <w:spacing w:after="100" w:line="276"/>
        <w:jc w:val="both"/>
      </w:pPr>
      <w:r>
        <w:rPr>
          <w:rFonts w:ascii="Cambria" w:cs="Cambria" w:eastAsia="Cambria" w:hAnsi="Cambria"/>
          <w:b w:val="false"/>
          <w:bCs w:val="false"/>
          <w:i w:val="false"/>
          <w:iCs w:val="false"/>
          <w:color w:val="1C1C1C"/>
          <w:sz w:val="21"/>
          <w:szCs w:val="21"/>
        </w:rPr>
        <w:t xml:space="preserve">La correction du corpus maximaliste (V1 corrigé) a produit le verdict définitif : le R² Cluster 1 passe de −0.308 à −0.187 après enrichissement, mais reste NÉGATIF. Ce n’est pas un artefact d’échantillonnage. C’est une limite structurelle des 42 features.</w:t>
      </w:r>
    </w:p>
    <w:p>
      <w:pPr>
        <w:pStyle w:val="Heading2"/>
        <w:spacing w:after="160" w:before="300"/>
      </w:pPr>
      <w:r>
        <w:rPr>
          <w:rFonts w:ascii="Cambria" w:cs="Cambria" w:eastAsia="Cambria" w:hAnsi="Cambria"/>
          <w:b/>
          <w:bCs/>
          <w:color w:val="1A5276"/>
          <w:sz w:val="26"/>
          <w:szCs w:val="26"/>
        </w:rPr>
        <w:t xml:space="preserve">10.1 Pourquoi les features échouent</w:t>
      </w:r>
    </w:p>
    <w:p>
      <w:pPr>
        <w:spacing w:after="100" w:line="276"/>
        <w:jc w:val="both"/>
      </w:pPr>
      <w:r>
        <w:rPr>
          <w:rFonts w:ascii="Cambria" w:cs="Cambria" w:eastAsia="Cambria" w:hAnsi="Cambria"/>
          <w:b w:val="false"/>
          <w:bCs w:val="false"/>
          <w:i w:val="false"/>
          <w:iCs w:val="false"/>
          <w:color w:val="1C1C1C"/>
          <w:sz w:val="21"/>
          <w:szCs w:val="21"/>
        </w:rPr>
        <w:t xml:space="preserve">Dans le registre maximaliste anglophone, un Robert Jordan fait des phrases aussi longues qu’un William Faulkner, avec autant de subordonnées. Nos features voient la tuyauterie — pas la qualité de l’eau qui y coule. La discrimination dans ce registre nécessite des dimensions que nos 42 features ne capturent pas :</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2400"/>
      </w:tblGrid>
      <w:tr>
        <w:tc>
          <w:tcPr>
            <w:tcW w:type="dxa" w:w="2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Dimension manquante</w:t>
            </w:r>
          </w:p>
        </w:tc>
        <w:tc>
          <w:tcPr>
            <w:tcW w:type="dxa" w:w="35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Ce qu’elle mesurerait</w:t>
            </w:r>
          </w:p>
        </w:tc>
        <w:tc>
          <w:tcPr>
            <w:tcW w:type="dxa" w:w="24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Outil requis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Cohérence métaphorique</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Qualité des associations figuratives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Embeddings / NLP</w:t>
            </w:r>
          </w:p>
        </w:tc>
      </w:tr>
      <w:tr>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Densité informationnelle</w:t>
            </w:r>
          </w:p>
        </w:tc>
        <w:tc>
          <w:tcPr>
            <w:tcW w:type="dxa" w:w="3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Bits d’information par phrase</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Entropie sémantique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Profondeur de focalisation</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Stabilité du point de vue narratif</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Détection NLP</w:t>
            </w:r>
          </w:p>
        </w:tc>
      </w:tr>
      <w:tr>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Tension cumulative</w:t>
            </w:r>
          </w:p>
        </w:tc>
        <w:tc>
          <w:tcPr>
            <w:tcW w:type="dxa" w:w="3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Monteée narrative sur la distance</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Séquencement</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Ironie / sous-texte</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Décalage entre dit et signifié</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Modèle de langue</w:t>
            </w:r>
          </w:p>
        </w:tc>
      </w:tr>
      <w:tr>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Originalité associative</w:t>
            </w:r>
          </w:p>
        </w:tc>
        <w:tc>
          <w:tcPr>
            <w:tcW w:type="dxa" w:w="3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Nouveauté des combinaisons sémantiques</w:t>
            </w:r>
          </w:p>
        </w:tc>
        <w:tc>
          <w:tcPr>
            <w:tcW w:type="dxa" w:w="24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Embeddings</w:t>
            </w:r>
          </w:p>
        </w:tc>
      </w:tr>
    </w:tbl>
    <w:p>
      <w:pPr>
        <w:pStyle w:val="Heading2"/>
        <w:spacing w:after="160" w:before="300"/>
      </w:pPr>
      <w:r>
        <w:rPr>
          <w:rFonts w:ascii="Cambria" w:cs="Cambria" w:eastAsia="Cambria" w:hAnsi="Cambria"/>
          <w:b/>
          <w:bCs/>
          <w:color w:val="1A5276"/>
          <w:sz w:val="26"/>
          <w:szCs w:val="26"/>
        </w:rPr>
        <w:t xml:space="preserve">10.2 Équation de la frontière</w:t>
      </w:r>
    </w:p>
    <w:p>
      <w:pPr>
        <w:shd w:fill="F2F3F4" w:val="clear"/>
        <w:spacing w:after="120" w:before="120"/>
        <w:ind w:left="600" w:right="600"/>
        <w:jc w:val="center"/>
      </w:pPr>
      <w:r>
        <w:rPr>
          <w:rFonts w:ascii="Consolas" w:cs="Consolas" w:eastAsia="Consolas" w:hAnsi="Consolas"/>
          <w:color w:val="1B2A4A"/>
          <w:sz w:val="20"/>
          <w:szCs w:val="20"/>
        </w:rPr>
        <w:t xml:space="preserve">Qualité_perçue = f(Features_structurelles) + g(Features_sémantiques) + ε</w:t>
      </w:r>
    </w:p>
    <w:p>
      <w:pPr>
        <w:shd w:fill="F2F3F4" w:val="clear"/>
        <w:spacing w:after="120" w:before="120"/>
        <w:ind w:left="600" w:right="600"/>
        <w:jc w:val="center"/>
      </w:pPr>
      <w:r>
        <w:rPr>
          <w:rFonts w:ascii="Consolas" w:cs="Consolas" w:eastAsia="Consolas" w:hAnsi="Consolas"/>
          <w:color w:val="1B2A4A"/>
          <w:sz w:val="20"/>
          <w:szCs w:val="20"/>
        </w:rPr>
        <w:t xml:space="preserve">En FR et EN minimaliste : f() domine, g() est résiduel → R² ≥ 0.088</w:t>
      </w:r>
    </w:p>
    <w:p>
      <w:pPr>
        <w:shd w:fill="F2F3F4" w:val="clear"/>
        <w:spacing w:after="120" w:before="120"/>
        <w:ind w:left="600" w:right="600"/>
        <w:jc w:val="center"/>
      </w:pPr>
      <w:r>
        <w:rPr>
          <w:rFonts w:ascii="Consolas" w:cs="Consolas" w:eastAsia="Consolas" w:hAnsi="Consolas"/>
          <w:color w:val="1B2A4A"/>
          <w:sz w:val="20"/>
          <w:szCs w:val="20"/>
        </w:rPr>
        <w:t xml:space="preserve">En EN maximaliste : f() ≈ 0, g() domine → R² &lt; 0 avec 42 features seules</w:t>
      </w:r>
    </w:p>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11. Registre des lois de la physique littéraire</w:t>
      </w:r>
    </w:p>
    <w:p>
      <w:pPr>
        <w:pStyle w:val="Heading2"/>
        <w:spacing w:after="160" w:before="300"/>
      </w:pPr>
      <w:r>
        <w:rPr>
          <w:rFonts w:ascii="Cambria" w:cs="Cambria" w:eastAsia="Cambria" w:hAnsi="Cambria"/>
          <w:b/>
          <w:bCs/>
          <w:color w:val="1A5276"/>
          <w:sz w:val="26"/>
          <w:szCs w:val="26"/>
        </w:rPr>
        <w:t xml:space="preserve">11.1 Grille complète (doctrine M1 appliquée)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700"/>
        <w:gridCol w:w="800"/>
        <w:gridCol w:w="700"/>
        <w:gridCol w:w="900"/>
        <w:gridCol w:w="2100"/>
      </w:tblGrid>
      <w:tr>
        <w:tc>
          <w:tcPr>
            <w:tcW w:type="dxa" w:w="6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Loi</w:t>
            </w:r>
          </w:p>
        </w:tc>
        <w:tc>
          <w:tcPr>
            <w:tcW w:type="dxa" w:w="3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Énoncé</w:t>
            </w:r>
          </w:p>
        </w:tc>
        <w:tc>
          <w:tcPr>
            <w:tcW w:type="dxa" w:w="7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Géo.</w:t>
            </w:r>
          </w:p>
        </w:tc>
        <w:tc>
          <w:tcPr>
            <w:tcW w:type="dxa" w:w="8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Échelle</w:t>
            </w:r>
          </w:p>
        </w:tc>
        <w:tc>
          <w:tcPr>
            <w:tcW w:type="dxa" w:w="7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Auteur</w:t>
            </w:r>
          </w:p>
        </w:tc>
        <w:tc>
          <w:tcPr>
            <w:tcW w:type="dxa" w:w="9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Causalité</w:t>
            </w:r>
          </w:p>
        </w:tc>
        <w:tc>
          <w:tcPr>
            <w:tcW w:type="dxa" w:w="21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Grade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L37</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sub→f26b→Tier : médiation 136% FR + 95% EN</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 V6</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UNIVERSELLE PROUVÉE</w:t>
            </w:r>
          </w:p>
        </w:tc>
      </w:tr>
      <w:tr>
        <w:tc>
          <w:tcPr>
            <w:tcW w:type="dxa" w:w="6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L34</w:t>
            </w:r>
          </w:p>
        </w:tc>
        <w:tc>
          <w:tcPr>
            <w:tcW w:type="dxa" w:w="3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Interaction std×f1a négative FR+EN</w:t>
            </w:r>
          </w:p>
        </w:tc>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9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21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UNIVERSELLE CANDIDATE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L36</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Features macro aux grandes échelles</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UNIVERSELLE CANDIDATE</w:t>
            </w:r>
          </w:p>
        </w:tc>
      </w:tr>
      <w:tr>
        <w:tc>
          <w:tcPr>
            <w:tcW w:type="dxa" w:w="6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L31</w:t>
            </w:r>
          </w:p>
        </w:tc>
        <w:tc>
          <w:tcPr>
            <w:tcW w:type="dxa" w:w="3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semicolon #1 en FR (0.416) vs #5 EN (0.058)</w:t>
            </w:r>
          </w:p>
        </w:tc>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 V6</w:t>
            </w:r>
          </w:p>
        </w:tc>
        <w:tc>
          <w:tcPr>
            <w:tcW w:type="dxa" w:w="9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21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CULTURELLE FR PROUVÉE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L32</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R² monte avec la taille en FR</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CULTURELLE FR</w:t>
            </w:r>
          </w:p>
        </w:tc>
      </w:tr>
      <w:tr>
        <w:tc>
          <w:tcPr>
            <w:tcW w:type="dxa" w:w="6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L33</w:t>
            </w:r>
          </w:p>
        </w:tc>
        <w:tc>
          <w:tcPr>
            <w:tcW w:type="dxa" w:w="3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Interaction semi×dash : ρ=0.23 FR vs 0.06 EN</w:t>
            </w:r>
          </w:p>
        </w:tc>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9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21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CULTURELLE FR PROUVÉE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L35</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Modèle survit au retrait d’auteur FR (V6)</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 V6</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CULTURELLE FR</w:t>
            </w:r>
          </w:p>
        </w:tc>
      </w:tr>
      <w:tr>
        <w:tc>
          <w:tcPr>
            <w:tcW w:type="dxa" w:w="6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L37b</w:t>
            </w:r>
          </w:p>
        </w:tc>
        <w:tc>
          <w:tcPr>
            <w:tcW w:type="dxa" w:w="3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Tier S EN bimodal (silhouette 0.249)</w:t>
            </w:r>
          </w:p>
        </w:tc>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9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21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EN-ONLY DESCRIPTIVE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L38</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42 features insuffisantes pour EN maximaliste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t>
            </w:r>
          </w:p>
        </w:tc>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ZONE NON CLOSE</w:t>
            </w:r>
          </w:p>
        </w:tc>
      </w:tr>
    </w:tbl>
    <w:p>
      <w:pPr>
        <w:pStyle w:val="Heading2"/>
        <w:spacing w:after="160" w:before="300"/>
      </w:pPr>
      <w:r>
        <w:rPr>
          <w:rFonts w:ascii="Cambria" w:cs="Cambria" w:eastAsia="Cambria" w:hAnsi="Cambria"/>
          <w:b/>
          <w:bCs/>
          <w:color w:val="1A5276"/>
          <w:sz w:val="26"/>
          <w:szCs w:val="26"/>
        </w:rPr>
        <w:t xml:space="preserve">11.2 Loi universelle prouvée — L37</w:t>
      </w:r>
    </w:p>
    <w:p>
      <w:pPr>
        <w:pBdr>
          <w:left w:val="single" w:color="2E75B6" w:sz="8" w:space="8"/>
        </w:pBdr>
        <w:spacing w:after="120" w:before="120" w:line="276"/>
        <w:ind w:left="400" w:right="200"/>
      </w:pPr>
      <w:r>
        <w:rPr>
          <w:rFonts w:ascii="Cambria" w:cs="Cambria" w:eastAsia="Cambria" w:hAnsi="Cambria"/>
          <w:i/>
          <w:iCs/>
          <w:color w:val="1A5276"/>
          <w:sz w:val="21"/>
          <w:szCs w:val="21"/>
        </w:rPr>
        <w:t xml:space="preserve">La subordination syntaxique (sub_per_sentence) gouverne le taux de phrases longues (f26b_long_sent_rate), qui médiatise la qualité littéraire perçue. Ce mécanisme est actif en français (médiation 136%) et en anglais (médiation 95%). La chaîne résiste au retrait de tout auteur individuel (V6 : 114–194% après retrait). C’est le seul invariant causal bilingue pleinement vérouillé à ce stade.</w:t>
      </w:r>
    </w:p>
    <w:p>
      <w:pPr>
        <w:pStyle w:val="Heading2"/>
        <w:spacing w:after="160" w:before="300"/>
      </w:pPr>
      <w:r>
        <w:rPr>
          <w:rFonts w:ascii="Cambria" w:cs="Cambria" w:eastAsia="Cambria" w:hAnsi="Cambria"/>
          <w:b/>
          <w:bCs/>
          <w:color w:val="1A5276"/>
          <w:sz w:val="26"/>
          <w:szCs w:val="26"/>
        </w:rPr>
        <w:t xml:space="preserve">11.3 Lois universelles candidates — L34, L36</w:t>
      </w:r>
    </w:p>
    <w:p>
      <w:pPr>
        <w:spacing w:after="100" w:line="276"/>
        <w:jc w:val="both"/>
      </w:pPr>
      <w:r>
        <w:rPr>
          <w:rFonts w:ascii="Cambria" w:cs="Cambria" w:eastAsia="Cambria" w:hAnsi="Cambria"/>
          <w:b/>
          <w:bCs/>
          <w:i w:val="false"/>
          <w:iCs w:val="false"/>
          <w:color w:val="1C1C1C"/>
          <w:sz w:val="21"/>
          <w:szCs w:val="21"/>
        </w:rPr>
        <w:t xml:space="preserve">L34 : </w:t>
      </w:r>
      <w:r>
        <w:rPr>
          <w:rFonts w:ascii="Cambria" w:cs="Cambria" w:eastAsia="Cambria" w:hAnsi="Cambria"/>
          <w:b w:val="false"/>
          <w:bCs w:val="false"/>
          <w:i w:val="false"/>
          <w:iCs w:val="false"/>
          <w:color w:val="1C1C1C"/>
          <w:sz w:val="21"/>
          <w:szCs w:val="21"/>
        </w:rPr>
        <w:t xml:space="preserve">L’excès combiné de variance et de longueur semble délétère dans les deux langues (coefficient négatif std×f1a), mais sa magnitude reste asymétrique (ρ 0.53–0.60 FR vs 0.36–0.40 EN). Candidate universelle, non fermée.</w:t>
      </w:r>
    </w:p>
    <w:p>
      <w:pPr>
        <w:spacing w:after="100" w:line="276"/>
        <w:jc w:val="both"/>
      </w:pPr>
      <w:r>
        <w:rPr>
          <w:rFonts w:ascii="Cambria" w:cs="Cambria" w:eastAsia="Cambria" w:hAnsi="Cambria"/>
          <w:b/>
          <w:bCs/>
          <w:i w:val="false"/>
          <w:iCs w:val="false"/>
          <w:color w:val="1C1C1C"/>
          <w:sz w:val="21"/>
          <w:szCs w:val="21"/>
        </w:rPr>
        <w:t xml:space="preserve">L36 : </w:t>
      </w:r>
      <w:r>
        <w:rPr>
          <w:rFonts w:ascii="Cambria" w:cs="Cambria" w:eastAsia="Cambria" w:hAnsi="Cambria"/>
          <w:b w:val="false"/>
          <w:bCs w:val="false"/>
          <w:i w:val="false"/>
          <w:iCs w:val="false"/>
          <w:color w:val="1C1C1C"/>
          <w:sz w:val="21"/>
          <w:szCs w:val="21"/>
        </w:rPr>
        <w:t xml:space="preserve">Les features macro-paragraphiques (mean_para_len, std_para_len, cv_para) dominent aux grandes échelles (≥5000w) dans les deux langues. Mais le R² EN est trop faible à ces échelles pour déclarer la loi fermée.</w:t>
      </w:r>
    </w:p>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12. Classification complète des 42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6500"/>
      </w:tblGrid>
      <w:tr>
        <w:tc>
          <w:tcPr>
            <w:tcW w:type="dxa" w:w="2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Rôle</w:t>
            </w:r>
          </w:p>
        </w:tc>
        <w:tc>
          <w:tcPr>
            <w:tcW w:type="dxa" w:w="5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N</w:t>
            </w:r>
          </w:p>
        </w:tc>
        <w:tc>
          <w:tcPr>
            <w:tcW w:type="dxa" w:w="65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Features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DRIVER FR+EN</w:t>
            </w:r>
          </w:p>
        </w:tc>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7</w:t>
            </w:r>
          </w:p>
        </w:tc>
        <w:tc>
          <w:tcPr>
            <w:tcW w:type="dxa" w:w="6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f1a_rhythm_variance, std_sent_len, f16a_bigram_rarity, ellipsis_count, dialogue_ratio, sub_per_sentence, excl_count</w:t>
            </w:r>
          </w:p>
        </w:tc>
      </w:tr>
      <w:tr>
        <w:tc>
          <w:tcPr>
            <w:tcW w:type="dxa" w:w="2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DRIVER FR-only</w:t>
            </w:r>
          </w:p>
        </w:tc>
        <w:tc>
          <w:tcPr>
            <w:tcW w:type="dxa" w:w="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w:t>
            </w:r>
          </w:p>
        </w:tc>
        <w:tc>
          <w:tcPr>
            <w:tcW w:type="dxa" w:w="6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semicolon_count, dash_count, colon_count</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DRIVER EN émergent</w:t>
            </w:r>
          </w:p>
        </w:tc>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w:t>
            </w:r>
          </w:p>
        </w:tc>
        <w:tc>
          <w:tcPr>
            <w:tcW w:type="dxa" w:w="6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f9a_contradiction_rate</w:t>
            </w:r>
          </w:p>
        </w:tc>
      </w:tr>
      <w:tr>
        <w:tc>
          <w:tcPr>
            <w:tcW w:type="dxa" w:w="2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CONFLICT</w:t>
            </w:r>
          </w:p>
        </w:tc>
        <w:tc>
          <w:tcPr>
            <w:tcW w:type="dxa" w:w="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15</w:t>
            </w:r>
          </w:p>
        </w:tc>
        <w:tc>
          <w:tcPr>
            <w:tcW w:type="dxa" w:w="6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mean_sent_len, f26b, f17, knife_rate, ratio_alt, f24c, range_sent, n_long/short_sentences, longest_run_long/short, shortest_sent, sentence_count, median_sent, f1_mean</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THERMOMETER</w:t>
            </w:r>
          </w:p>
        </w:tc>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w:t>
            </w:r>
          </w:p>
        </w:tc>
        <w:tc>
          <w:tcPr>
            <w:tcW w:type="dxa" w:w="6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f29d_ttr_score, f35c_hook_score, f36c_cliff_score</w:t>
            </w:r>
          </w:p>
        </w:tc>
      </w:tr>
      <w:tr>
        <w:tc>
          <w:tcPr>
            <w:tcW w:type="dxa" w:w="2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CONDITIONAL</w:t>
            </w:r>
          </w:p>
        </w:tc>
        <w:tc>
          <w:tcPr>
            <w:tcW w:type="dxa" w:w="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w:t>
            </w:r>
          </w:p>
        </w:tc>
        <w:tc>
          <w:tcPr>
            <w:tcW w:type="dxa" w:w="6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cv_sent, f19a_approx_entropy, f1b_rhythm_ratio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MEDIATOR</w:t>
            </w:r>
          </w:p>
        </w:tc>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w:t>
            </w:r>
          </w:p>
        </w:tc>
        <w:tc>
          <w:tcPr>
            <w:tcW w:type="dxa" w:w="6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f26c_period_score (97% proxy de f26b)</w:t>
            </w:r>
          </w:p>
        </w:tc>
      </w:tr>
      <w:tr>
        <w:tc>
          <w:tcPr>
            <w:tcW w:type="dxa" w:w="2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NOISE @500w</w:t>
            </w:r>
          </w:p>
        </w:tc>
        <w:tc>
          <w:tcPr>
            <w:tcW w:type="dxa" w:w="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7</w:t>
            </w:r>
          </w:p>
        </w:tc>
        <w:tc>
          <w:tcPr>
            <w:tcW w:type="dxa" w:w="6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words, paragraph_count, mean_para_len*, std_para_len*, cv_para*, T_LC, T_CL</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MACRO (full only)</w:t>
            </w:r>
          </w:p>
        </w:tc>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3</w:t>
            </w:r>
          </w:p>
        </w:tc>
        <w:tc>
          <w:tcPr>
            <w:tcW w:type="dxa" w:w="6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mean_para_len, std_para_len, cv_para</w:t>
            </w:r>
          </w:p>
        </w:tc>
      </w:tr>
    </w:tbl>
    <w:p>
      <w:pPr>
        <w:spacing w:after="100" w:line="276"/>
        <w:jc w:val="both"/>
      </w:pPr>
      <w:r>
        <w:rPr>
          <w:rFonts w:ascii="Cambria" w:cs="Cambria" w:eastAsia="Cambria" w:hAnsi="Cambria"/>
          <w:b w:val="false"/>
          <w:bCs w:val="false"/>
          <w:i/>
          <w:iCs/>
          <w:color w:val="1C1C1C"/>
          <w:sz w:val="18"/>
          <w:szCs w:val="18"/>
        </w:rPr>
        <w:t xml:space="preserve">*Les features marquées d’un astérisque sont NOISE à 500w mais deviennent DRIVERS au chapitre entier.</w:t>
      </w:r>
    </w:p>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13. Analyse de redondance</w:t>
      </w:r>
    </w:p>
    <w:p>
      <w:pPr>
        <w:spacing w:after="100" w:line="276"/>
        <w:jc w:val="both"/>
      </w:pPr>
      <w:r>
        <w:rPr>
          <w:rFonts w:ascii="Cambria" w:cs="Cambria" w:eastAsia="Cambria" w:hAnsi="Cambria"/>
          <w:b w:val="false"/>
          <w:bCs w:val="false"/>
          <w:i w:val="false"/>
          <w:iCs w:val="false"/>
          <w:color w:val="1C1C1C"/>
          <w:sz w:val="21"/>
          <w:szCs w:val="21"/>
        </w:rPr>
        <w:t xml:space="preserve">Cinq paires de features sont strictement redondantes, avec des corrélations identiques dans les deux langues. C’est une propriété géométrique du feature space, indépendante de la culture littéraire.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3700"/>
      </w:tblGrid>
      <w:tr>
        <w:tc>
          <w:tcPr>
            <w:tcW w:type="dxa" w:w="3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Paire redondante</w:t>
            </w:r>
          </w:p>
        </w:tc>
        <w:tc>
          <w:tcPr>
            <w:tcW w:type="dxa" w:w="1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ρ FR</w:t>
            </w:r>
          </w:p>
        </w:tc>
        <w:tc>
          <w:tcPr>
            <w:tcW w:type="dxa" w:w="1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ρ EN</w:t>
            </w:r>
          </w:p>
        </w:tc>
        <w:tc>
          <w:tcPr>
            <w:tcW w:type="dxa" w:w="37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Action recommandée</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std_sent_len ↔ f1a_rhythm_variance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1.000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1.000</w:t>
            </w:r>
          </w:p>
        </w:tc>
        <w:tc>
          <w:tcPr>
            <w:tcW w:type="dxa" w:w="3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Garder f1a (plus interprétable)</w:t>
            </w:r>
          </w:p>
        </w:tc>
      </w:tr>
      <w:tr>
        <w:tc>
          <w:tcPr>
            <w:tcW w:type="dxa" w:w="3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cv_sent ↔ f19a_approx_entropy</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1.000</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1.000</w:t>
            </w:r>
          </w:p>
        </w:tc>
        <w:tc>
          <w:tcPr>
            <w:tcW w:type="dxa" w:w="3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Garder cv_sent (plus simple)</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knife_rate ↔ f17_knife_count</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0.973</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0.972</w:t>
            </w:r>
          </w:p>
        </w:tc>
        <w:tc>
          <w:tcPr>
            <w:tcW w:type="dxa" w:w="3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Garder knife_rate (comparable entre tailles)</w:t>
            </w:r>
          </w:p>
        </w:tc>
      </w:tr>
      <w:tr>
        <w:tc>
          <w:tcPr>
            <w:tcW w:type="dxa" w:w="3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std_sent_len ↔ longest_sent_words</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0.949</w:t>
            </w:r>
          </w:p>
        </w:tc>
        <w:tc>
          <w:tcPr>
            <w:tcW w:type="dxa" w:w="1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0.946</w:t>
            </w:r>
          </w:p>
        </w:tc>
        <w:tc>
          <w:tcPr>
            <w:tcW w:type="dxa" w:w="37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Garder f1a (couvre les deux)</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std_sent_len ↔ f24c_contrast_delta</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0.934</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0.886</w:t>
            </w:r>
          </w:p>
        </w:tc>
        <w:tc>
          <w:tcPr>
            <w:tcW w:type="dxa" w:w="3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Garder f24c séparément</w:t>
            </w:r>
          </w:p>
        </w:tc>
      </w:tr>
    </w:tbl>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14. Protocole de vérification V1–V6</w:t>
      </w:r>
    </w:p>
    <w:p>
      <w:pPr>
        <w:spacing w:after="100" w:line="276"/>
        <w:jc w:val="both"/>
      </w:pPr>
      <w:r>
        <w:rPr>
          <w:rFonts w:ascii="Cambria" w:cs="Cambria" w:eastAsia="Cambria" w:hAnsi="Cambria"/>
          <w:b w:val="false"/>
          <w:bCs w:val="false"/>
          <w:i w:val="false"/>
          <w:iCs w:val="false"/>
          <w:color w:val="1C1C1C"/>
          <w:sz w:val="21"/>
          <w:szCs w:val="21"/>
        </w:rPr>
        <w:t xml:space="preserve">Les 3 IAs (Claude, ChatGPT, Gemini) ont convergé à 3/3 sur la nécessité de 6 mesures de vérification avant la rédaction du manifeste.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3800"/>
      </w:tblGrid>
      <w:tr>
        <w:tc>
          <w:tcPr>
            <w:tcW w:type="dxa" w:w="1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Mesure</w:t>
            </w:r>
          </w:p>
        </w:tc>
        <w:tc>
          <w:tcPr>
            <w:tcW w:type="dxa" w:w="28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Question</w:t>
            </w:r>
          </w:p>
        </w:tc>
        <w:tc>
          <w:tcPr>
            <w:tcW w:type="dxa" w:w="12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Verdict</w:t>
            </w:r>
          </w:p>
        </w:tc>
        <w:tc>
          <w:tcPr>
            <w:tcW w:type="dxa" w:w="38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Donnée clé</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V1</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Le R² EN monte-t-il par cluster ?</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FAIL</w:t>
            </w:r>
          </w:p>
        </w:tc>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R² C0=0.100, C1=−0.308</w:t>
            </w:r>
          </w:p>
        </w:tc>
      </w:tr>
      <w:tr>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V1 corrigé</w:t>
            </w:r>
          </w:p>
        </w:tc>
        <w:tc>
          <w:tcPr>
            <w:tcW w:type="dxa" w:w="2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R² avec corpus équilibré ?</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FAIL</w:t>
            </w:r>
          </w:p>
        </w:tc>
        <w:tc>
          <w:tcPr>
            <w:tcW w:type="dxa" w:w="3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C1 : 84→708 Tier C, R² reste −0.187</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V2</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Chaînes causales EN ?</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PASS</w:t>
            </w:r>
          </w:p>
        </w:tc>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13/15 chaînes &gt; 10%, sub→f26b = 95%</w:t>
            </w:r>
          </w:p>
        </w:tc>
      </w:tr>
      <w:tr>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V3</w:t>
            </w:r>
          </w:p>
        </w:tc>
        <w:tc>
          <w:tcPr>
            <w:tcW w:type="dxa" w:w="2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Bloc PERCUTANT neutre EN ?</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CONFIRMÉ</w:t>
            </w:r>
          </w:p>
        </w:tc>
        <w:tc>
          <w:tcPr>
            <w:tcW w:type="dxa" w:w="3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dash→knife = +0.111 EN vs +0.541 FR</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V4</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Effondrement 2000w+ ?</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PARTIEL</w:t>
            </w:r>
          </w:p>
        </w:tc>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C0 monte à 0.048 vs global 0.024</w:t>
            </w:r>
          </w:p>
        </w:tc>
      </w:tr>
      <w:tr>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V5</w:t>
            </w:r>
          </w:p>
        </w:tc>
        <w:tc>
          <w:tcPr>
            <w:tcW w:type="dxa" w:w="2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Reformulation ChatGPT</w:t>
            </w:r>
          </w:p>
        </w:tc>
        <w:tc>
          <w:tcPr>
            <w:tcW w:type="dxa" w:w="12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OK</w:t>
            </w:r>
          </w:p>
        </w:tc>
        <w:tc>
          <w:tcPr>
            <w:tcW w:type="dxa" w:w="38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DOMINÉ (FR) vs DISTRIBUÉ (EN)</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V6</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Robustesse auteur FR ?</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ROBUSTE</w:t>
            </w:r>
          </w:p>
        </w:tc>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sub→f26b : 114–194% après retrait</w:t>
            </w:r>
          </w:p>
        </w:tc>
      </w:tr>
    </w:tbl>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15. Formulations autorisées et interdites</w:t>
      </w:r>
    </w:p>
    <w:p>
      <w:pPr>
        <w:pStyle w:val="Heading2"/>
        <w:spacing w:after="160" w:before="300"/>
      </w:pPr>
      <w:r>
        <w:rPr>
          <w:rFonts w:ascii="Cambria" w:cs="Cambria" w:eastAsia="Cambria" w:hAnsi="Cambria"/>
          <w:b/>
          <w:bCs/>
          <w:color w:val="1A5276"/>
          <w:sz w:val="26"/>
          <w:szCs w:val="26"/>
        </w:rPr>
        <w:t xml:space="preserve">15.1 Formulations autorisées (fermes, non attaquables)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t>
            </w:r>
          </w:p>
        </w:tc>
        <w:tc>
          <w:tcPr>
            <w:tcW w:type="dxa" w:w="85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Formulation</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F1</w:t>
            </w:r>
          </w:p>
        </w:tc>
        <w:tc>
          <w:tcPr>
            <w:tcW w:type="dxa" w:w="8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La subordination gouverne le taux de phrases longues, qui médiatise la qualité perçue : 136% FR, 95% EN.</w:t>
            </w:r>
          </w:p>
        </w:tc>
      </w:tr>
      <w:tr>
        <w:tc>
          <w:tcPr>
            <w:tcW w:type="dxa" w:w="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F2</w:t>
            </w:r>
          </w:p>
        </w:tc>
        <w:tc>
          <w:tcPr>
            <w:tcW w:type="dxa" w:w="8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L’espace des features possède une géométrie stable translinguistique (5 redondances identiques FR+EN).</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F3</w:t>
            </w:r>
          </w:p>
        </w:tc>
        <w:tc>
          <w:tcPr>
            <w:tcW w:type="dxa" w:w="8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En FR, le signal est DOMINÉ par la ponctuation-syntaxe. En EN, il est DISTRIBUÉ sur rythme, variance et rareté lexicale.</w:t>
            </w:r>
          </w:p>
        </w:tc>
      </w:tr>
      <w:tr>
        <w:tc>
          <w:tcPr>
            <w:tcW w:type="dxa" w:w="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F4</w:t>
            </w:r>
          </w:p>
        </w:tc>
        <w:tc>
          <w:tcPr>
            <w:tcW w:type="dxa" w:w="8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Le Tier S anglophone est bimodal (minimalistes vs maximalistes, silhouette 0.249).</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F5</w:t>
            </w:r>
          </w:p>
        </w:tc>
        <w:tc>
          <w:tcPr>
            <w:tcW w:type="dxa" w:w="8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Les features structurelles sont nécessaires mais insuffisantes pour le registre maximaliste EN.</w:t>
            </w:r>
          </w:p>
        </w:tc>
      </w:tr>
    </w:tbl>
    <w:p>
      <w:pPr>
        <w:pStyle w:val="Heading2"/>
        <w:spacing w:after="160" w:before="300"/>
      </w:pPr>
      <w:r>
        <w:rPr>
          <w:rFonts w:ascii="Cambria" w:cs="Cambria" w:eastAsia="Cambria" w:hAnsi="Cambria"/>
          <w:b/>
          <w:bCs/>
          <w:color w:val="1A5276"/>
          <w:sz w:val="26"/>
          <w:szCs w:val="26"/>
        </w:rPr>
        <w:t xml:space="preserve">15.2 Formulations interdites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000"/>
      </w:tblGrid>
      <w:tr>
        <w:tc>
          <w:tcPr>
            <w:tcW w:type="dxa" w:w="5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t>
            </w:r>
          </w:p>
        </w:tc>
        <w:tc>
          <w:tcPr>
            <w:tcW w:type="dxa" w:w="45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Formulation interdite</w:t>
            </w:r>
          </w:p>
        </w:tc>
        <w:tc>
          <w:tcPr>
            <w:tcW w:type="dxa" w:w="4000"/>
            <w:tcBorders>
              <w:top w:val="single" w:color="BDC3C7" w:sz="1"/>
              <w:left w:val="single" w:color="BDC3C7" w:sz="1"/>
              <w:bottom w:val="single" w:color="1B2A4A" w:sz="3"/>
              <w:right w:val="single" w:color="BDC3C7" w:sz="1"/>
            </w:tcBorders>
            <w:shd w:fill="1B2A4A"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Raison</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I1</w:t>
            </w:r>
          </w:p>
        </w:tc>
        <w:tc>
          <w:tcPr>
            <w:tcW w:type="dxa" w:w="4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 Ponctuation = FR, Rythme = EN »</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Raccourci trompeur — FR a aussi f1a, sub, bigram</w:t>
            </w:r>
          </w:p>
        </w:tc>
      </w:tr>
      <w:tr>
        <w:tc>
          <w:tcPr>
            <w:tcW w:type="dxa" w:w="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I2</w:t>
            </w:r>
          </w:p>
        </w:tc>
        <w:tc>
          <w:tcPr>
            <w:tcW w:type="dxa" w:w="4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 On sait comment scorer l’anglais »</w:t>
            </w:r>
          </w:p>
        </w:tc>
        <w:tc>
          <w:tcPr>
            <w:tcW w:type="dxa" w:w="4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R² EN = 0.087, maximaliste = −0.187</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I3</w:t>
            </w:r>
          </w:p>
        </w:tc>
        <w:tc>
          <w:tcPr>
            <w:tcW w:type="dxa" w:w="4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 Le modèle EN fonctionne par profil »</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V1 FAIL : le R² ne monte pas par cluster</w:t>
            </w:r>
          </w:p>
        </w:tc>
      </w:tr>
      <w:tr>
        <w:tc>
          <w:tcPr>
            <w:tcW w:type="dxa" w:w="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I4</w:t>
            </w:r>
          </w:p>
        </w:tc>
        <w:tc>
          <w:tcPr>
            <w:tcW w:type="dxa" w:w="45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 Le signal EN est aussi fort que le FR »</w:t>
            </w:r>
          </w:p>
        </w:tc>
        <w:tc>
          <w:tcPr>
            <w:tcW w:type="dxa" w:w="4000"/>
            <w:tcBorders>
              <w:top w:val="single" w:color="BDC3C7" w:sz="1"/>
              <w:left w:val="single" w:color="BDC3C7" w:sz="1"/>
              <w:bottom w:val="single" w:color="BDC3C7" w:sz="1"/>
              <w:right w:val="single" w:color="BDC3C7" w:sz="1"/>
            </w:tcBorders>
            <w:shd w:fill="FAFAFA"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R² multivarié 3× plus faible</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I5</w:t>
            </w:r>
          </w:p>
        </w:tc>
        <w:tc>
          <w:tcPr>
            <w:tcW w:type="dxa" w:w="4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Toute causalité sans médiation prouvée</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1C1C1C"/>
                <w:sz w:val="18"/>
                <w:szCs w:val="18"/>
              </w:rPr>
              <w:t xml:space="preserve">Règle M2</w:t>
            </w:r>
          </w:p>
        </w:tc>
      </w:tr>
    </w:tbl>
    <w:p>
      <w:r>
        <w:br w:type="page"/>
      </w:r>
    </w:p>
    <w:p>
      <w:pPr>
        <w:pStyle w:val="Heading1"/>
        <w:pBdr>
          <w:bottom w:val="single" w:color="1B2A4A" w:sz="3" w:space="4"/>
        </w:pBdr>
        <w:spacing w:after="200" w:before="400"/>
      </w:pPr>
      <w:r>
        <w:rPr>
          <w:rFonts w:ascii="Cambria" w:cs="Cambria" w:eastAsia="Cambria" w:hAnsi="Cambria"/>
          <w:b/>
          <w:bCs/>
          <w:color w:val="1B2A4A"/>
          <w:sz w:val="32"/>
          <w:szCs w:val="32"/>
        </w:rPr>
        <w:t xml:space="preserve">16. Conclusions et perspectives</w:t>
      </w:r>
    </w:p>
    <w:p>
      <w:pPr>
        <w:pStyle w:val="Heading2"/>
        <w:spacing w:after="160" w:before="300"/>
      </w:pPr>
      <w:r>
        <w:rPr>
          <w:rFonts w:ascii="Cambria" w:cs="Cambria" w:eastAsia="Cambria" w:hAnsi="Cambria"/>
          <w:b/>
          <w:bCs/>
          <w:color w:val="1A5276"/>
          <w:sz w:val="26"/>
          <w:szCs w:val="26"/>
        </w:rPr>
        <w:t xml:space="preserve">16.1 Ce que ce manifeste prouve</w:t>
      </w:r>
    </w:p>
    <w:p>
      <w:pPr>
        <w:spacing w:after="100" w:line="276"/>
        <w:jc w:val="both"/>
      </w:pPr>
      <w:r>
        <w:rPr>
          <w:rFonts w:ascii="Cambria" w:cs="Cambria" w:eastAsia="Cambria" w:hAnsi="Cambria"/>
          <w:b w:val="false"/>
          <w:bCs w:val="false"/>
          <w:i w:val="false"/>
          <w:iCs w:val="false"/>
          <w:color w:val="1C1C1C"/>
          <w:sz w:val="21"/>
          <w:szCs w:val="21"/>
        </w:rPr>
        <w:t xml:space="preserve">La prose littéraire humaine est un système hiérarchique à 4 étages dont une partie du noyau causal syntaxique est universelle. La subordination (sub_per_sentence) est le mécanisme central qui gouverne la phrase longue (f26b), laquelle médiatise la qualité perçue dans les deux langues étudiées. Cette chaîne résiste au retrait de tout auteur individuel et fonctionne aussi bien en français (136%) qu’en anglais (95%).</w:t>
      </w:r>
    </w:p>
    <w:p>
      <w:pPr>
        <w:spacing w:after="100" w:line="276"/>
        <w:jc w:val="both"/>
      </w:pPr>
      <w:r>
        <w:rPr>
          <w:rFonts w:ascii="Cambria" w:cs="Cambria" w:eastAsia="Cambria" w:hAnsi="Cambria"/>
          <w:b w:val="false"/>
          <w:bCs w:val="false"/>
          <w:i w:val="false"/>
          <w:iCs w:val="false"/>
          <w:color w:val="1C1C1C"/>
          <w:sz w:val="21"/>
          <w:szCs w:val="21"/>
        </w:rPr>
        <w:t xml:space="preserve">Les traditions littéraires française et anglaise diffèrent fondamentalement dans la distribution de leur signal de qualité. Le français est monocentrique (un marqueur domine — le point-virgule, héritier de Proust et Flaubert). L’anglais est polycentrique (rythme, variance, rareté lexicale contribuent à parts plus égales). Cette asymétrie n’est pas une faiblesse du modèle — c’est la signature de deux traditions distinctes.</w:t>
      </w:r>
    </w:p>
    <w:p>
      <w:pPr>
        <w:pStyle w:val="Heading2"/>
        <w:spacing w:after="160" w:before="300"/>
      </w:pPr>
      <w:r>
        <w:rPr>
          <w:rFonts w:ascii="Cambria" w:cs="Cambria" w:eastAsia="Cambria" w:hAnsi="Cambria"/>
          <w:b/>
          <w:bCs/>
          <w:color w:val="1A5276"/>
          <w:sz w:val="26"/>
          <w:szCs w:val="26"/>
        </w:rPr>
        <w:t xml:space="preserve">16.2 Ce que ce manifeste ne prouve pas</w:t>
      </w:r>
    </w:p>
    <w:p>
      <w:pPr>
        <w:spacing w:after="100" w:line="276"/>
        <w:jc w:val="both"/>
      </w:pPr>
      <w:r>
        <w:rPr>
          <w:rFonts w:ascii="Cambria" w:cs="Cambria" w:eastAsia="Cambria" w:hAnsi="Cambria"/>
          <w:b w:val="false"/>
          <w:bCs w:val="false"/>
          <w:i w:val="false"/>
          <w:iCs w:val="false"/>
          <w:color w:val="1C1C1C"/>
          <w:sz w:val="21"/>
          <w:szCs w:val="21"/>
        </w:rPr>
        <w:t xml:space="preserve">Ce manifeste ne prouve PAS que la qualité littéraire peut être entièrement capturée par 42 features structurelles. Le registre maximaliste anglophone (R² = −0.187) démontre l’existence d’une frontière sémantique au-delà de laquelle la structure seule ne discrimine plus. La qualité d’un Faulkner par rapport à un Robert Jordan ne réside pas dans la longueur de ses phrases ni dans sa subordination — elle réside dans la densité sémantique, la cohérence métaphorique et la profondeur narrative, dimensions non mesurées par nos features.</w:t>
      </w:r>
    </w:p>
    <w:p>
      <w:pPr>
        <w:pStyle w:val="Heading2"/>
        <w:spacing w:after="160" w:before="300"/>
      </w:pPr>
      <w:r>
        <w:rPr>
          <w:rFonts w:ascii="Cambria" w:cs="Cambria" w:eastAsia="Cambria" w:hAnsi="Cambria"/>
          <w:b/>
          <w:bCs/>
          <w:color w:val="1A5276"/>
          <w:sz w:val="26"/>
          <w:szCs w:val="26"/>
        </w:rPr>
        <w:t xml:space="preserve">16.3 Perspectives</w:t>
      </w:r>
    </w:p>
    <w:p>
      <w:pPr>
        <w:spacing w:after="100" w:line="276"/>
        <w:jc w:val="both"/>
      </w:pPr>
      <w:r>
        <w:rPr>
          <w:rFonts w:ascii="Cambria" w:cs="Cambria" w:eastAsia="Cambria" w:hAnsi="Cambria"/>
          <w:b/>
          <w:bCs/>
          <w:i w:val="false"/>
          <w:iCs w:val="false"/>
          <w:color w:val="1C1C1C"/>
          <w:sz w:val="21"/>
          <w:szCs w:val="21"/>
        </w:rPr>
        <w:t xml:space="preserve">Court terme : </w:t>
      </w:r>
      <w:r>
        <w:rPr>
          <w:rFonts w:ascii="Cambria" w:cs="Cambria" w:eastAsia="Cambria" w:hAnsi="Cambria"/>
          <w:b w:val="false"/>
          <w:bCs w:val="false"/>
          <w:i w:val="false"/>
          <w:iCs w:val="false"/>
          <w:color w:val="1C1C1C"/>
          <w:sz w:val="21"/>
          <w:szCs w:val="21"/>
        </w:rPr>
        <w:t xml:space="preserve">Implémentation d’un scorer bilingue à noyau universel (L37) avec modules culturels différenciés (ponctuation-syntaxe FR, rythme-variance EN).</w:t>
      </w:r>
    </w:p>
    <w:p>
      <w:pPr>
        <w:spacing w:after="100" w:line="276"/>
        <w:jc w:val="both"/>
      </w:pPr>
      <w:r>
        <w:rPr>
          <w:rFonts w:ascii="Cambria" w:cs="Cambria" w:eastAsia="Cambria" w:hAnsi="Cambria"/>
          <w:b/>
          <w:bCs/>
          <w:i w:val="false"/>
          <w:iCs w:val="false"/>
          <w:color w:val="1C1C1C"/>
          <w:sz w:val="21"/>
          <w:szCs w:val="21"/>
        </w:rPr>
        <w:t xml:space="preserve">Moyen terme : </w:t>
      </w:r>
      <w:r>
        <w:rPr>
          <w:rFonts w:ascii="Cambria" w:cs="Cambria" w:eastAsia="Cambria" w:hAnsi="Cambria"/>
          <w:b w:val="false"/>
          <w:bCs w:val="false"/>
          <w:i w:val="false"/>
          <w:iCs w:val="false"/>
          <w:color w:val="1C1C1C"/>
          <w:sz w:val="21"/>
          <w:szCs w:val="21"/>
        </w:rPr>
        <w:t xml:space="preserve">Développement de features sémantiques/narratives par embeddings LLM pour traiter la zone non close du maximalisme anglophone.</w:t>
      </w:r>
    </w:p>
    <w:p>
      <w:pPr>
        <w:spacing w:after="100" w:line="276"/>
        <w:jc w:val="both"/>
      </w:pPr>
      <w:r>
        <w:rPr>
          <w:rFonts w:ascii="Cambria" w:cs="Cambria" w:eastAsia="Cambria" w:hAnsi="Cambria"/>
          <w:b/>
          <w:bCs/>
          <w:i w:val="false"/>
          <w:iCs w:val="false"/>
          <w:color w:val="1C1C1C"/>
          <w:sz w:val="21"/>
          <w:szCs w:val="21"/>
        </w:rPr>
        <w:t xml:space="preserve">Long terme : </w:t>
      </w:r>
      <w:r>
        <w:rPr>
          <w:rFonts w:ascii="Cambria" w:cs="Cambria" w:eastAsia="Cambria" w:hAnsi="Cambria"/>
          <w:b w:val="false"/>
          <w:bCs w:val="false"/>
          <w:i w:val="false"/>
          <w:iCs w:val="false"/>
          <w:color w:val="1C1C1C"/>
          <w:sz w:val="21"/>
          <w:szCs w:val="21"/>
        </w:rPr>
        <w:t xml:space="preserve">Extension à d’autres langues (espagnol, italien, allemand) pour tester la généralisabilité de L37 et identifier de nouvelles signatures culturelles.</w:t>
      </w:r>
    </w:p>
    <w:p>
      <w:pPr>
        <w:spacing w:before="400"/>
      </w:pPr>
    </w:p>
    <w:p>
      <w:pPr>
        <w:pBdr>
          <w:top w:val="single" w:color="1B2A4A" w:sz="3" w:space="12"/>
        </w:pBdr>
        <w:spacing w:after="100" w:before="400"/>
        <w:jc w:val="center"/>
      </w:pPr>
      <w:r>
        <w:rPr>
          <w:rFonts w:ascii="Calibri" w:cs="Calibri" w:eastAsia="Calibri" w:hAnsi="Calibri"/>
          <w:b/>
          <w:bCs/>
          <w:color w:val="1B2A4A"/>
          <w:spacing w:val="200"/>
          <w:sz w:val="24"/>
          <w:szCs w:val="24"/>
        </w:rPr>
        <w:t xml:space="preserve">FIN DU MANIFESTE</w:t>
      </w:r>
    </w:p>
    <w:p>
      <w:pPr>
        <w:spacing w:after="60"/>
        <w:jc w:val="center"/>
      </w:pPr>
      <w:r>
        <w:rPr>
          <w:rFonts w:ascii="Calibri" w:cs="Calibri" w:eastAsia="Calibri" w:hAnsi="Calibri"/>
          <w:color w:val="7F8C8D"/>
          <w:sz w:val="18"/>
          <w:szCs w:val="18"/>
        </w:rPr>
        <w:t xml:space="preserve">881 œuvres | 2 064 038 fenêtres | 42 features | 2 langues | 9 lois</w:t>
      </w:r>
    </w:p>
    <w:p>
      <w:pPr>
        <w:spacing w:after="60"/>
        <w:jc w:val="center"/>
      </w:pPr>
      <w:r>
        <w:rPr>
          <w:rFonts w:ascii="Calibri" w:cs="Calibri" w:eastAsia="Calibri" w:hAnsi="Calibri"/>
          <w:color w:val="7F8C8D"/>
          <w:sz w:val="18"/>
          <w:szCs w:val="18"/>
        </w:rPr>
        <w:t xml:space="preserve">© 2026 Projet OMEGA — Tous droits réservés</w:t>
      </w:r>
    </w:p>
    <w:p>
      <w:pPr>
        <w:jc w:val="center"/>
      </w:pPr>
      <w:r>
        <w:rPr>
          <w:rFonts w:ascii="Calibri" w:cs="Calibri" w:eastAsia="Calibri" w:hAnsi="Calibri"/>
          <w:color w:val="7F8C8D"/>
          <w:sz w:val="16"/>
          <w:szCs w:val="16"/>
        </w:rPr>
        <w:t xml:space="preserve">Standard NASA-Grade L4 / DO-178C Level 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Calibri" w:cs="Calibri" w:eastAsia="Calibri" w:hAnsi="Calibri"/>
        <w:color w:val="7F8C8D"/>
        <w:sz w:val="15"/>
        <w:szCs w:val="15"/>
      </w:rPr>
      <w:t xml:space="preserve">© 2026 Projet OMEGA — Page </w:t>
    </w:r>
    <w:r>
      <w:rPr>
        <w:rFonts w:ascii="Calibri" w:cs="Calibri" w:eastAsia="Calibri" w:hAnsi="Calibri"/>
        <w:color w:val="7F8C8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jc w:val="right"/>
    </w:pPr>
    <w:r>
      <w:rPr>
        <w:rFonts w:ascii="Calibri" w:cs="Calibri" w:eastAsia="Calibri" w:hAnsi="Calibri"/>
        <w:i/>
        <w:iCs/>
        <w:color w:val="7F8C8D"/>
        <w:sz w:val="15"/>
        <w:szCs w:val="15"/>
      </w:rPr>
      <w:t xml:space="preserve">OMEGA — Manifeste de Physique Littéraire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mbria" w:cs="Cambria" w:eastAsia="Cambria" w:hAnsi="Cambria"/>
      <w:b/>
      <w:bCs/>
      <w:color w:val="1B2A4A"/>
      <w:sz w:val="32"/>
      <w:szCs w:val="32"/>
    </w:rPr>
  </w:style>
  <w:style w:type="paragraph" w:styleId="Heading2">
    <w:name w:val="Heading 2"/>
    <w:basedOn w:val="Normal"/>
    <w:next w:val="Normal"/>
    <w:qFormat/>
    <w:pPr>
      <w:spacing w:after="160" w:before="300"/>
      <w:outlineLvl w:val="1"/>
    </w:pPr>
    <w:rPr>
      <w:rFonts w:ascii="Cambria" w:cs="Cambria" w:eastAsia="Cambria" w:hAnsi="Cambria"/>
      <w:b/>
      <w:bCs/>
      <w:color w:val="1A527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2026-03-29T00:24:29.670Z</dcterms:created>
  <dcterms:modified xsi:type="dcterms:W3CDTF">2026-03-29T00:24:29.673Z</dcterms:modified>
</cp:coreProperties>
</file>

<file path=docProps/custom.xml><?xml version="1.0" encoding="utf-8"?>
<Properties xmlns="http://schemas.openxmlformats.org/officeDocument/2006/custom-properties" xmlns:vt="http://schemas.openxmlformats.org/officeDocument/2006/docPropsVTypes"/>
</file>