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EB3A59" w:rsidRDefault="007A7A31">
      <w:pPr>
        <w:pStyle w:val="Inhopg1"/>
        <w:rPr>
          <w:rFonts w:asciiTheme="minorHAnsi" w:eastAsiaTheme="minorEastAsia" w:hAnsiTheme="minorHAnsi" w:cstheme="minorBidi"/>
          <w:b w:val="0"/>
          <w:bCs w:val="0"/>
          <w:caps w:val="0"/>
          <w:sz w:val="22"/>
        </w:rPr>
      </w:pPr>
      <w:r w:rsidRPr="007A7A31">
        <w:rPr>
          <w:rFonts w:cs="Arial"/>
        </w:rPr>
        <w:fldChar w:fldCharType="begin"/>
      </w:r>
      <w:r w:rsidR="00030C31" w:rsidRPr="00D10F50">
        <w:rPr>
          <w:rFonts w:cs="Arial"/>
        </w:rPr>
        <w:instrText xml:space="preserve"> TOC \o "1-2" \h \z \t "Bijlage;1" </w:instrText>
      </w:r>
      <w:r w:rsidRPr="007A7A31">
        <w:rPr>
          <w:rFonts w:cs="Arial"/>
        </w:rPr>
        <w:fldChar w:fldCharType="separate"/>
      </w:r>
      <w:hyperlink w:anchor="_Toc360189345" w:history="1">
        <w:r w:rsidR="00EB3A59" w:rsidRPr="00D92674">
          <w:rPr>
            <w:rStyle w:val="Hyperlink"/>
          </w:rPr>
          <w:t>Managementsamenvatting</w:t>
        </w:r>
        <w:r w:rsidR="00EB3A59">
          <w:rPr>
            <w:webHidden/>
          </w:rPr>
          <w:tab/>
        </w:r>
        <w:r w:rsidR="00EB3A59">
          <w:rPr>
            <w:webHidden/>
          </w:rPr>
          <w:fldChar w:fldCharType="begin"/>
        </w:r>
        <w:r w:rsidR="00EB3A59">
          <w:rPr>
            <w:webHidden/>
          </w:rPr>
          <w:instrText xml:space="preserve"> PAGEREF _Toc360189345 \h </w:instrText>
        </w:r>
        <w:r w:rsidR="00EB3A59">
          <w:rPr>
            <w:webHidden/>
          </w:rPr>
        </w:r>
        <w:r w:rsidR="00EB3A59">
          <w:rPr>
            <w:webHidden/>
          </w:rPr>
          <w:fldChar w:fldCharType="separate"/>
        </w:r>
        <w:r w:rsidR="00EB3A59">
          <w:rPr>
            <w:webHidden/>
          </w:rPr>
          <w:t>5</w:t>
        </w:r>
        <w:r w:rsidR="00EB3A59">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46" w:history="1">
        <w:r w:rsidRPr="00D92674">
          <w:rPr>
            <w:rStyle w:val="Hyperlink"/>
          </w:rPr>
          <w:t>1</w:t>
        </w:r>
        <w:r>
          <w:rPr>
            <w:rFonts w:asciiTheme="minorHAnsi" w:eastAsiaTheme="minorEastAsia" w:hAnsiTheme="minorHAnsi" w:cstheme="minorBidi"/>
            <w:b w:val="0"/>
            <w:bCs w:val="0"/>
            <w:caps w:val="0"/>
            <w:sz w:val="22"/>
          </w:rPr>
          <w:tab/>
        </w:r>
        <w:r w:rsidRPr="00D92674">
          <w:rPr>
            <w:rStyle w:val="Hyperlink"/>
          </w:rPr>
          <w:t>Probleemanalyse</w:t>
        </w:r>
        <w:r>
          <w:rPr>
            <w:webHidden/>
          </w:rPr>
          <w:tab/>
        </w:r>
        <w:r>
          <w:rPr>
            <w:webHidden/>
          </w:rPr>
          <w:fldChar w:fldCharType="begin"/>
        </w:r>
        <w:r>
          <w:rPr>
            <w:webHidden/>
          </w:rPr>
          <w:instrText xml:space="preserve"> PAGEREF _Toc360189346 \h </w:instrText>
        </w:r>
        <w:r>
          <w:rPr>
            <w:webHidden/>
          </w:rPr>
        </w:r>
        <w:r>
          <w:rPr>
            <w:webHidden/>
          </w:rPr>
          <w:fldChar w:fldCharType="separate"/>
        </w:r>
        <w:r>
          <w:rPr>
            <w:webHidden/>
          </w:rPr>
          <w:t>6</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47" w:history="1">
        <w:r w:rsidRPr="00D92674">
          <w:rPr>
            <w:rStyle w:val="Hyperlink"/>
            <w:rFonts w:ascii="Times New Roman" w:hAnsi="Times New Roman"/>
            <w:snapToGrid w:val="0"/>
            <w:w w:val="0"/>
          </w:rPr>
          <w:t>1.1</w:t>
        </w:r>
        <w:r>
          <w:rPr>
            <w:rFonts w:asciiTheme="minorHAnsi" w:eastAsiaTheme="minorEastAsia" w:hAnsiTheme="minorHAnsi" w:cstheme="minorBidi"/>
            <w:smallCaps w:val="0"/>
            <w:sz w:val="22"/>
            <w:szCs w:val="22"/>
          </w:rPr>
          <w:tab/>
        </w:r>
        <w:r w:rsidRPr="00D92674">
          <w:rPr>
            <w:rStyle w:val="Hyperlink"/>
          </w:rPr>
          <w:t>Context</w:t>
        </w:r>
        <w:r>
          <w:rPr>
            <w:webHidden/>
          </w:rPr>
          <w:tab/>
        </w:r>
        <w:r>
          <w:rPr>
            <w:webHidden/>
          </w:rPr>
          <w:fldChar w:fldCharType="begin"/>
        </w:r>
        <w:r>
          <w:rPr>
            <w:webHidden/>
          </w:rPr>
          <w:instrText xml:space="preserve"> PAGEREF _Toc360189347 \h </w:instrText>
        </w:r>
        <w:r>
          <w:rPr>
            <w:webHidden/>
          </w:rPr>
        </w:r>
        <w:r>
          <w:rPr>
            <w:webHidden/>
          </w:rPr>
          <w:fldChar w:fldCharType="separate"/>
        </w:r>
        <w:r>
          <w:rPr>
            <w:webHidden/>
          </w:rPr>
          <w:t>6</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48" w:history="1">
        <w:r w:rsidRPr="00D92674">
          <w:rPr>
            <w:rStyle w:val="Hyperlink"/>
            <w:rFonts w:ascii="Times New Roman" w:hAnsi="Times New Roman"/>
            <w:snapToGrid w:val="0"/>
            <w:w w:val="0"/>
          </w:rPr>
          <w:t>1.2</w:t>
        </w:r>
        <w:r>
          <w:rPr>
            <w:rFonts w:asciiTheme="minorHAnsi" w:eastAsiaTheme="minorEastAsia" w:hAnsiTheme="minorHAnsi" w:cstheme="minorBidi"/>
            <w:smallCaps w:val="0"/>
            <w:sz w:val="22"/>
            <w:szCs w:val="22"/>
          </w:rPr>
          <w:tab/>
        </w:r>
        <w:r w:rsidRPr="00D92674">
          <w:rPr>
            <w:rStyle w:val="Hyperlink"/>
          </w:rPr>
          <w:t>Probleemstelling</w:t>
        </w:r>
        <w:r>
          <w:rPr>
            <w:webHidden/>
          </w:rPr>
          <w:tab/>
        </w:r>
        <w:r>
          <w:rPr>
            <w:webHidden/>
          </w:rPr>
          <w:fldChar w:fldCharType="begin"/>
        </w:r>
        <w:r>
          <w:rPr>
            <w:webHidden/>
          </w:rPr>
          <w:instrText xml:space="preserve"> PAGEREF _Toc360189348 \h </w:instrText>
        </w:r>
        <w:r>
          <w:rPr>
            <w:webHidden/>
          </w:rPr>
        </w:r>
        <w:r>
          <w:rPr>
            <w:webHidden/>
          </w:rPr>
          <w:fldChar w:fldCharType="separate"/>
        </w:r>
        <w:r>
          <w:rPr>
            <w:webHidden/>
          </w:rPr>
          <w:t>6</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49" w:history="1">
        <w:r w:rsidRPr="00D92674">
          <w:rPr>
            <w:rStyle w:val="Hyperlink"/>
            <w:rFonts w:ascii="Times New Roman" w:hAnsi="Times New Roman"/>
            <w:snapToGrid w:val="0"/>
            <w:w w:val="0"/>
          </w:rPr>
          <w:t>1.3</w:t>
        </w:r>
        <w:r>
          <w:rPr>
            <w:rFonts w:asciiTheme="minorHAnsi" w:eastAsiaTheme="minorEastAsia" w:hAnsiTheme="minorHAnsi" w:cstheme="minorBidi"/>
            <w:smallCaps w:val="0"/>
            <w:sz w:val="22"/>
            <w:szCs w:val="22"/>
          </w:rPr>
          <w:tab/>
        </w:r>
        <w:r w:rsidRPr="00D92674">
          <w:rPr>
            <w:rStyle w:val="Hyperlink"/>
          </w:rPr>
          <w:t>Randvoorwaarden</w:t>
        </w:r>
        <w:r>
          <w:rPr>
            <w:webHidden/>
          </w:rPr>
          <w:tab/>
        </w:r>
        <w:r>
          <w:rPr>
            <w:webHidden/>
          </w:rPr>
          <w:fldChar w:fldCharType="begin"/>
        </w:r>
        <w:r>
          <w:rPr>
            <w:webHidden/>
          </w:rPr>
          <w:instrText xml:space="preserve"> PAGEREF _Toc360189349 \h </w:instrText>
        </w:r>
        <w:r>
          <w:rPr>
            <w:webHidden/>
          </w:rPr>
        </w:r>
        <w:r>
          <w:rPr>
            <w:webHidden/>
          </w:rPr>
          <w:fldChar w:fldCharType="separate"/>
        </w:r>
        <w:r>
          <w:rPr>
            <w:webHidden/>
          </w:rPr>
          <w:t>7</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0" w:history="1">
        <w:r w:rsidRPr="00D92674">
          <w:rPr>
            <w:rStyle w:val="Hyperlink"/>
            <w:rFonts w:ascii="Times New Roman" w:hAnsi="Times New Roman"/>
            <w:snapToGrid w:val="0"/>
            <w:w w:val="0"/>
          </w:rPr>
          <w:t>1.4</w:t>
        </w:r>
        <w:r>
          <w:rPr>
            <w:rFonts w:asciiTheme="minorHAnsi" w:eastAsiaTheme="minorEastAsia" w:hAnsiTheme="minorHAnsi" w:cstheme="minorBidi"/>
            <w:smallCaps w:val="0"/>
            <w:sz w:val="22"/>
            <w:szCs w:val="22"/>
          </w:rPr>
          <w:tab/>
        </w:r>
        <w:r w:rsidRPr="00D92674">
          <w:rPr>
            <w:rStyle w:val="Hyperlink"/>
          </w:rPr>
          <w:t>Interpretatie</w:t>
        </w:r>
        <w:r>
          <w:rPr>
            <w:webHidden/>
          </w:rPr>
          <w:tab/>
        </w:r>
        <w:r>
          <w:rPr>
            <w:webHidden/>
          </w:rPr>
          <w:fldChar w:fldCharType="begin"/>
        </w:r>
        <w:r>
          <w:rPr>
            <w:webHidden/>
          </w:rPr>
          <w:instrText xml:space="preserve"> PAGEREF _Toc360189350 \h </w:instrText>
        </w:r>
        <w:r>
          <w:rPr>
            <w:webHidden/>
          </w:rPr>
        </w:r>
        <w:r>
          <w:rPr>
            <w:webHidden/>
          </w:rPr>
          <w:fldChar w:fldCharType="separate"/>
        </w:r>
        <w:r>
          <w:rPr>
            <w:webHidden/>
          </w:rPr>
          <w:t>7</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1" w:history="1">
        <w:r w:rsidRPr="00D92674">
          <w:rPr>
            <w:rStyle w:val="Hyperlink"/>
            <w:rFonts w:ascii="Times New Roman" w:hAnsi="Times New Roman"/>
            <w:snapToGrid w:val="0"/>
            <w:w w:val="0"/>
          </w:rPr>
          <w:t>1.5</w:t>
        </w:r>
        <w:r>
          <w:rPr>
            <w:rFonts w:asciiTheme="minorHAnsi" w:eastAsiaTheme="minorEastAsia" w:hAnsiTheme="minorHAnsi" w:cstheme="minorBidi"/>
            <w:smallCaps w:val="0"/>
            <w:sz w:val="22"/>
            <w:szCs w:val="22"/>
          </w:rPr>
          <w:tab/>
        </w:r>
        <w:r w:rsidRPr="00D92674">
          <w:rPr>
            <w:rStyle w:val="Hyperlink"/>
          </w:rPr>
          <w:t>Scope/Doelstelling</w:t>
        </w:r>
        <w:r>
          <w:rPr>
            <w:webHidden/>
          </w:rPr>
          <w:tab/>
        </w:r>
        <w:r>
          <w:rPr>
            <w:webHidden/>
          </w:rPr>
          <w:fldChar w:fldCharType="begin"/>
        </w:r>
        <w:r>
          <w:rPr>
            <w:webHidden/>
          </w:rPr>
          <w:instrText xml:space="preserve"> PAGEREF _Toc360189351 \h </w:instrText>
        </w:r>
        <w:r>
          <w:rPr>
            <w:webHidden/>
          </w:rPr>
        </w:r>
        <w:r>
          <w:rPr>
            <w:webHidden/>
          </w:rPr>
          <w:fldChar w:fldCharType="separate"/>
        </w:r>
        <w:r>
          <w:rPr>
            <w:webHidden/>
          </w:rPr>
          <w:t>7</w:t>
        </w:r>
        <w:r>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52" w:history="1">
        <w:r w:rsidRPr="00D92674">
          <w:rPr>
            <w:rStyle w:val="Hyperlink"/>
          </w:rPr>
          <w:t>2</w:t>
        </w:r>
        <w:r>
          <w:rPr>
            <w:rFonts w:asciiTheme="minorHAnsi" w:eastAsiaTheme="minorEastAsia" w:hAnsiTheme="minorHAnsi" w:cstheme="minorBidi"/>
            <w:b w:val="0"/>
            <w:bCs w:val="0"/>
            <w:caps w:val="0"/>
            <w:sz w:val="22"/>
          </w:rPr>
          <w:tab/>
        </w:r>
        <w:r w:rsidRPr="00D92674">
          <w:rPr>
            <w:rStyle w:val="Hyperlink"/>
          </w:rPr>
          <w:t>Resultaten Proof of Concept</w:t>
        </w:r>
        <w:r>
          <w:rPr>
            <w:webHidden/>
          </w:rPr>
          <w:tab/>
        </w:r>
        <w:r>
          <w:rPr>
            <w:webHidden/>
          </w:rPr>
          <w:fldChar w:fldCharType="begin"/>
        </w:r>
        <w:r>
          <w:rPr>
            <w:webHidden/>
          </w:rPr>
          <w:instrText xml:space="preserve"> PAGEREF _Toc360189352 \h </w:instrText>
        </w:r>
        <w:r>
          <w:rPr>
            <w:webHidden/>
          </w:rPr>
        </w:r>
        <w:r>
          <w:rPr>
            <w:webHidden/>
          </w:rPr>
          <w:fldChar w:fldCharType="separate"/>
        </w:r>
        <w:r>
          <w:rPr>
            <w:webHidden/>
          </w:rPr>
          <w:t>9</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3" w:history="1">
        <w:r w:rsidRPr="00D92674">
          <w:rPr>
            <w:rStyle w:val="Hyperlink"/>
            <w:rFonts w:ascii="Times New Roman" w:hAnsi="Times New Roman"/>
            <w:snapToGrid w:val="0"/>
            <w:w w:val="0"/>
          </w:rPr>
          <w:t>2.1</w:t>
        </w:r>
        <w:r>
          <w:rPr>
            <w:rFonts w:asciiTheme="minorHAnsi" w:eastAsiaTheme="minorEastAsia" w:hAnsiTheme="minorHAnsi" w:cstheme="minorBidi"/>
            <w:smallCaps w:val="0"/>
            <w:sz w:val="22"/>
            <w:szCs w:val="22"/>
          </w:rPr>
          <w:tab/>
        </w:r>
        <w:r w:rsidRPr="00D92674">
          <w:rPr>
            <w:rStyle w:val="Hyperlink"/>
          </w:rPr>
          <w:t>Uitgevoerde Analyses</w:t>
        </w:r>
        <w:r>
          <w:rPr>
            <w:webHidden/>
          </w:rPr>
          <w:tab/>
        </w:r>
        <w:r>
          <w:rPr>
            <w:webHidden/>
          </w:rPr>
          <w:fldChar w:fldCharType="begin"/>
        </w:r>
        <w:r>
          <w:rPr>
            <w:webHidden/>
          </w:rPr>
          <w:instrText xml:space="preserve"> PAGEREF _Toc360189353 \h </w:instrText>
        </w:r>
        <w:r>
          <w:rPr>
            <w:webHidden/>
          </w:rPr>
        </w:r>
        <w:r>
          <w:rPr>
            <w:webHidden/>
          </w:rPr>
          <w:fldChar w:fldCharType="separate"/>
        </w:r>
        <w:r>
          <w:rPr>
            <w:webHidden/>
          </w:rPr>
          <w:t>9</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4" w:history="1">
        <w:r w:rsidRPr="00D92674">
          <w:rPr>
            <w:rStyle w:val="Hyperlink"/>
            <w:rFonts w:ascii="Times New Roman" w:hAnsi="Times New Roman"/>
            <w:snapToGrid w:val="0"/>
            <w:w w:val="0"/>
          </w:rPr>
          <w:t>2.2</w:t>
        </w:r>
        <w:r>
          <w:rPr>
            <w:rFonts w:asciiTheme="minorHAnsi" w:eastAsiaTheme="minorEastAsia" w:hAnsiTheme="minorHAnsi" w:cstheme="minorBidi"/>
            <w:smallCaps w:val="0"/>
            <w:sz w:val="22"/>
            <w:szCs w:val="22"/>
          </w:rPr>
          <w:tab/>
        </w:r>
        <w:r w:rsidRPr="00D92674">
          <w:rPr>
            <w:rStyle w:val="Hyperlink"/>
          </w:rPr>
          <w:t>Resultaten gegevensanalyse Ibis</w:t>
        </w:r>
        <w:r>
          <w:rPr>
            <w:webHidden/>
          </w:rPr>
          <w:tab/>
        </w:r>
        <w:r>
          <w:rPr>
            <w:webHidden/>
          </w:rPr>
          <w:fldChar w:fldCharType="begin"/>
        </w:r>
        <w:r>
          <w:rPr>
            <w:webHidden/>
          </w:rPr>
          <w:instrText xml:space="preserve"> PAGEREF _Toc360189354 \h </w:instrText>
        </w:r>
        <w:r>
          <w:rPr>
            <w:webHidden/>
          </w:rPr>
        </w:r>
        <w:r>
          <w:rPr>
            <w:webHidden/>
          </w:rPr>
          <w:fldChar w:fldCharType="separate"/>
        </w:r>
        <w:r>
          <w:rPr>
            <w:webHidden/>
          </w:rPr>
          <w:t>10</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5" w:history="1">
        <w:r w:rsidRPr="00D92674">
          <w:rPr>
            <w:rStyle w:val="Hyperlink"/>
            <w:rFonts w:ascii="Times New Roman" w:hAnsi="Times New Roman"/>
            <w:snapToGrid w:val="0"/>
            <w:w w:val="0"/>
          </w:rPr>
          <w:t>2.3</w:t>
        </w:r>
        <w:r>
          <w:rPr>
            <w:rFonts w:asciiTheme="minorHAnsi" w:eastAsiaTheme="minorEastAsia" w:hAnsiTheme="minorHAnsi" w:cstheme="minorBidi"/>
            <w:smallCaps w:val="0"/>
            <w:sz w:val="22"/>
            <w:szCs w:val="22"/>
          </w:rPr>
          <w:tab/>
        </w:r>
        <w:r w:rsidRPr="00D92674">
          <w:rPr>
            <w:rStyle w:val="Hyperlink"/>
          </w:rPr>
          <w:t>Bevinding t.o.v. Opdrachtinterpretatie</w:t>
        </w:r>
        <w:r>
          <w:rPr>
            <w:webHidden/>
          </w:rPr>
          <w:tab/>
        </w:r>
        <w:r>
          <w:rPr>
            <w:webHidden/>
          </w:rPr>
          <w:fldChar w:fldCharType="begin"/>
        </w:r>
        <w:r>
          <w:rPr>
            <w:webHidden/>
          </w:rPr>
          <w:instrText xml:space="preserve"> PAGEREF _Toc360189355 \h </w:instrText>
        </w:r>
        <w:r>
          <w:rPr>
            <w:webHidden/>
          </w:rPr>
        </w:r>
        <w:r>
          <w:rPr>
            <w:webHidden/>
          </w:rPr>
          <w:fldChar w:fldCharType="separate"/>
        </w:r>
        <w:r>
          <w:rPr>
            <w:webHidden/>
          </w:rPr>
          <w:t>11</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6" w:history="1">
        <w:r w:rsidRPr="00D92674">
          <w:rPr>
            <w:rStyle w:val="Hyperlink"/>
            <w:rFonts w:ascii="Times New Roman" w:hAnsi="Times New Roman"/>
            <w:snapToGrid w:val="0"/>
            <w:w w:val="0"/>
          </w:rPr>
          <w:t>2.4</w:t>
        </w:r>
        <w:r>
          <w:rPr>
            <w:rFonts w:asciiTheme="minorHAnsi" w:eastAsiaTheme="minorEastAsia" w:hAnsiTheme="minorHAnsi" w:cstheme="minorBidi"/>
            <w:smallCaps w:val="0"/>
            <w:sz w:val="22"/>
            <w:szCs w:val="22"/>
          </w:rPr>
          <w:tab/>
        </w:r>
        <w:r w:rsidRPr="00D92674">
          <w:rPr>
            <w:rStyle w:val="Hyperlink"/>
          </w:rPr>
          <w:t>Overige bevindingen</w:t>
        </w:r>
        <w:r>
          <w:rPr>
            <w:webHidden/>
          </w:rPr>
          <w:tab/>
        </w:r>
        <w:r>
          <w:rPr>
            <w:webHidden/>
          </w:rPr>
          <w:fldChar w:fldCharType="begin"/>
        </w:r>
        <w:r>
          <w:rPr>
            <w:webHidden/>
          </w:rPr>
          <w:instrText xml:space="preserve"> PAGEREF _Toc360189356 \h </w:instrText>
        </w:r>
        <w:r>
          <w:rPr>
            <w:webHidden/>
          </w:rPr>
        </w:r>
        <w:r>
          <w:rPr>
            <w:webHidden/>
          </w:rPr>
          <w:fldChar w:fldCharType="separate"/>
        </w:r>
        <w:r>
          <w:rPr>
            <w:webHidden/>
          </w:rPr>
          <w:t>11</w:t>
        </w:r>
        <w:r>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57" w:history="1">
        <w:r w:rsidRPr="00D92674">
          <w:rPr>
            <w:rStyle w:val="Hyperlink"/>
          </w:rPr>
          <w:t>3</w:t>
        </w:r>
        <w:r>
          <w:rPr>
            <w:rFonts w:asciiTheme="minorHAnsi" w:eastAsiaTheme="minorEastAsia" w:hAnsiTheme="minorHAnsi" w:cstheme="minorBidi"/>
            <w:b w:val="0"/>
            <w:bCs w:val="0"/>
            <w:caps w:val="0"/>
            <w:sz w:val="22"/>
          </w:rPr>
          <w:tab/>
        </w:r>
        <w:r w:rsidRPr="00D92674">
          <w:rPr>
            <w:rStyle w:val="Hyperlink"/>
          </w:rPr>
          <w:t>Voorstel</w:t>
        </w:r>
        <w:r>
          <w:rPr>
            <w:webHidden/>
          </w:rPr>
          <w:tab/>
        </w:r>
        <w:r>
          <w:rPr>
            <w:webHidden/>
          </w:rPr>
          <w:fldChar w:fldCharType="begin"/>
        </w:r>
        <w:r>
          <w:rPr>
            <w:webHidden/>
          </w:rPr>
          <w:instrText xml:space="preserve"> PAGEREF _Toc360189357 \h </w:instrText>
        </w:r>
        <w:r>
          <w:rPr>
            <w:webHidden/>
          </w:rPr>
        </w:r>
        <w:r>
          <w:rPr>
            <w:webHidden/>
          </w:rPr>
          <w:fldChar w:fldCharType="separate"/>
        </w:r>
        <w:r>
          <w:rPr>
            <w:webHidden/>
          </w:rPr>
          <w:t>12</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8" w:history="1">
        <w:r w:rsidRPr="00D92674">
          <w:rPr>
            <w:rStyle w:val="Hyperlink"/>
            <w:rFonts w:ascii="Times New Roman" w:hAnsi="Times New Roman"/>
            <w:snapToGrid w:val="0"/>
            <w:w w:val="0"/>
          </w:rPr>
          <w:t>3.1</w:t>
        </w:r>
        <w:r>
          <w:rPr>
            <w:rFonts w:asciiTheme="minorHAnsi" w:eastAsiaTheme="minorEastAsia" w:hAnsiTheme="minorHAnsi" w:cstheme="minorBidi"/>
            <w:smallCaps w:val="0"/>
            <w:sz w:val="22"/>
            <w:szCs w:val="22"/>
          </w:rPr>
          <w:tab/>
        </w:r>
        <w:r w:rsidRPr="00D92674">
          <w:rPr>
            <w:rStyle w:val="Hyperlink"/>
          </w:rPr>
          <w:t>Aanpak en Fasering</w:t>
        </w:r>
        <w:r>
          <w:rPr>
            <w:webHidden/>
          </w:rPr>
          <w:tab/>
        </w:r>
        <w:r>
          <w:rPr>
            <w:webHidden/>
          </w:rPr>
          <w:fldChar w:fldCharType="begin"/>
        </w:r>
        <w:r>
          <w:rPr>
            <w:webHidden/>
          </w:rPr>
          <w:instrText xml:space="preserve"> PAGEREF _Toc360189358 \h </w:instrText>
        </w:r>
        <w:r>
          <w:rPr>
            <w:webHidden/>
          </w:rPr>
        </w:r>
        <w:r>
          <w:rPr>
            <w:webHidden/>
          </w:rPr>
          <w:fldChar w:fldCharType="separate"/>
        </w:r>
        <w:r>
          <w:rPr>
            <w:webHidden/>
          </w:rPr>
          <w:t>12</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59" w:history="1">
        <w:r w:rsidRPr="00D92674">
          <w:rPr>
            <w:rStyle w:val="Hyperlink"/>
            <w:rFonts w:ascii="Times New Roman" w:hAnsi="Times New Roman"/>
            <w:snapToGrid w:val="0"/>
            <w:w w:val="0"/>
          </w:rPr>
          <w:t>3.2</w:t>
        </w:r>
        <w:r>
          <w:rPr>
            <w:rFonts w:asciiTheme="minorHAnsi" w:eastAsiaTheme="minorEastAsia" w:hAnsiTheme="minorHAnsi" w:cstheme="minorBidi"/>
            <w:smallCaps w:val="0"/>
            <w:sz w:val="22"/>
            <w:szCs w:val="22"/>
          </w:rPr>
          <w:tab/>
        </w:r>
        <w:r w:rsidRPr="00D92674">
          <w:rPr>
            <w:rStyle w:val="Hyperlink"/>
          </w:rPr>
          <w:t>Fase 1 - Zomer</w:t>
        </w:r>
        <w:r>
          <w:rPr>
            <w:webHidden/>
          </w:rPr>
          <w:tab/>
        </w:r>
        <w:r>
          <w:rPr>
            <w:webHidden/>
          </w:rPr>
          <w:fldChar w:fldCharType="begin"/>
        </w:r>
        <w:r>
          <w:rPr>
            <w:webHidden/>
          </w:rPr>
          <w:instrText xml:space="preserve"> PAGEREF _Toc360189359 \h </w:instrText>
        </w:r>
        <w:r>
          <w:rPr>
            <w:webHidden/>
          </w:rPr>
        </w:r>
        <w:r>
          <w:rPr>
            <w:webHidden/>
          </w:rPr>
          <w:fldChar w:fldCharType="separate"/>
        </w:r>
        <w:r>
          <w:rPr>
            <w:webHidden/>
          </w:rPr>
          <w:t>13</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60" w:history="1">
        <w:r w:rsidRPr="00D92674">
          <w:rPr>
            <w:rStyle w:val="Hyperlink"/>
            <w:rFonts w:ascii="Times New Roman" w:hAnsi="Times New Roman"/>
            <w:snapToGrid w:val="0"/>
            <w:w w:val="0"/>
          </w:rPr>
          <w:t>3.3</w:t>
        </w:r>
        <w:r>
          <w:rPr>
            <w:rFonts w:asciiTheme="minorHAnsi" w:eastAsiaTheme="minorEastAsia" w:hAnsiTheme="minorHAnsi" w:cstheme="minorBidi"/>
            <w:smallCaps w:val="0"/>
            <w:sz w:val="22"/>
            <w:szCs w:val="22"/>
          </w:rPr>
          <w:tab/>
        </w:r>
        <w:r w:rsidRPr="00D92674">
          <w:rPr>
            <w:rStyle w:val="Hyperlink"/>
          </w:rPr>
          <w:t>Fase 2 - Najaar</w:t>
        </w:r>
        <w:r>
          <w:rPr>
            <w:webHidden/>
          </w:rPr>
          <w:tab/>
        </w:r>
        <w:r>
          <w:rPr>
            <w:webHidden/>
          </w:rPr>
          <w:fldChar w:fldCharType="begin"/>
        </w:r>
        <w:r>
          <w:rPr>
            <w:webHidden/>
          </w:rPr>
          <w:instrText xml:space="preserve"> PAGEREF _Toc360189360 \h </w:instrText>
        </w:r>
        <w:r>
          <w:rPr>
            <w:webHidden/>
          </w:rPr>
        </w:r>
        <w:r>
          <w:rPr>
            <w:webHidden/>
          </w:rPr>
          <w:fldChar w:fldCharType="separate"/>
        </w:r>
        <w:r>
          <w:rPr>
            <w:webHidden/>
          </w:rPr>
          <w:t>15</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61" w:history="1">
        <w:r w:rsidRPr="00D92674">
          <w:rPr>
            <w:rStyle w:val="Hyperlink"/>
            <w:rFonts w:ascii="Times New Roman" w:hAnsi="Times New Roman"/>
            <w:snapToGrid w:val="0"/>
            <w:w w:val="0"/>
          </w:rPr>
          <w:t>3.4</w:t>
        </w:r>
        <w:r>
          <w:rPr>
            <w:rFonts w:asciiTheme="minorHAnsi" w:eastAsiaTheme="minorEastAsia" w:hAnsiTheme="minorHAnsi" w:cstheme="minorBidi"/>
            <w:smallCaps w:val="0"/>
            <w:sz w:val="22"/>
            <w:szCs w:val="22"/>
          </w:rPr>
          <w:tab/>
        </w:r>
        <w:r w:rsidRPr="00D92674">
          <w:rPr>
            <w:rStyle w:val="Hyperlink"/>
          </w:rPr>
          <w:t>Organisatie</w:t>
        </w:r>
        <w:r>
          <w:rPr>
            <w:webHidden/>
          </w:rPr>
          <w:tab/>
        </w:r>
        <w:r>
          <w:rPr>
            <w:webHidden/>
          </w:rPr>
          <w:fldChar w:fldCharType="begin"/>
        </w:r>
        <w:r>
          <w:rPr>
            <w:webHidden/>
          </w:rPr>
          <w:instrText xml:space="preserve"> PAGEREF _Toc360189361 \h </w:instrText>
        </w:r>
        <w:r>
          <w:rPr>
            <w:webHidden/>
          </w:rPr>
        </w:r>
        <w:r>
          <w:rPr>
            <w:webHidden/>
          </w:rPr>
          <w:fldChar w:fldCharType="separate"/>
        </w:r>
        <w:r>
          <w:rPr>
            <w:webHidden/>
          </w:rPr>
          <w:t>16</w:t>
        </w:r>
        <w:r>
          <w:rPr>
            <w:webHidden/>
          </w:rPr>
          <w:fldChar w:fldCharType="end"/>
        </w:r>
      </w:hyperlink>
    </w:p>
    <w:p w:rsidR="00EB3A59" w:rsidRDefault="00EB3A59">
      <w:pPr>
        <w:pStyle w:val="Inhopg2"/>
        <w:rPr>
          <w:rFonts w:asciiTheme="minorHAnsi" w:eastAsiaTheme="minorEastAsia" w:hAnsiTheme="minorHAnsi" w:cstheme="minorBidi"/>
          <w:smallCaps w:val="0"/>
          <w:sz w:val="22"/>
          <w:szCs w:val="22"/>
        </w:rPr>
      </w:pPr>
      <w:hyperlink w:anchor="_Toc360189362" w:history="1">
        <w:r w:rsidRPr="00D92674">
          <w:rPr>
            <w:rStyle w:val="Hyperlink"/>
            <w:rFonts w:ascii="Times New Roman" w:hAnsi="Times New Roman"/>
            <w:snapToGrid w:val="0"/>
            <w:w w:val="0"/>
          </w:rPr>
          <w:t>3.5</w:t>
        </w:r>
        <w:r>
          <w:rPr>
            <w:rFonts w:asciiTheme="minorHAnsi" w:eastAsiaTheme="minorEastAsia" w:hAnsiTheme="minorHAnsi" w:cstheme="minorBidi"/>
            <w:smallCaps w:val="0"/>
            <w:sz w:val="22"/>
            <w:szCs w:val="22"/>
          </w:rPr>
          <w:tab/>
        </w:r>
        <w:r w:rsidRPr="00D92674">
          <w:rPr>
            <w:rStyle w:val="Hyperlink"/>
          </w:rPr>
          <w:t>Planning en doorloooptijden</w:t>
        </w:r>
        <w:r>
          <w:rPr>
            <w:webHidden/>
          </w:rPr>
          <w:tab/>
        </w:r>
        <w:r>
          <w:rPr>
            <w:webHidden/>
          </w:rPr>
          <w:fldChar w:fldCharType="begin"/>
        </w:r>
        <w:r>
          <w:rPr>
            <w:webHidden/>
          </w:rPr>
          <w:instrText xml:space="preserve"> PAGEREF _Toc360189362 \h </w:instrText>
        </w:r>
        <w:r>
          <w:rPr>
            <w:webHidden/>
          </w:rPr>
        </w:r>
        <w:r>
          <w:rPr>
            <w:webHidden/>
          </w:rPr>
          <w:fldChar w:fldCharType="separate"/>
        </w:r>
        <w:r>
          <w:rPr>
            <w:webHidden/>
          </w:rPr>
          <w:t>18</w:t>
        </w:r>
        <w:r>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63" w:history="1">
        <w:r w:rsidRPr="00D92674">
          <w:rPr>
            <w:rStyle w:val="Hyperlink"/>
          </w:rPr>
          <w:t>4</w:t>
        </w:r>
        <w:r>
          <w:rPr>
            <w:rFonts w:asciiTheme="minorHAnsi" w:eastAsiaTheme="minorEastAsia" w:hAnsiTheme="minorHAnsi" w:cstheme="minorBidi"/>
            <w:b w:val="0"/>
            <w:bCs w:val="0"/>
            <w:caps w:val="0"/>
            <w:sz w:val="22"/>
          </w:rPr>
          <w:tab/>
        </w:r>
        <w:r w:rsidRPr="00D92674">
          <w:rPr>
            <w:rStyle w:val="Hyperlink"/>
          </w:rPr>
          <w:t>Conclusies en Aanbevelingen</w:t>
        </w:r>
        <w:r>
          <w:rPr>
            <w:webHidden/>
          </w:rPr>
          <w:tab/>
        </w:r>
        <w:r>
          <w:rPr>
            <w:webHidden/>
          </w:rPr>
          <w:fldChar w:fldCharType="begin"/>
        </w:r>
        <w:r>
          <w:rPr>
            <w:webHidden/>
          </w:rPr>
          <w:instrText xml:space="preserve"> PAGEREF _Toc360189363 \h </w:instrText>
        </w:r>
        <w:r>
          <w:rPr>
            <w:webHidden/>
          </w:rPr>
        </w:r>
        <w:r>
          <w:rPr>
            <w:webHidden/>
          </w:rPr>
          <w:fldChar w:fldCharType="separate"/>
        </w:r>
        <w:r>
          <w:rPr>
            <w:webHidden/>
          </w:rPr>
          <w:t>20</w:t>
        </w:r>
        <w:r>
          <w:rPr>
            <w:webHidden/>
          </w:rPr>
          <w:fldChar w:fldCharType="end"/>
        </w:r>
      </w:hyperlink>
    </w:p>
    <w:p w:rsidR="00EB3A59" w:rsidRDefault="00EB3A59">
      <w:pPr>
        <w:pStyle w:val="Inhopg1"/>
        <w:rPr>
          <w:rFonts w:asciiTheme="minorHAnsi" w:eastAsiaTheme="minorEastAsia" w:hAnsiTheme="minorHAnsi" w:cstheme="minorBidi"/>
          <w:b w:val="0"/>
          <w:bCs w:val="0"/>
          <w:caps w:val="0"/>
          <w:sz w:val="22"/>
        </w:rPr>
      </w:pPr>
      <w:hyperlink w:anchor="_Toc360189364" w:history="1">
        <w:r w:rsidRPr="00D92674">
          <w:rPr>
            <w:rStyle w:val="Hyperlink"/>
          </w:rPr>
          <w:t>Bijlage A: Regelgebasseerd Ontwerpen</w:t>
        </w:r>
        <w:r>
          <w:rPr>
            <w:webHidden/>
          </w:rPr>
          <w:tab/>
        </w:r>
        <w:r>
          <w:rPr>
            <w:webHidden/>
          </w:rPr>
          <w:fldChar w:fldCharType="begin"/>
        </w:r>
        <w:r>
          <w:rPr>
            <w:webHidden/>
          </w:rPr>
          <w:instrText xml:space="preserve"> PAGEREF _Toc360189364 \h </w:instrText>
        </w:r>
        <w:r>
          <w:rPr>
            <w:webHidden/>
          </w:rPr>
        </w:r>
        <w:r>
          <w:rPr>
            <w:webHidden/>
          </w:rPr>
          <w:fldChar w:fldCharType="separate"/>
        </w:r>
        <w:r>
          <w:rPr>
            <w:webHidden/>
          </w:rPr>
          <w:t>21</w:t>
        </w:r>
        <w:r>
          <w:rPr>
            <w:webHidden/>
          </w:rPr>
          <w:fldChar w:fldCharType="end"/>
        </w:r>
      </w:hyperlink>
    </w:p>
    <w:p w:rsidR="00FD11BF" w:rsidRPr="00D10F50" w:rsidRDefault="007A7A31"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r w:rsidR="005F5E48" w:rsidRPr="00333D68">
        <w:t>historie</w:t>
      </w:r>
    </w:p>
    <w:tbl>
      <w:tblPr>
        <w:tblStyle w:val="TabelOrdina"/>
        <w:tblW w:w="0" w:type="auto"/>
        <w:tblLook w:val="04A0"/>
      </w:tblPr>
      <w:tblGrid>
        <w:gridCol w:w="1075"/>
        <w:gridCol w:w="1095"/>
        <w:gridCol w:w="1455"/>
        <w:gridCol w:w="5079"/>
      </w:tblGrid>
      <w:tr w:rsidR="00555BF3" w:rsidRPr="00D10F50" w:rsidTr="005F5E48">
        <w:trPr>
          <w:cnfStyle w:val="100000000000"/>
          <w:trHeight w:val="283"/>
        </w:trPr>
        <w:tc>
          <w:tcPr>
            <w:cnfStyle w:val="001000000100"/>
            <w:tcW w:w="8704" w:type="dxa"/>
            <w:gridSpan w:val="4"/>
            <w:vAlign w:val="center"/>
          </w:tcPr>
          <w:p w:rsidR="00555BF3" w:rsidRPr="00D10F50" w:rsidRDefault="00555BF3" w:rsidP="009E1A40">
            <w:r w:rsidRPr="00D10F50">
              <w:t>Tekst status</w:t>
            </w:r>
          </w:p>
        </w:tc>
      </w:tr>
      <w:tr w:rsidR="00555BF3" w:rsidRPr="00D10F50" w:rsidTr="005F5E48">
        <w:trPr>
          <w:trHeight w:val="283"/>
        </w:trPr>
        <w:tc>
          <w:tcPr>
            <w:cnfStyle w:val="001000000000"/>
            <w:tcW w:w="0" w:type="auto"/>
            <w:vAlign w:val="center"/>
          </w:tcPr>
          <w:p w:rsidR="00555BF3" w:rsidRPr="00D10F50" w:rsidRDefault="00555BF3" w:rsidP="009E1A40">
            <w:r w:rsidRPr="00D10F50">
              <w:t>Auteur(s)</w:t>
            </w:r>
          </w:p>
        </w:tc>
        <w:tc>
          <w:tcPr>
            <w:tcW w:w="7629" w:type="dxa"/>
            <w:gridSpan w:val="3"/>
            <w:vAlign w:val="center"/>
          </w:tcPr>
          <w:p w:rsidR="00555BF3" w:rsidRPr="00D10F50" w:rsidRDefault="00555BF3" w:rsidP="009E1A40">
            <w:pPr>
              <w:cnfStyle w:val="000000000000"/>
            </w:pPr>
            <w:r w:rsidRPr="00D10F50">
              <w:t>Stefan Hersbach (ed.), Stef Joosten, Richard ter Mors, Han Joosten</w:t>
            </w:r>
          </w:p>
        </w:tc>
      </w:tr>
      <w:tr w:rsidR="00555BF3" w:rsidRPr="008C75E3" w:rsidTr="005F5E48">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r w:rsidRPr="00162074">
              <w:rPr>
                <w:lang w:val="en-US"/>
              </w:rPr>
              <w:t>Versie t.b.v. review #1</w:t>
            </w:r>
          </w:p>
        </w:tc>
      </w:tr>
      <w:tr w:rsidR="00555BF3" w:rsidRPr="008C75E3" w:rsidTr="005F5E48">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r w:rsidRPr="00162074">
              <w:rPr>
                <w:lang w:val="en-US"/>
              </w:rPr>
              <w:t>Versie t.b.v. review #</w:t>
            </w:r>
            <w:r w:rsidR="00412213">
              <w:rPr>
                <w:lang w:val="en-US"/>
              </w:rPr>
              <w:t>2</w:t>
            </w:r>
          </w:p>
        </w:tc>
      </w:tr>
      <w:tr w:rsidR="005F5E48" w:rsidRPr="00412213" w:rsidTr="005F5E48">
        <w:trPr>
          <w:trHeight w:val="283"/>
        </w:trPr>
        <w:tc>
          <w:tcPr>
            <w:cnfStyle w:val="001000000000"/>
            <w:tcW w:w="0" w:type="auto"/>
            <w:vAlign w:val="center"/>
          </w:tcPr>
          <w:p w:rsidR="005F5E48" w:rsidRPr="00D10F50" w:rsidRDefault="005F5E48" w:rsidP="003D1CD4">
            <w:r>
              <w:t>Versie 0.9.1</w:t>
            </w:r>
          </w:p>
        </w:tc>
        <w:tc>
          <w:tcPr>
            <w:tcW w:w="0" w:type="auto"/>
            <w:vAlign w:val="center"/>
          </w:tcPr>
          <w:p w:rsidR="005F5E48" w:rsidRDefault="005F5E48" w:rsidP="003D1CD4">
            <w:pPr>
              <w:cnfStyle w:val="000000000000"/>
            </w:pPr>
            <w:r>
              <w:t>28 juni 2013</w:t>
            </w:r>
          </w:p>
        </w:tc>
        <w:tc>
          <w:tcPr>
            <w:tcW w:w="0" w:type="auto"/>
            <w:vAlign w:val="center"/>
          </w:tcPr>
          <w:p w:rsidR="005F5E48" w:rsidRPr="00D10F50" w:rsidRDefault="005F5E48" w:rsidP="003D1CD4">
            <w:pPr>
              <w:cnfStyle w:val="000000000000"/>
            </w:pPr>
            <w:r>
              <w:t>Stef Joosten</w:t>
            </w:r>
          </w:p>
        </w:tc>
        <w:tc>
          <w:tcPr>
            <w:tcW w:w="5079" w:type="dxa"/>
            <w:vAlign w:val="center"/>
          </w:tcPr>
          <w:p w:rsidR="005F5E48" w:rsidRPr="00412213" w:rsidRDefault="005F5E48" w:rsidP="003D1CD4">
            <w:pPr>
              <w:cnfStyle w:val="000000000000"/>
              <w:rPr>
                <w:lang w:val="en-US"/>
              </w:rPr>
            </w:pPr>
            <w:r w:rsidRPr="00412213">
              <w:rPr>
                <w:lang w:val="en-US"/>
              </w:rPr>
              <w:t>Versie t.b.v. review #3</w:t>
            </w:r>
          </w:p>
        </w:tc>
      </w:tr>
      <w:tr w:rsidR="005F5E48" w:rsidRPr="00412213" w:rsidTr="005F5E48">
        <w:trPr>
          <w:trHeight w:val="283"/>
        </w:trPr>
        <w:tc>
          <w:tcPr>
            <w:cnfStyle w:val="001000000000"/>
            <w:tcW w:w="0" w:type="auto"/>
            <w:vAlign w:val="center"/>
          </w:tcPr>
          <w:p w:rsidR="005F5E48" w:rsidRPr="00D10F50" w:rsidRDefault="005F5E48" w:rsidP="009E1A40">
            <w:r>
              <w:t>Versie 0.9.2</w:t>
            </w:r>
          </w:p>
        </w:tc>
        <w:tc>
          <w:tcPr>
            <w:tcW w:w="0" w:type="auto"/>
            <w:vAlign w:val="center"/>
          </w:tcPr>
          <w:p w:rsidR="005F5E48" w:rsidRDefault="005F5E48" w:rsidP="009E1A40">
            <w:pPr>
              <w:cnfStyle w:val="000000000000"/>
            </w:pPr>
            <w:r>
              <w:t>28 juni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412213" w:rsidRDefault="005F5E48" w:rsidP="009E1A40">
            <w:pPr>
              <w:cnfStyle w:val="000000000000"/>
              <w:rPr>
                <w:lang w:val="en-US"/>
              </w:rPr>
            </w:pPr>
            <w:r>
              <w:rPr>
                <w:lang w:val="en-US"/>
              </w:rPr>
              <w:t>Review commentaar review#3 verwerkt</w:t>
            </w:r>
          </w:p>
        </w:tc>
      </w:tr>
      <w:tr w:rsidR="005F5E48" w:rsidRPr="00D10F50" w:rsidTr="005F5E48">
        <w:trPr>
          <w:trHeight w:val="283"/>
        </w:trPr>
        <w:tc>
          <w:tcPr>
            <w:cnfStyle w:val="001000000000"/>
            <w:tcW w:w="0" w:type="auto"/>
            <w:vAlign w:val="center"/>
          </w:tcPr>
          <w:p w:rsidR="005F5E48" w:rsidRPr="00D10F50" w:rsidRDefault="005F5E48" w:rsidP="009E1A40">
            <w:r w:rsidRPr="00D10F50">
              <w:t>Versie 1.0</w:t>
            </w:r>
          </w:p>
        </w:tc>
        <w:tc>
          <w:tcPr>
            <w:tcW w:w="0" w:type="auto"/>
            <w:vAlign w:val="center"/>
          </w:tcPr>
          <w:p w:rsidR="005F5E48" w:rsidRPr="00D10F50" w:rsidRDefault="005F5E48" w:rsidP="009E1A40">
            <w:pPr>
              <w:cnfStyle w:val="000000000000"/>
            </w:pPr>
            <w:r w:rsidRPr="00D10F50">
              <w:t>1 juli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D10F50" w:rsidRDefault="005F5E48"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189345"/>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Ordina heeft de handschoen opgenomen, omdat zij wil laten zien wat Ordina bedoelt met regelgebaseerd ontwerpen en ingebouwde compliance. Hiertoe  heeft een team van drie specialisten in regelbeheersing (Stefan Hersbach, Han Joosten en Richard ter Mors) in de periode van 7</w:t>
      </w:r>
      <w:r w:rsidR="00F36689">
        <w:t xml:space="preserve"> juni 2013 tot 1 juli 2013 een Proof of Concept</w:t>
      </w:r>
      <w:r w:rsidRPr="00D10F50">
        <w:t xml:space="preserve">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3F234D">
      <w:pPr>
        <w:pStyle w:val="Lijstalinea"/>
        <w:numPr>
          <w:ilvl w:val="0"/>
          <w:numId w:val="43"/>
        </w:numPr>
        <w:jc w:val="left"/>
      </w:pPr>
      <w:r w:rsidRPr="00D10F50">
        <w:t>Een prototype-studie,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r w:rsidR="00F36689">
        <w:t>Proof of Concept</w:t>
      </w:r>
      <w:r w:rsidRPr="00D10F50">
        <w:t xml:space="preserve">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deliverable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3F234D">
      <w:pPr>
        <w:pStyle w:val="Lijstalinea"/>
        <w:numPr>
          <w:ilvl w:val="0"/>
          <w:numId w:val="44"/>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w:t>
      </w:r>
      <w:r w:rsidR="00412213">
        <w:t>Ibis</w:t>
      </w:r>
      <w:r w:rsidRPr="00D10F50">
        <w:t>, zoals een plan van aanpak, business case, enzovoorts. Zet hiervoor het bestaande team in, aangevuld met een drietal specialisten vanuit de Inspectie. Hanteer een timebox-sturing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in-productie-datum</w:t>
      </w:r>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in-productie-datum</w:t>
      </w:r>
      <w:r>
        <w:t>;</w:t>
      </w:r>
    </w:p>
    <w:p w:rsidR="00555BF3" w:rsidRPr="00D10F50" w:rsidRDefault="00555BF3" w:rsidP="003F234D">
      <w:pPr>
        <w:pStyle w:val="Lijstalinea"/>
        <w:numPr>
          <w:ilvl w:val="1"/>
          <w:numId w:val="27"/>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Dit voorstel is gemaakt in opdracht van de Inspectie van het Onderwijs te Utrecht. De opdracht is verleend door Dion Kotteman, directeur van de Inspectie, op 6 juni 2013.  Contactpersoon vanuit opdrachtgever is Annemiek  Vermeer, tel. 06-27743569, mail: a.vermeer@owinsp.nl.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met een Managementsamenvatting. I</w:t>
      </w:r>
      <w:r w:rsidRPr="00155BAD">
        <w:t>in hoofdstuk 1 volgt de probleemanalyse en de interpretatie, die Ordi</w:t>
      </w:r>
      <w:r w:rsidR="00524FC8" w:rsidRPr="00155BAD">
        <w:t>na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524FC8" w:rsidRPr="00155BAD" w:rsidRDefault="00524FC8" w:rsidP="00A403AC">
      <w:pPr>
        <w:jc w:val="left"/>
      </w:pPr>
      <w:r w:rsidRPr="00155BAD">
        <w:t xml:space="preserve">In de bijlagen worden zaken opgenomen die niet als los document bij dit voorstel </w:t>
      </w:r>
      <w:r w:rsidR="00155BAD" w:rsidRPr="00155BAD">
        <w:t>word geleverd</w:t>
      </w:r>
      <w:r w:rsidRPr="00155BAD">
        <w:t>.</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189346"/>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189347"/>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w:t>
      </w:r>
      <w:r w:rsidR="00F36689">
        <w:t>ordeed, heeft de Inspectie een Proof of Concept</w:t>
      </w:r>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189348"/>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Edocs,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Edocs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189349"/>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P&amp;C-voorzieningen voor Juridische Zaken worden of gerealiseerd in </w:t>
      </w:r>
      <w:r w:rsidR="00412213">
        <w:t>Ibis</w:t>
      </w:r>
      <w:r w:rsidR="00644019">
        <w:t>, dan wel in e</w:t>
      </w:r>
      <w:r>
        <w:t>D</w:t>
      </w:r>
      <w:r w:rsidR="00644019">
        <w:t>ocs;</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189350"/>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00F36689">
        <w:t>. Gedurende de Proof of Concept</w:t>
      </w:r>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189351"/>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gegevensmodelwijzigingen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zonodig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r w:rsidRPr="00D10F50">
              <w:t>Risico-analyse</w:t>
            </w:r>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r w:rsidRPr="00D10F50">
              <w:t>MS-Excel</w:t>
            </w:r>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189352"/>
      <w:r>
        <w:lastRenderedPageBreak/>
        <w:t>R</w:t>
      </w:r>
      <w:r w:rsidR="00F36689">
        <w:t>esultaten Proof of Concept</w:t>
      </w:r>
      <w:bookmarkEnd w:id="17"/>
    </w:p>
    <w:p w:rsidR="002562B6" w:rsidRDefault="0078458F" w:rsidP="00006BA8">
      <w:pPr>
        <w:jc w:val="left"/>
      </w:pPr>
      <w:r>
        <w:t>Dit</w:t>
      </w:r>
      <w:r w:rsidR="002562B6">
        <w:t xml:space="preserve"> voorstel is gebaseerd op de resultaten van de </w:t>
      </w:r>
      <w:r w:rsidR="00F36689">
        <w:t>Proof of Concept</w:t>
      </w:r>
      <w:r w:rsidR="00D25047">
        <w:t xml:space="preserve">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Ordina</w:t>
      </w:r>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189353"/>
      <w:r w:rsidRPr="00C202AE">
        <w:t>Uitgevoerde Analyses</w:t>
      </w:r>
      <w:bookmarkEnd w:id="18"/>
    </w:p>
    <w:p w:rsidR="00232FAC" w:rsidRPr="00232FAC" w:rsidRDefault="00D25047" w:rsidP="0078458F">
      <w:pPr>
        <w:jc w:val="left"/>
      </w:pPr>
      <w:r w:rsidRPr="00232FAC">
        <w:t xml:space="preserve">Ordina heeft de onderstaande </w:t>
      </w:r>
      <w:r w:rsidR="00D63DF2">
        <w:t>a</w:t>
      </w:r>
      <w:r w:rsidR="00D63DF2" w:rsidRPr="00232FAC">
        <w:t>nalyses</w:t>
      </w:r>
      <w:r w:rsidR="00232FAC" w:rsidRPr="00232FAC">
        <w:t xml:space="preserve"> uitgevoerd en informatie tot zich genomen:</w:t>
      </w:r>
    </w:p>
    <w:p w:rsidR="00006BA8" w:rsidRDefault="00006BA8" w:rsidP="00232FAC">
      <w:pPr>
        <w:pStyle w:val="Lijstalinea"/>
        <w:numPr>
          <w:ilvl w:val="0"/>
          <w:numId w:val="40"/>
        </w:numPr>
        <w:ind w:left="360"/>
        <w:jc w:val="left"/>
      </w:pPr>
      <w:r>
        <w:t>Een analyse van het proces Handhaving, waaronder de sanctietrajecten vallen. Deze analyse heeft plaatsgevonden op basis van:</w:t>
      </w:r>
    </w:p>
    <w:p w:rsidR="00006BA8" w:rsidRDefault="00006BA8" w:rsidP="00232FAC">
      <w:pPr>
        <w:pStyle w:val="Lijstalinea"/>
        <w:numPr>
          <w:ilvl w:val="1"/>
          <w:numId w:val="40"/>
        </w:numPr>
        <w:ind w:left="1080"/>
        <w:jc w:val="left"/>
      </w:pPr>
      <w:r>
        <w:t>De WOT</w:t>
      </w:r>
      <w:r w:rsidR="00D51916">
        <w:t>;</w:t>
      </w:r>
    </w:p>
    <w:p w:rsidR="00006BA8" w:rsidRDefault="00006BA8" w:rsidP="00232FAC">
      <w:pPr>
        <w:pStyle w:val="Lijstalinea"/>
        <w:numPr>
          <w:ilvl w:val="1"/>
          <w:numId w:val="40"/>
        </w:numPr>
        <w:ind w:left="1080"/>
        <w:jc w:val="left"/>
      </w:pPr>
      <w:r>
        <w:t>De sectorwet Primair Onderwijs</w:t>
      </w:r>
      <w:r w:rsidR="00D51916">
        <w:t>;</w:t>
      </w:r>
    </w:p>
    <w:p w:rsidR="00006BA8" w:rsidRDefault="00006BA8" w:rsidP="00232FAC">
      <w:pPr>
        <w:pStyle w:val="Lijstalinea"/>
        <w:numPr>
          <w:ilvl w:val="1"/>
          <w:numId w:val="40"/>
        </w:numPr>
        <w:ind w:left="1080"/>
        <w:jc w:val="left"/>
      </w:pPr>
      <w:r>
        <w:t xml:space="preserve">Het Organisatie- en </w:t>
      </w:r>
      <w:r w:rsidRPr="00FA0677">
        <w:t xml:space="preserve">mandaatbesluit </w:t>
      </w:r>
      <w:r w:rsidR="00D51916">
        <w:t>Inspectie van het Onderwijs;</w:t>
      </w:r>
    </w:p>
    <w:p w:rsidR="00006BA8" w:rsidRDefault="00006BA8" w:rsidP="00232FAC">
      <w:pPr>
        <w:pStyle w:val="Lijstalinea"/>
        <w:numPr>
          <w:ilvl w:val="1"/>
          <w:numId w:val="40"/>
        </w:numPr>
        <w:ind w:left="1080"/>
        <w:jc w:val="left"/>
      </w:pPr>
      <w:r>
        <w:t>Proces Handhaving (NC), Concept, Inspectie van het Onderwijs, April 2012</w:t>
      </w:r>
      <w:r w:rsidR="00D51916">
        <w:t>;</w:t>
      </w:r>
    </w:p>
    <w:p w:rsidR="00006BA8" w:rsidRDefault="00006BA8" w:rsidP="00232FAC">
      <w:pPr>
        <w:pStyle w:val="Lijstalinea"/>
        <w:numPr>
          <w:ilvl w:val="1"/>
          <w:numId w:val="40"/>
        </w:numPr>
        <w:ind w:left="1080"/>
        <w:jc w:val="left"/>
      </w:pPr>
      <w:r>
        <w:t>Perifere regelgeving, voor zover opportuun</w:t>
      </w:r>
      <w:r w:rsidR="00D51916">
        <w:t>;</w:t>
      </w:r>
    </w:p>
    <w:p w:rsidR="00006BA8" w:rsidRDefault="00006BA8" w:rsidP="00232FAC">
      <w:pPr>
        <w:pStyle w:val="Lijstalinea"/>
        <w:numPr>
          <w:ilvl w:val="1"/>
          <w:numId w:val="40"/>
        </w:numPr>
        <w:ind w:left="1080"/>
        <w:jc w:val="left"/>
      </w:pPr>
      <w:r>
        <w:t>De inbreng van Jeroen Gribling, Sabine van der Maarl,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32FAC">
      <w:pPr>
        <w:pStyle w:val="Lijstalinea"/>
        <w:numPr>
          <w:ilvl w:val="0"/>
          <w:numId w:val="50"/>
        </w:numPr>
        <w:jc w:val="left"/>
      </w:pPr>
      <w:r>
        <w:t>Informatie over Ibis, op basis van</w:t>
      </w:r>
    </w:p>
    <w:p w:rsidR="00006BA8" w:rsidRDefault="00006BA8" w:rsidP="00232FAC">
      <w:pPr>
        <w:pStyle w:val="Lijstalinea"/>
        <w:numPr>
          <w:ilvl w:val="1"/>
          <w:numId w:val="50"/>
        </w:numPr>
        <w:jc w:val="left"/>
      </w:pPr>
      <w:r>
        <w:t>Documentatie over Ibis, die door het bouwteam gegenereerd is vanuit de ontwikkelstraat Apex;</w:t>
      </w:r>
    </w:p>
    <w:p w:rsidR="00006BA8" w:rsidRDefault="00006BA8" w:rsidP="00232FAC">
      <w:pPr>
        <w:pStyle w:val="Lijstalinea"/>
        <w:numPr>
          <w:ilvl w:val="1"/>
          <w:numId w:val="50"/>
        </w:numPr>
        <w:jc w:val="left"/>
      </w:pPr>
      <w:r>
        <w:t>Gesprekken met Jos Verkroost</w:t>
      </w:r>
      <w:r w:rsidR="00C202AE">
        <w:t xml:space="preserve"> en Jurrie Zaat;</w:t>
      </w:r>
    </w:p>
    <w:p w:rsidR="00006BA8" w:rsidRDefault="00006BA8" w:rsidP="00232FAC">
      <w:pPr>
        <w:pStyle w:val="Lijstalinea"/>
        <w:numPr>
          <w:ilvl w:val="1"/>
          <w:numId w:val="50"/>
        </w:numPr>
        <w:jc w:val="left"/>
      </w:pPr>
      <w:r>
        <w:t>Kennis over Ibis, voor zover beschikbaar binnen Ordina.</w:t>
      </w:r>
    </w:p>
    <w:p w:rsidR="00006BA8" w:rsidRDefault="00006BA8" w:rsidP="00232FAC">
      <w:pPr>
        <w:pStyle w:val="Lijstalinea"/>
        <w:numPr>
          <w:ilvl w:val="0"/>
          <w:numId w:val="50"/>
        </w:numPr>
        <w:jc w:val="left"/>
      </w:pPr>
      <w:r>
        <w:t>Een zgn. Ampersand-analyse</w:t>
      </w:r>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32FAC">
      <w:pPr>
        <w:pStyle w:val="Lijstalinea"/>
        <w:numPr>
          <w:ilvl w:val="1"/>
          <w:numId w:val="50"/>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32FAC">
      <w:pPr>
        <w:pStyle w:val="Lijstalinea"/>
        <w:numPr>
          <w:ilvl w:val="1"/>
          <w:numId w:val="50"/>
        </w:numPr>
        <w:jc w:val="left"/>
      </w:pPr>
      <w:r>
        <w:t>Werkende software, die als prototype voor het proces handhaving is gebruikt. Op basis hiervan kunnen in de ontwerpfase met gebruikers user-stories worden doorlopen.</w:t>
      </w:r>
    </w:p>
    <w:p w:rsidR="00006BA8" w:rsidRDefault="00006BA8" w:rsidP="00006BA8">
      <w:pPr>
        <w:pStyle w:val="Lijstalinea"/>
        <w:jc w:val="left"/>
      </w:pPr>
    </w:p>
    <w:p w:rsidR="00D61BF6" w:rsidRPr="00232FAC" w:rsidRDefault="00D61BF6" w:rsidP="00D61BF6">
      <w:pPr>
        <w:jc w:val="left"/>
      </w:pPr>
      <w:r>
        <w:t xml:space="preserve">De meest relevante resultaten van de analyses worden in de volgende paragrafen </w:t>
      </w:r>
      <w:r w:rsidR="00CC6F3E">
        <w:t>weeregegeven</w:t>
      </w:r>
      <w:r>
        <w:t>.</w:t>
      </w: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189354"/>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Ordina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r w:rsidRPr="00E32685">
        <w:rPr>
          <w:b/>
          <w:u w:val="single"/>
        </w:rPr>
        <w:t>Mapping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SanctieType</w:t>
            </w:r>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Deze mapping leidt tot de conclusie dat Ordina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189355"/>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189356"/>
      <w:r>
        <w:t>Overige bevindingen</w:t>
      </w:r>
      <w:bookmarkEnd w:id="21"/>
    </w:p>
    <w:p w:rsidR="00006BA8" w:rsidRDefault="005D1088" w:rsidP="00006BA8">
      <w:pPr>
        <w:jc w:val="left"/>
      </w:pPr>
      <w:r>
        <w:t xml:space="preserve">Hieronder volgt een opsomming van relevante bevindingen die volgens Ordina </w:t>
      </w:r>
      <w:r w:rsidR="00006BA8">
        <w:t xml:space="preserve">geagendeerd </w:t>
      </w:r>
      <w:r>
        <w:t>moeten</w:t>
      </w:r>
      <w:r w:rsidR="00006BA8">
        <w:t xml:space="preserve"> worden voor </w:t>
      </w:r>
      <w:r>
        <w:t>dit vernieuwingstraject</w:t>
      </w:r>
      <w:r w:rsidR="00006BA8">
        <w:t>:</w:t>
      </w:r>
    </w:p>
    <w:p w:rsidR="00006BA8" w:rsidRDefault="00006BA8" w:rsidP="00006BA8">
      <w:pPr>
        <w:pStyle w:val="Lijstalinea"/>
        <w:numPr>
          <w:ilvl w:val="0"/>
          <w:numId w:val="36"/>
        </w:numPr>
        <w:jc w:val="left"/>
      </w:pPr>
      <w:r>
        <w:t>Vanaf het moment van beschikken wordt de regie van het sanctieproces overgedragen aan DUO. Het berichtenverkeer van en naar DUO verdient aandacht, om beter aan te sluiten op het uitvoeringsproces bij DUO;</w:t>
      </w:r>
    </w:p>
    <w:p w:rsidR="00006BA8" w:rsidRDefault="00006BA8" w:rsidP="00006BA8">
      <w:pPr>
        <w:pStyle w:val="Lijstalinea"/>
        <w:numPr>
          <w:ilvl w:val="0"/>
          <w:numId w:val="36"/>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006BA8">
      <w:pPr>
        <w:pStyle w:val="Lijstalinea"/>
        <w:numPr>
          <w:ilvl w:val="0"/>
          <w:numId w:val="36"/>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006BA8">
      <w:pPr>
        <w:pStyle w:val="Lijstalinea"/>
        <w:numPr>
          <w:ilvl w:val="0"/>
          <w:numId w:val="36"/>
        </w:numPr>
        <w:jc w:val="left"/>
      </w:pPr>
      <w:r>
        <w:t>IBIS maakt gebruik van business rules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006BA8">
      <w:pPr>
        <w:pStyle w:val="Lijstalinea"/>
        <w:numPr>
          <w:ilvl w:val="0"/>
          <w:numId w:val="36"/>
        </w:numPr>
        <w:jc w:val="left"/>
      </w:pPr>
      <w:r>
        <w:t>Onderzoeksrapporten, die door Ordina zijn bekeken, vertonen de structuur van de respectievelijke toetsingskaders, maar het uiterlijk van handmatig opgemaakte Word-documenten.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189357"/>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3F234D">
      <w:pPr>
        <w:pStyle w:val="Lijstalinea"/>
        <w:numPr>
          <w:ilvl w:val="0"/>
          <w:numId w:val="41"/>
        </w:numPr>
        <w:jc w:val="left"/>
      </w:pPr>
      <w:r>
        <w:t>de co-creatie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In timeboxes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r w:rsidRPr="00B612E5">
        <w:rPr>
          <w:b/>
        </w:rPr>
        <w:t>Disclaimer</w:t>
      </w:r>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189358"/>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4"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breder draagvlak te creëren is een tweetal workshops voorzien met meerdere deelnemers. De aanpak stelt co-creatie centraal: het bedrijfsproces is van de Inspectie, en Ordina zorgt voor de consistentie en bouwbaarheid van het resultaat.</w:t>
      </w:r>
    </w:p>
    <w:p w:rsidR="00333D68" w:rsidRDefault="00333D68" w:rsidP="00333D68">
      <w:r>
        <w:t>In Ordina’s aanpak wordt gewerkt met prototypes, die gebruikers in staat stellen de werkvolgordes uit de praktijk te toetsen aan een werkend prototype. Ook dit maakt deel uit van co-creatie.</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189359"/>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8A251D" w:rsidP="00C210FD">
      <w:pPr>
        <w:pStyle w:val="Kop4"/>
      </w:pPr>
      <w:r w:rsidRPr="00D10F50">
        <w:t>Deliverables</w:t>
      </w:r>
      <w:r w:rsidR="003B22A3">
        <w:t xml:space="preserve"> in F</w:t>
      </w:r>
      <w:r w:rsidR="00E34A6D" w:rsidRPr="00D10F50">
        <w:t>ase</w:t>
      </w:r>
      <w:r w:rsidR="003B22A3">
        <w:t xml:space="preserve"> 1-</w:t>
      </w:r>
      <w:r w:rsidR="00E34A6D" w:rsidRPr="00D10F50">
        <w:t xml:space="preserve"> </w:t>
      </w:r>
      <w:r w:rsidR="001859FE">
        <w:t>Zomer</w:t>
      </w:r>
    </w:p>
    <w:p w:rsidR="00A35141" w:rsidRPr="00D10F50" w:rsidRDefault="00A35141" w:rsidP="00A35141">
      <w:r w:rsidRPr="00D10F50">
        <w:t>Voor de opdracht bij de Inspectie van het Onderwijs voorziet Ordina vanuit zijn aanp</w:t>
      </w:r>
      <w:r>
        <w:t>ak de onderstaande deliverables:</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644019">
      <w:pPr>
        <w:pStyle w:val="Lijstalinea"/>
        <w:numPr>
          <w:ilvl w:val="1"/>
          <w:numId w:val="34"/>
        </w:numPr>
      </w:pPr>
      <w:r w:rsidRPr="00D10F50">
        <w:t>Afhankelijkheidsmatrix (ma</w:t>
      </w:r>
      <w:r w:rsidR="005E2DBD">
        <w:t>p</w:t>
      </w:r>
      <w:r w:rsidRPr="00D10F50">
        <w:t>ping: taak, rol en benodigde informatie (nc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Rulebook</w:t>
      </w:r>
      <w:r>
        <w:t>;</w:t>
      </w:r>
    </w:p>
    <w:p w:rsidR="00644019" w:rsidRPr="00D10F50" w:rsidRDefault="00644019" w:rsidP="005E2DBD">
      <w:pPr>
        <w:pStyle w:val="Lijstalinea"/>
        <w:numPr>
          <w:ilvl w:val="1"/>
          <w:numId w:val="34"/>
        </w:numPr>
      </w:pPr>
      <w:r w:rsidRPr="00D10F50">
        <w:t>Solution architectuur;</w:t>
      </w:r>
    </w:p>
    <w:p w:rsidR="005E2DBD" w:rsidRDefault="005E2DBD" w:rsidP="005E2DBD">
      <w:pPr>
        <w:pStyle w:val="Lijstalinea"/>
        <w:numPr>
          <w:ilvl w:val="0"/>
          <w:numId w:val="34"/>
        </w:numPr>
        <w:rPr>
          <w:lang w:val="en-US"/>
        </w:rPr>
      </w:pPr>
      <w:r>
        <w:rPr>
          <w:lang w:val="en-US"/>
        </w:rPr>
        <w:t>Testplan;</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r>
        <w:rPr>
          <w:lang w:val="en-US"/>
        </w:rPr>
        <w:t>Implementatie plan;</w:t>
      </w:r>
    </w:p>
    <w:p w:rsidR="00644019" w:rsidRPr="005E2DBD" w:rsidRDefault="00644019" w:rsidP="005E2DBD">
      <w:pPr>
        <w:pStyle w:val="Lijstalinea"/>
        <w:numPr>
          <w:ilvl w:val="0"/>
          <w:numId w:val="34"/>
        </w:numPr>
      </w:pPr>
      <w:r w:rsidRPr="00D10F50">
        <w:t>OTAP (Ontwikkel/Test/Acceptatie/Productie-st</w:t>
      </w:r>
      <w:r w:rsidR="005E2DBD">
        <w:t>r</w:t>
      </w:r>
      <w:r w:rsidRPr="00D10F50">
        <w:t>aat) omgeving.</w:t>
      </w:r>
    </w:p>
    <w:p w:rsidR="00A35141" w:rsidRDefault="00A35141" w:rsidP="00A35141"/>
    <w:p w:rsidR="00012ECC" w:rsidRDefault="00012ECC" w:rsidP="00A35141">
      <w:r>
        <w:t>In de volgende paragraaf worden de activiteiten die tot de gewenste deliverables leiden beschreven.</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r w:rsidRPr="00D10F50">
              <w:rPr>
                <w:b w:val="0"/>
              </w:rPr>
              <w:t>Deliverable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De projectorganisatie bestaat uit projectmanager en uitvoerende teamleden. Deze zal zich in eerste instantie richten op het plan van aanpak voor de zomer-fase.</w:t>
            </w:r>
            <w:r w:rsidR="007F15E1">
              <w:t xml:space="preserve"> Het voorliggende voorstel kan gebruikt worden als plan van aanpak voor de zomer, maar niet nadat de Inspectie zelf haar inbreng erin verwerkt ziet. Deze aanpassingen kunnen vanaf 1 juli in een defintief Plan van Aanpak (PvA)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co-creatie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r>
              <w:t>S</w:t>
            </w:r>
            <w:r w:rsidRPr="00D10F50">
              <w:t>olution</w:t>
            </w:r>
            <w:r>
              <w:t xml:space="preserve"> </w:t>
            </w:r>
            <w:r w:rsidRPr="00D10F50">
              <w:t>architectuur</w:t>
            </w:r>
            <w:r>
              <w:t>.</w:t>
            </w:r>
          </w:p>
        </w:tc>
        <w:tc>
          <w:tcPr>
            <w:tcW w:w="1366" w:type="dxa"/>
          </w:tcPr>
          <w:p w:rsidR="00F3374A" w:rsidRDefault="00CC6E1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(IvO)</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use-case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8C75E3">
            <w:pPr>
              <w:jc w:val="left"/>
              <w:cnfStyle w:val="000000000000"/>
            </w:pPr>
            <w:r w:rsidRPr="001033D3">
              <w:t xml:space="preserve">Na de zomer-fase zal de realisatie starten. Hiervoor zal een OTAP straat </w:t>
            </w:r>
            <w:r w:rsidR="008C75E3">
              <w:t xml:space="preserve">van </w:t>
            </w:r>
            <w:r w:rsidR="00412213">
              <w:t>Ibis</w:t>
            </w:r>
            <w:r w:rsidR="008C75E3">
              <w:t xml:space="preserve"> worden gebruikt</w:t>
            </w:r>
            <w:r w:rsidRPr="001033D3">
              <w: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lastRenderedPageBreak/>
        <w:t>Betrokken</w:t>
      </w:r>
      <w:r w:rsidR="00A35141">
        <w:t xml:space="preserve"> r</w:t>
      </w:r>
      <w:r w:rsidRPr="00D10F50">
        <w:t>ollen</w:t>
      </w:r>
      <w:r w:rsidR="007E5D37">
        <w:t xml:space="preserve"> (kunnen in één persoon verenigd zijn)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r w:rsidRPr="00D10F50">
        <w:t>Stakeholders</w:t>
      </w:r>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 xml:space="preserve">Materiedeskundige </w:t>
      </w:r>
      <w:r w:rsidR="00412213">
        <w:t>IBIS</w:t>
      </w:r>
      <w:r w:rsidRPr="00D10F50">
        <w:t xml:space="preserve">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r w:rsidRPr="00D10F50">
        <w:t>Key-user;</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 xml:space="preserve">Onderstaande zaken zijn in dit voorstel nog niet belegd en worden </w:t>
      </w:r>
      <w:r w:rsidR="007E5D37">
        <w:t>gedurende de zomer</w:t>
      </w:r>
      <w:r>
        <w:t xml:space="preserve"> besproken;</w:t>
      </w:r>
    </w:p>
    <w:p w:rsidR="00B37941" w:rsidRPr="00D10F50" w:rsidRDefault="00B37941" w:rsidP="003F234D">
      <w:pPr>
        <w:pStyle w:val="Lijstalinea"/>
        <w:numPr>
          <w:ilvl w:val="0"/>
          <w:numId w:val="36"/>
        </w:numPr>
        <w:jc w:val="left"/>
      </w:pPr>
      <w:r w:rsidRPr="00D10F50">
        <w:t>Enterprise Rule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7E5D37" w:rsidP="003F234D">
      <w:pPr>
        <w:pStyle w:val="Lijstalinea"/>
        <w:numPr>
          <w:ilvl w:val="0"/>
          <w:numId w:val="36"/>
        </w:numPr>
        <w:jc w:val="left"/>
      </w:pPr>
      <w:r>
        <w:t>aandacht aan w</w:t>
      </w:r>
      <w:r w:rsidR="003F234D">
        <w:t>ijzigingen op de technische-,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189360"/>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261389">
        <w:t>Fase 1</w:t>
      </w:r>
      <w:r w:rsidR="00C47F6D">
        <w:t xml:space="preserve"> </w:t>
      </w:r>
      <w:r w:rsidR="00576F0C">
        <w:t xml:space="preserve">de </w:t>
      </w:r>
      <w:r w:rsidR="00261389">
        <w:t>vereistte</w:t>
      </w:r>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Toc360189361"/>
      <w:r w:rsidRPr="004A53C8">
        <w:t>Organisatie</w:t>
      </w:r>
      <w:bookmarkEnd w:id="27"/>
      <w:bookmarkEnd w:id="28"/>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co-creatie en time-box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29" w:name="_Toc357028598"/>
      <w:bookmarkStart w:id="30"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key-users,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Waarbij de Executive</w:t>
      </w:r>
      <w:r w:rsidR="00BC1391">
        <w:t xml:space="preserve"> rol in</w:t>
      </w:r>
      <w:r>
        <w:t xml:space="preserve">gevuld zal worden vanuit de </w:t>
      </w:r>
      <w:r w:rsidR="00BC1391">
        <w:t>Inspectie, d</w:t>
      </w:r>
      <w:r>
        <w:t xml:space="preserve">e Senior Supplier </w:t>
      </w:r>
      <w:r w:rsidR="00BC1391">
        <w:t xml:space="preserve">zal </w:t>
      </w:r>
      <w:r>
        <w:t xml:space="preserve">vanuit Ordina </w:t>
      </w:r>
      <w:r w:rsidR="00BC1391">
        <w:t>worden ingevuld;</w:t>
      </w:r>
      <w:r>
        <w:t xml:space="preserve"> de Senior User</w:t>
      </w:r>
      <w:r w:rsidR="00BC1391">
        <w:t xml:space="preserve"> is een key-user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BE4A88" w:rsidRDefault="003F234D" w:rsidP="00BE4A88">
      <w:r>
        <w:t>Binnen het project zal gestuurd worden op basis van ‘Management by Exception’. Om goede partnership en sturing te behouden op het project</w:t>
      </w:r>
      <w:r w:rsidR="00BD4D66">
        <w:t xml:space="preserve"> zal de stuurgroep frequent </w:t>
      </w:r>
      <w:r>
        <w:t>treffen. De stuurgroep verleent het projectmandaat aan de projectmanager.</w:t>
      </w:r>
    </w:p>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Scrum master</w:t>
      </w:r>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Domein Experts vanuit de Inspectie en regelspecialisten van Ordina;</w:t>
      </w:r>
    </w:p>
    <w:p w:rsidR="003F234D" w:rsidRDefault="003F234D" w:rsidP="009936C4">
      <w:pPr>
        <w:pStyle w:val="LijstBullet1"/>
        <w:numPr>
          <w:ilvl w:val="0"/>
          <w:numId w:val="49"/>
        </w:numPr>
        <w:jc w:val="left"/>
        <w:rPr>
          <w:lang w:val="nl-NL"/>
        </w:rPr>
      </w:pPr>
      <w:r>
        <w:rPr>
          <w:lang w:val="nl-NL"/>
        </w:rPr>
        <w:t xml:space="preserve">Product owner: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r>
              <w:t>Ordina Scrum master</w:t>
            </w:r>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Master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Inspectie procuct owner</w:t>
            </w:r>
          </w:p>
        </w:tc>
        <w:tc>
          <w:tcPr>
            <w:tcW w:w="3701" w:type="pct"/>
          </w:tcPr>
          <w:p w:rsidR="003F234D" w:rsidRDefault="003F234D" w:rsidP="00183066">
            <w:pPr>
              <w:jc w:val="left"/>
              <w:cnfStyle w:val="000000100000"/>
            </w:pPr>
            <w:r>
              <w:t>Verantwoordelijk voor het prioriteren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lastRenderedPageBreak/>
        <w:t>Projectlocatie</w:t>
      </w:r>
      <w:bookmarkEnd w:id="29"/>
    </w:p>
    <w:p w:rsidR="003F234D" w:rsidRDefault="007E5D37" w:rsidP="009936C4">
      <w:pPr>
        <w:jc w:val="left"/>
      </w:pPr>
      <w:r>
        <w:t xml:space="preserve">Het project wordt uitgevoerd vanuit de locatie </w:t>
      </w:r>
      <w:r w:rsidR="000D52F0">
        <w:t>Ordina</w:t>
      </w:r>
      <w:r>
        <w:t>-Apeldoorn. Vanwege de co-creatie zullen de betrokkenen intensief contact hebben met de Inspectie. Daarom is een pied-à-terre in de Meern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r>
              <w:rPr>
                <w:color w:val="262626" w:themeColor="text1" w:themeTint="D9"/>
                <w:sz w:val="14"/>
              </w:rPr>
              <w:t>Executive</w:t>
            </w:r>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Senior supplier</w:t>
            </w:r>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r>
              <w:rPr>
                <w:color w:val="262626" w:themeColor="text1" w:themeTint="D9"/>
                <w:sz w:val="14"/>
              </w:rPr>
              <w:t>tweew</w:t>
            </w:r>
            <w:r w:rsidR="003F234D" w:rsidRPr="00DB3059">
              <w:rPr>
                <w:color w:val="262626" w:themeColor="text1" w:themeTint="D9"/>
                <w:sz w:val="14"/>
              </w:rPr>
              <w:t>Wekelijks</w:t>
            </w:r>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0"/>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1" w:name="_Toc323915691"/>
      <w:bookmarkStart w:id="32" w:name="_Toc323915692"/>
      <w:bookmarkStart w:id="33" w:name="_Toc323915693"/>
      <w:bookmarkStart w:id="34" w:name="_Toc323915694"/>
      <w:bookmarkStart w:id="35" w:name="_Toc323915695"/>
      <w:bookmarkStart w:id="36" w:name="_Toc323915696"/>
      <w:bookmarkStart w:id="37" w:name="_Toc323915697"/>
      <w:bookmarkStart w:id="38" w:name="_Toc323915698"/>
      <w:bookmarkStart w:id="39" w:name="_Toc323915699"/>
      <w:bookmarkStart w:id="40" w:name="_Toc323915700"/>
      <w:bookmarkStart w:id="41" w:name="_Toc323915701"/>
      <w:bookmarkStart w:id="42" w:name="_Toc323915702"/>
      <w:bookmarkStart w:id="43" w:name="_Toc323915703"/>
      <w:bookmarkStart w:id="44" w:name="_Toc323915704"/>
      <w:bookmarkStart w:id="45" w:name="_Toc323915705"/>
      <w:bookmarkStart w:id="46" w:name="_Toc323915706"/>
      <w:bookmarkStart w:id="47" w:name="_Toc323915707"/>
      <w:bookmarkStart w:id="48" w:name="_Toc323915708"/>
      <w:bookmarkStart w:id="49" w:name="_Toc323915709"/>
      <w:bookmarkStart w:id="50" w:name="_Toc323915710"/>
      <w:bookmarkStart w:id="51" w:name="_Toc323915711"/>
      <w:bookmarkStart w:id="52" w:name="_Toc323915712"/>
      <w:bookmarkStart w:id="53" w:name="_Toc323915713"/>
      <w:bookmarkStart w:id="54" w:name="_Toc323915714"/>
      <w:bookmarkStart w:id="55" w:name="_Toc323915715"/>
      <w:bookmarkStart w:id="56" w:name="_Toc323915716"/>
      <w:bookmarkStart w:id="57" w:name="_Toc323915717"/>
      <w:bookmarkStart w:id="58" w:name="_Toc323915718"/>
      <w:bookmarkStart w:id="59" w:name="_Toc323915719"/>
      <w:bookmarkStart w:id="60" w:name="_Toc323915720"/>
      <w:bookmarkStart w:id="61" w:name="_Toc323915721"/>
      <w:bookmarkStart w:id="62" w:name="_Toc323915722"/>
      <w:bookmarkStart w:id="63" w:name="_Toc323915723"/>
      <w:bookmarkStart w:id="64" w:name="_Toc323915724"/>
      <w:bookmarkStart w:id="65" w:name="_Toc323915725"/>
      <w:bookmarkStart w:id="66" w:name="_Toc323915726"/>
      <w:bookmarkStart w:id="67" w:name="_Toc323915727"/>
      <w:bookmarkStart w:id="68" w:name="_Toc323915728"/>
      <w:bookmarkStart w:id="69" w:name="_Toc323915729"/>
      <w:bookmarkStart w:id="70" w:name="_Toc323915730"/>
      <w:bookmarkStart w:id="71" w:name="_Toc323915731"/>
      <w:bookmarkStart w:id="72" w:name="_Toc323915732"/>
      <w:bookmarkStart w:id="73" w:name="_Toc323915733"/>
      <w:bookmarkStart w:id="74" w:name="_Toc323915734"/>
      <w:bookmarkStart w:id="75" w:name="_Toc323915735"/>
      <w:bookmarkStart w:id="76" w:name="_Toc323915736"/>
      <w:bookmarkStart w:id="77" w:name="_Toc323915737"/>
      <w:bookmarkStart w:id="78" w:name="_Toc323915738"/>
      <w:bookmarkStart w:id="79" w:name="_Toc323915739"/>
      <w:bookmarkStart w:id="80" w:name="_Toc323915740"/>
      <w:bookmarkStart w:id="81" w:name="_Toc323915741"/>
      <w:bookmarkStart w:id="82" w:name="_Toc323915742"/>
      <w:bookmarkStart w:id="83" w:name="_Toc323915743"/>
      <w:bookmarkStart w:id="84" w:name="_Toc323915744"/>
      <w:bookmarkStart w:id="85" w:name="_Toc323915745"/>
      <w:bookmarkStart w:id="86" w:name="_Toc323915746"/>
      <w:bookmarkStart w:id="87" w:name="_Toc323915747"/>
      <w:bookmarkStart w:id="88" w:name="_Toc323915748"/>
      <w:bookmarkStart w:id="89" w:name="_Toc323915749"/>
      <w:bookmarkStart w:id="90" w:name="_Toc323915750"/>
      <w:bookmarkStart w:id="91" w:name="_Toc323915751"/>
      <w:bookmarkStart w:id="92" w:name="_Toc323915752"/>
      <w:bookmarkStart w:id="93" w:name="_Toc323915753"/>
      <w:bookmarkStart w:id="94" w:name="_Toc323915754"/>
      <w:bookmarkStart w:id="95" w:name="_Toc323915755"/>
      <w:bookmarkStart w:id="96" w:name="_Toc323915756"/>
      <w:bookmarkStart w:id="97" w:name="_Toc323915757"/>
      <w:bookmarkStart w:id="98" w:name="_Toc323915758"/>
      <w:bookmarkStart w:id="99" w:name="_Toc323915759"/>
      <w:bookmarkStart w:id="100" w:name="_Toc323915760"/>
      <w:bookmarkStart w:id="101" w:name="_Toc323915761"/>
      <w:bookmarkStart w:id="102" w:name="_Toc323915762"/>
      <w:bookmarkStart w:id="103" w:name="_Toc323915763"/>
      <w:bookmarkStart w:id="104" w:name="_Toc323915764"/>
      <w:bookmarkStart w:id="105" w:name="_Toc323915765"/>
      <w:bookmarkStart w:id="106" w:name="_Toc323915766"/>
      <w:bookmarkStart w:id="107" w:name="_Toc323915767"/>
      <w:bookmarkStart w:id="108" w:name="_Toc323915768"/>
      <w:bookmarkStart w:id="109" w:name="_Toc323915769"/>
      <w:bookmarkStart w:id="110" w:name="_Toc323915770"/>
      <w:bookmarkStart w:id="111" w:name="_Toc323915771"/>
      <w:bookmarkStart w:id="112" w:name="_Toc323915772"/>
      <w:bookmarkStart w:id="113" w:name="_Toc323915774"/>
      <w:bookmarkStart w:id="114" w:name="_Ref323899007"/>
      <w:bookmarkStart w:id="115" w:name="_Toc36018936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070A4">
        <w:rPr>
          <w:noProof/>
        </w:rPr>
        <w:t>Planning</w:t>
      </w:r>
      <w:bookmarkEnd w:id="114"/>
      <w:r w:rsidR="00B81AC8" w:rsidRPr="009070A4">
        <w:rPr>
          <w:noProof/>
        </w:rPr>
        <w:t xml:space="preserve"> en doorloooptijden</w:t>
      </w:r>
      <w:bookmarkEnd w:id="115"/>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project-mgr</w:t>
            </w:r>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1 project-mgr.</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1 change mgr.</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1 project-mgr.</w:t>
            </w:r>
          </w:p>
          <w:p w:rsidR="00031AA2" w:rsidRDefault="00031AA2" w:rsidP="00114CFE">
            <w:pPr>
              <w:jc w:val="left"/>
              <w:cnfStyle w:val="000000000000"/>
            </w:pPr>
            <w:r>
              <w:t>1 regelspecialist</w:t>
            </w:r>
          </w:p>
          <w:p w:rsidR="00031AA2" w:rsidRDefault="00031AA2" w:rsidP="00114CFE">
            <w:pPr>
              <w:jc w:val="left"/>
              <w:cnfStyle w:val="000000000000"/>
            </w:pPr>
            <w:r>
              <w:t>1 generator-specialist</w:t>
            </w:r>
          </w:p>
          <w:p w:rsidR="00031AA2" w:rsidRDefault="00031AA2" w:rsidP="00114CFE">
            <w:pPr>
              <w:jc w:val="left"/>
              <w:cnfStyle w:val="000000000000"/>
            </w:pPr>
            <w:r>
              <w:lastRenderedPageBreak/>
              <w:t>1 change mgr.</w:t>
            </w:r>
          </w:p>
          <w:p w:rsidR="00031AA2" w:rsidRPr="00304CE7" w:rsidRDefault="00031AA2" w:rsidP="00114CFE">
            <w:pPr>
              <w:jc w:val="left"/>
              <w:cnfStyle w:val="000000000000"/>
            </w:pPr>
            <w:r>
              <w:t>1 interface-bouwer.</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A646C7" w:rsidRDefault="00C038A3" w:rsidP="00791160">
      <w:pPr>
        <w:pStyle w:val="Kop1"/>
      </w:pPr>
      <w:bookmarkStart w:id="116" w:name="_Toc360189363"/>
      <w:bookmarkEnd w:id="1"/>
      <w:r w:rsidRPr="00D10F50">
        <w:lastRenderedPageBreak/>
        <w:t>Conclusie</w:t>
      </w:r>
      <w:r w:rsidR="008A4D39" w:rsidRPr="00D10F50">
        <w:t>s en Aanbevelingen</w:t>
      </w:r>
      <w:bookmarkEnd w:id="116"/>
    </w:p>
    <w:p w:rsidR="002B28C1" w:rsidRDefault="002B28C1" w:rsidP="002B28C1">
      <w:r>
        <w:t>Onderdeel van dit voorstel is:</w:t>
      </w:r>
    </w:p>
    <w:p w:rsidR="002B28C1" w:rsidRDefault="002B28C1" w:rsidP="00232FAC">
      <w:pPr>
        <w:pStyle w:val="Lijstalinea"/>
        <w:numPr>
          <w:ilvl w:val="0"/>
          <w:numId w:val="50"/>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32FAC">
      <w:pPr>
        <w:pStyle w:val="Lijstalinea"/>
        <w:numPr>
          <w:ilvl w:val="0"/>
          <w:numId w:val="50"/>
        </w:numPr>
      </w:pPr>
      <w:r>
        <w:t xml:space="preserve">De presentatie van de </w:t>
      </w:r>
      <w:r w:rsidR="00412213">
        <w:t>PoC</w:t>
      </w:r>
      <w:r>
        <w:t xml:space="preserve"> op 1 juli.</w:t>
      </w:r>
    </w:p>
    <w:p w:rsidR="002B28C1" w:rsidRPr="002B28C1" w:rsidRDefault="002B28C1" w:rsidP="00232FAC">
      <w:pPr>
        <w:pStyle w:val="Lijstalinea"/>
        <w:numPr>
          <w:ilvl w:val="0"/>
          <w:numId w:val="50"/>
        </w:numPr>
      </w:pPr>
    </w:p>
    <w:p w:rsidR="008A4D39" w:rsidRPr="00D10F50" w:rsidRDefault="008A4D39" w:rsidP="003F234D">
      <w:pPr>
        <w:jc w:val="left"/>
      </w:pPr>
      <w:r w:rsidRPr="00D10F50">
        <w:t xml:space="preserve">Ordina concludeert dat de gevraagde aanpassing aan </w:t>
      </w:r>
      <w:r w:rsidR="00412213">
        <w:t>Ibis</w:t>
      </w:r>
      <w:r w:rsidRPr="00D10F50">
        <w:t xml:space="preserve"> mogelijk is en stelt voor om:</w:t>
      </w:r>
    </w:p>
    <w:p w:rsidR="008A4D39" w:rsidRPr="00D10F50" w:rsidRDefault="008A4D39" w:rsidP="003F234D">
      <w:pPr>
        <w:pStyle w:val="Lijstalinea"/>
        <w:numPr>
          <w:ilvl w:val="0"/>
          <w:numId w:val="29"/>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3F234D">
      <w:pPr>
        <w:pStyle w:val="Lijstalinea"/>
        <w:numPr>
          <w:ilvl w:val="0"/>
          <w:numId w:val="29"/>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426B5D" w:rsidP="00CE6849">
      <w:pPr>
        <w:pStyle w:val="Kop1"/>
        <w:numPr>
          <w:ilvl w:val="0"/>
          <w:numId w:val="0"/>
        </w:numPr>
      </w:pPr>
      <w:bookmarkStart w:id="117" w:name="_Toc360189364"/>
      <w:r>
        <w:lastRenderedPageBreak/>
        <w:t>Bijlage A: R</w:t>
      </w:r>
      <w:r w:rsidR="002F3A13">
        <w:t>egel</w:t>
      </w:r>
      <w:r>
        <w:t>gebasseerd Ontwerpen</w:t>
      </w:r>
      <w:bookmarkEnd w:id="117"/>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0"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1"/>
      <w:headerReference w:type="default" r:id="rId32"/>
      <w:footerReference w:type="default" r:id="rId33"/>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30A" w:rsidRDefault="00EE330A" w:rsidP="00791160">
      <w:r>
        <w:separator/>
      </w:r>
    </w:p>
    <w:p w:rsidR="00EE330A" w:rsidRDefault="00EE330A" w:rsidP="00791160"/>
    <w:p w:rsidR="00EE330A" w:rsidRDefault="00EE330A" w:rsidP="00791160"/>
    <w:p w:rsidR="00EE330A" w:rsidRDefault="00EE330A" w:rsidP="00791160"/>
    <w:p w:rsidR="00EE330A" w:rsidRDefault="00EE330A" w:rsidP="00791160"/>
  </w:endnote>
  <w:endnote w:type="continuationSeparator" w:id="0">
    <w:p w:rsidR="00EE330A" w:rsidRDefault="00EE330A" w:rsidP="00791160">
      <w:r>
        <w:continuationSeparator/>
      </w:r>
    </w:p>
    <w:p w:rsidR="00EE330A" w:rsidRDefault="00EE330A" w:rsidP="00791160"/>
    <w:p w:rsidR="00EE330A" w:rsidRDefault="00EE330A" w:rsidP="00791160"/>
    <w:p w:rsidR="00EE330A" w:rsidRDefault="00EE330A" w:rsidP="00791160"/>
    <w:p w:rsidR="00EE330A" w:rsidRDefault="00EE330A"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98058F"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CC6F3E">
            <w:rPr>
              <w:rStyle w:val="Paginanummer"/>
              <w:noProof/>
            </w:rPr>
            <w:t>8</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CC6F3E">
            <w:rPr>
              <w:rStyle w:val="Paginanummer"/>
              <w:noProof/>
            </w:rPr>
            <w:t>20</w:t>
          </w:r>
          <w:r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30A" w:rsidRDefault="00EE330A" w:rsidP="00791160">
      <w:r>
        <w:separator/>
      </w:r>
    </w:p>
    <w:p w:rsidR="00EE330A" w:rsidRDefault="00EE330A" w:rsidP="00791160"/>
    <w:p w:rsidR="00EE330A" w:rsidRDefault="00EE330A" w:rsidP="00791160"/>
    <w:p w:rsidR="00EE330A" w:rsidRDefault="00EE330A" w:rsidP="00791160"/>
    <w:p w:rsidR="00EE330A" w:rsidRDefault="00EE330A" w:rsidP="00791160"/>
  </w:footnote>
  <w:footnote w:type="continuationSeparator" w:id="0">
    <w:p w:rsidR="00EE330A" w:rsidRDefault="00EE330A" w:rsidP="00791160">
      <w:r>
        <w:continuationSeparator/>
      </w:r>
    </w:p>
    <w:p w:rsidR="00EE330A" w:rsidRDefault="00EE330A" w:rsidP="00791160"/>
    <w:p w:rsidR="00EE330A" w:rsidRDefault="00EE330A" w:rsidP="00791160"/>
    <w:p w:rsidR="00EE330A" w:rsidRDefault="00EE330A" w:rsidP="00791160"/>
    <w:p w:rsidR="00EE330A" w:rsidRDefault="00EE330A"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r>
        <w:rPr>
          <w:lang w:val="nl-NL"/>
        </w:rPr>
        <w:t>Ampersand is een aanpak voor regelgebaseerd ontwerpen, die Ordina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De werkwijze die de Inspectie gedurende de PoC heeft meegemaakt, is kenmerkend voor de manier waarop het team requirements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Bedrijfsregels zijn gedefinieerd in het Business Rules Manifesto (</w:t>
      </w:r>
      <w:hyperlink r:id="rId1" w:history="1">
        <w:r w:rsidRPr="00266491">
          <w:rPr>
            <w:rStyle w:val="Hyperlink"/>
            <w:lang w:val="nl-NL"/>
          </w:rPr>
          <w:t>http://www.businessrulesgroup.org/brmanifesto.htm</w:t>
        </w:r>
      </w:hyperlink>
      <w:r w:rsidRPr="00266491">
        <w:rPr>
          <w:lang w:val="nl-NL"/>
        </w:rPr>
        <w:t>)</w:t>
      </w:r>
      <w:r>
        <w:rPr>
          <w:lang w:val="nl-NL"/>
        </w:rPr>
        <w:t xml:space="preserve"> als requirements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6">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7"/>
  </w:num>
  <w:num w:numId="4">
    <w:abstractNumId w:val="21"/>
  </w:num>
  <w:num w:numId="5">
    <w:abstractNumId w:val="25"/>
  </w:num>
  <w:num w:numId="6">
    <w:abstractNumId w:val="45"/>
  </w:num>
  <w:num w:numId="7">
    <w:abstractNumId w:val="12"/>
  </w:num>
  <w:num w:numId="8">
    <w:abstractNumId w:val="3"/>
  </w:num>
  <w:num w:numId="9">
    <w:abstractNumId w:val="0"/>
  </w:num>
  <w:num w:numId="10">
    <w:abstractNumId w:val="32"/>
  </w:num>
  <w:num w:numId="11">
    <w:abstractNumId w:val="36"/>
  </w:num>
  <w:num w:numId="12">
    <w:abstractNumId w:val="1"/>
  </w:num>
  <w:num w:numId="13">
    <w:abstractNumId w:val="2"/>
  </w:num>
  <w:num w:numId="14">
    <w:abstractNumId w:val="4"/>
  </w:num>
  <w:num w:numId="15">
    <w:abstractNumId w:val="44"/>
  </w:num>
  <w:num w:numId="16">
    <w:abstractNumId w:val="11"/>
  </w:num>
  <w:num w:numId="17">
    <w:abstractNumId w:val="23"/>
  </w:num>
  <w:num w:numId="18">
    <w:abstractNumId w:val="39"/>
  </w:num>
  <w:num w:numId="19">
    <w:abstractNumId w:val="26"/>
  </w:num>
  <w:num w:numId="20">
    <w:abstractNumId w:val="6"/>
  </w:num>
  <w:num w:numId="21">
    <w:abstractNumId w:val="10"/>
  </w:num>
  <w:num w:numId="22">
    <w:abstractNumId w:val="13"/>
  </w:num>
  <w:num w:numId="23">
    <w:abstractNumId w:val="34"/>
  </w:num>
  <w:num w:numId="24">
    <w:abstractNumId w:val="33"/>
  </w:num>
  <w:num w:numId="25">
    <w:abstractNumId w:val="29"/>
  </w:num>
  <w:num w:numId="26">
    <w:abstractNumId w:val="19"/>
  </w:num>
  <w:num w:numId="27">
    <w:abstractNumId w:val="38"/>
  </w:num>
  <w:num w:numId="28">
    <w:abstractNumId w:val="35"/>
  </w:num>
  <w:num w:numId="29">
    <w:abstractNumId w:val="31"/>
  </w:num>
  <w:num w:numId="30">
    <w:abstractNumId w:val="48"/>
  </w:num>
  <w:num w:numId="31">
    <w:abstractNumId w:val="41"/>
  </w:num>
  <w:num w:numId="32">
    <w:abstractNumId w:val="8"/>
  </w:num>
  <w:num w:numId="33">
    <w:abstractNumId w:val="37"/>
  </w:num>
  <w:num w:numId="34">
    <w:abstractNumId w:val="47"/>
  </w:num>
  <w:num w:numId="35">
    <w:abstractNumId w:val="15"/>
  </w:num>
  <w:num w:numId="36">
    <w:abstractNumId w:val="5"/>
  </w:num>
  <w:num w:numId="37">
    <w:abstractNumId w:val="46"/>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8"/>
  </w:num>
  <w:num w:numId="41">
    <w:abstractNumId w:val="16"/>
  </w:num>
  <w:num w:numId="42">
    <w:abstractNumId w:val="43"/>
  </w:num>
  <w:num w:numId="43">
    <w:abstractNumId w:val="17"/>
  </w:num>
  <w:num w:numId="44">
    <w:abstractNumId w:val="22"/>
  </w:num>
  <w:num w:numId="45">
    <w:abstractNumId w:val="20"/>
  </w:num>
  <w:num w:numId="4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2"/>
  </w:num>
  <w:num w:numId="49">
    <w:abstractNumId w:val="9"/>
  </w:num>
  <w:num w:numId="50">
    <w:abstractNumId w:val="2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attachedTemplate r:id="rId1"/>
  <w:stylePaneFormatFilter w:val="0004"/>
  <w:stylePaneSortMethod w:val="0000"/>
  <w:defaultTabStop w:val="708"/>
  <w:hyphenationZone w:val="425"/>
  <w:characterSpacingControl w:val="doNotCompress"/>
  <w:hdrShapeDefaults>
    <o:shapedefaults v:ext="edit" spidmax="6656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5E48"/>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AF3"/>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4BD"/>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C6F3E"/>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1BF6"/>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B3A59"/>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30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689"/>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microsoft.com/office/2007/relationships/stylesWithEffects" Target="stylesWithEffects.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6165865A-129A-471E-ADF9-B4FBA2D459DE}" type="presOf" srcId="{0C4745A4-5EDF-4F82-94F9-8BF9E041D14D}" destId="{73387A56-A450-4F29-AE8F-4F3965386410}" srcOrd="0" destOrd="0" presId="urn:microsoft.com/office/officeart/2005/8/layout/orgChart1"/>
    <dgm:cxn modelId="{3C952094-61F7-410B-AF0E-3B35F2B9AF60}" type="presOf" srcId="{805914CC-7E24-48E7-B0DA-4B953CAD2847}" destId="{8A30C0D2-C54E-4CCB-B7B9-DE4A10300F09}" srcOrd="0" destOrd="0" presId="urn:microsoft.com/office/officeart/2005/8/layout/orgChart1"/>
    <dgm:cxn modelId="{1727DBEF-49C4-4379-A821-BCD8CF782724}" type="presOf" srcId="{E20A55D6-FB39-4ABC-B894-4DE41294CE65}" destId="{5A097FF7-8FEF-4C89-82F0-A7C5F7FC0C21}" srcOrd="0" destOrd="0" presId="urn:microsoft.com/office/officeart/2005/8/layout/orgChart1"/>
    <dgm:cxn modelId="{4096201D-2663-4DF8-BB68-AC10533B89E2}" type="presOf" srcId="{EEDADEDC-85BE-4158-A8F7-61AAD58AA2D1}" destId="{ECF1179B-D4FD-4A3E-8749-A1E0E1DEE6F7}" srcOrd="1" destOrd="0" presId="urn:microsoft.com/office/officeart/2005/8/layout/orgChart1"/>
    <dgm:cxn modelId="{74392343-B27B-445F-A0C8-9AB5DE12D789}" type="presOf" srcId="{34CCF68B-1E49-4CD7-8C2C-9DB2A56B6D48}" destId="{C82B1E24-5F61-46E3-BF3A-15B3797CD386}"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0342528E-8202-457F-92BA-521CD19357F3}" type="presOf" srcId="{EEDADEDC-85BE-4158-A8F7-61AAD58AA2D1}" destId="{299DC337-8CDC-4968-A38E-47A425AE5B37}"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10A6A372-6B6B-4209-91E1-2BF8F7FEA8B2}" type="presOf" srcId="{0C4745A4-5EDF-4F82-94F9-8BF9E041D14D}" destId="{5F8AED89-5682-42A2-8623-EE1989A4908F}" srcOrd="1" destOrd="0" presId="urn:microsoft.com/office/officeart/2005/8/layout/orgChart1"/>
    <dgm:cxn modelId="{955F35A3-43A3-4EDB-9D54-37C6E990F770}" type="presOf" srcId="{AF58648F-5CF3-4430-9A0E-841419FEAED1}" destId="{1D388DE5-8D05-4807-9618-A8E45DB4C6B2}" srcOrd="0" destOrd="0" presId="urn:microsoft.com/office/officeart/2005/8/layout/orgChart1"/>
    <dgm:cxn modelId="{9B506C24-31EB-4170-ADDD-9793A281F584}" type="presOf" srcId="{34CCF68B-1E49-4CD7-8C2C-9DB2A56B6D48}" destId="{68EB463A-68D6-4B7E-9AB7-4EEFC960E528}" srcOrd="1"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815BE7CA-9A76-49AB-BB1E-937473582384}" type="presParOf" srcId="{8A30C0D2-C54E-4CCB-B7B9-DE4A10300F09}" destId="{28EFF91D-9D3C-4C42-8334-4E9ED2E414D3}" srcOrd="0" destOrd="0" presId="urn:microsoft.com/office/officeart/2005/8/layout/orgChart1"/>
    <dgm:cxn modelId="{35872F85-4F2C-4612-B09B-A7321ACD271B}" type="presParOf" srcId="{28EFF91D-9D3C-4C42-8334-4E9ED2E414D3}" destId="{9C8FD078-E7B9-49E1-B577-A1B73FEC93B2}" srcOrd="0" destOrd="0" presId="urn:microsoft.com/office/officeart/2005/8/layout/orgChart1"/>
    <dgm:cxn modelId="{F661D00E-ABEB-401C-9251-50E93219B863}" type="presParOf" srcId="{9C8FD078-E7B9-49E1-B577-A1B73FEC93B2}" destId="{C82B1E24-5F61-46E3-BF3A-15B3797CD386}" srcOrd="0" destOrd="0" presId="urn:microsoft.com/office/officeart/2005/8/layout/orgChart1"/>
    <dgm:cxn modelId="{D5C6287C-1F44-4E66-9F7C-F62C739A31CC}" type="presParOf" srcId="{9C8FD078-E7B9-49E1-B577-A1B73FEC93B2}" destId="{68EB463A-68D6-4B7E-9AB7-4EEFC960E528}" srcOrd="1" destOrd="0" presId="urn:microsoft.com/office/officeart/2005/8/layout/orgChart1"/>
    <dgm:cxn modelId="{6E4B11BA-296C-4BFA-94B7-4322D2E0BD56}" type="presParOf" srcId="{28EFF91D-9D3C-4C42-8334-4E9ED2E414D3}" destId="{52EB1CC8-E217-4D82-A40D-C6219406FDD1}" srcOrd="1" destOrd="0" presId="urn:microsoft.com/office/officeart/2005/8/layout/orgChart1"/>
    <dgm:cxn modelId="{BCC26602-94A8-486F-9D77-C1BB8F6702E0}" type="presParOf" srcId="{52EB1CC8-E217-4D82-A40D-C6219406FDD1}" destId="{1D388DE5-8D05-4807-9618-A8E45DB4C6B2}" srcOrd="0" destOrd="0" presId="urn:microsoft.com/office/officeart/2005/8/layout/orgChart1"/>
    <dgm:cxn modelId="{DE909984-C519-4F3D-9D95-77B54371B8F6}" type="presParOf" srcId="{52EB1CC8-E217-4D82-A40D-C6219406FDD1}" destId="{1574FCB5-FEAF-421A-B268-8508E1BECB19}" srcOrd="1" destOrd="0" presId="urn:microsoft.com/office/officeart/2005/8/layout/orgChart1"/>
    <dgm:cxn modelId="{DDA85D4D-001D-4A09-804F-AF1557053CCD}" type="presParOf" srcId="{1574FCB5-FEAF-421A-B268-8508E1BECB19}" destId="{D9153B1D-C411-4B22-AB90-B59B7F7F3B03}" srcOrd="0" destOrd="0" presId="urn:microsoft.com/office/officeart/2005/8/layout/orgChart1"/>
    <dgm:cxn modelId="{29CA3882-3EDE-4B6D-8E07-0344B743AEBC}" type="presParOf" srcId="{D9153B1D-C411-4B22-AB90-B59B7F7F3B03}" destId="{299DC337-8CDC-4968-A38E-47A425AE5B37}" srcOrd="0" destOrd="0" presId="urn:microsoft.com/office/officeart/2005/8/layout/orgChart1"/>
    <dgm:cxn modelId="{36CAEE10-CF05-4184-944B-21BEDECE8ADF}" type="presParOf" srcId="{D9153B1D-C411-4B22-AB90-B59B7F7F3B03}" destId="{ECF1179B-D4FD-4A3E-8749-A1E0E1DEE6F7}" srcOrd="1" destOrd="0" presId="urn:microsoft.com/office/officeart/2005/8/layout/orgChart1"/>
    <dgm:cxn modelId="{D71BCBAA-4A29-4C0D-8D3F-266732D7B011}" type="presParOf" srcId="{1574FCB5-FEAF-421A-B268-8508E1BECB19}" destId="{A974A339-5221-457A-9034-85AC39BEBF02}" srcOrd="1" destOrd="0" presId="urn:microsoft.com/office/officeart/2005/8/layout/orgChart1"/>
    <dgm:cxn modelId="{4E559BC8-FE81-4B3C-A29B-659495E65E9F}" type="presParOf" srcId="{A974A339-5221-457A-9034-85AC39BEBF02}" destId="{5A097FF7-8FEF-4C89-82F0-A7C5F7FC0C21}" srcOrd="0" destOrd="0" presId="urn:microsoft.com/office/officeart/2005/8/layout/orgChart1"/>
    <dgm:cxn modelId="{DFAD6465-2244-4EA0-9807-8858103698CB}" type="presParOf" srcId="{A974A339-5221-457A-9034-85AC39BEBF02}" destId="{51C6DC47-C8C9-42A7-82F2-89FEA13899AF}" srcOrd="1" destOrd="0" presId="urn:microsoft.com/office/officeart/2005/8/layout/orgChart1"/>
    <dgm:cxn modelId="{EEF61A59-0B08-40C5-8608-FA4F1B4754A3}" type="presParOf" srcId="{51C6DC47-C8C9-42A7-82F2-89FEA13899AF}" destId="{A0F384BA-1716-4C73-A255-84E13C83B673}" srcOrd="0" destOrd="0" presId="urn:microsoft.com/office/officeart/2005/8/layout/orgChart1"/>
    <dgm:cxn modelId="{FFFB7196-A100-4DB8-8598-BB1E7A2BA010}" type="presParOf" srcId="{A0F384BA-1716-4C73-A255-84E13C83B673}" destId="{73387A56-A450-4F29-AE8F-4F3965386410}" srcOrd="0" destOrd="0" presId="urn:microsoft.com/office/officeart/2005/8/layout/orgChart1"/>
    <dgm:cxn modelId="{11693C15-07AE-4A77-8941-40DF902D8455}" type="presParOf" srcId="{A0F384BA-1716-4C73-A255-84E13C83B673}" destId="{5F8AED89-5682-42A2-8623-EE1989A4908F}" srcOrd="1" destOrd="0" presId="urn:microsoft.com/office/officeart/2005/8/layout/orgChart1"/>
    <dgm:cxn modelId="{BC8945C4-FFD9-4613-936B-BCF9CE25E277}" type="presParOf" srcId="{51C6DC47-C8C9-42A7-82F2-89FEA13899AF}" destId="{C272C393-32AD-4296-94C1-9FC561D4A2FB}" srcOrd="1" destOrd="0" presId="urn:microsoft.com/office/officeart/2005/8/layout/orgChart1"/>
    <dgm:cxn modelId="{8656487C-49BB-44C6-B15C-3953B2E66EF1}" type="presParOf" srcId="{51C6DC47-C8C9-42A7-82F2-89FEA13899AF}" destId="{549B0D44-150D-41DC-B389-601CC1473310}" srcOrd="2" destOrd="0" presId="urn:microsoft.com/office/officeart/2005/8/layout/orgChart1"/>
    <dgm:cxn modelId="{82B06A89-1CDF-4229-AD33-23F1FC4CB8E9}" type="presParOf" srcId="{1574FCB5-FEAF-421A-B268-8508E1BECB19}" destId="{71623DAE-544F-4126-B0E2-8ED7FFC6D95D}" srcOrd="2" destOrd="0" presId="urn:microsoft.com/office/officeart/2005/8/layout/orgChart1"/>
    <dgm:cxn modelId="{409A0031-8650-45DF-946A-92B33C0EC695}"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F1341085-E855-4B9B-86E5-B80D7ADA5E5F}" type="presOf" srcId="{83424053-1491-4C81-A420-F7C127C93196}" destId="{5BA75D8A-9669-40DE-B3E7-34491D7BFAA9}" srcOrd="0" destOrd="0" presId="urn:microsoft.com/office/officeart/2005/8/layout/orgChart1"/>
    <dgm:cxn modelId="{E70C5457-77B2-4932-BED6-B537E3304529}" type="presOf" srcId="{066EC303-0EE7-4937-A5AA-923E9BB04F47}" destId="{F3052836-F2A6-4E14-AD54-FEB751FC7FDF}" srcOrd="1" destOrd="0" presId="urn:microsoft.com/office/officeart/2005/8/layout/orgChart1"/>
    <dgm:cxn modelId="{EFE88F56-180F-4724-BD77-9675ECE833C8}" type="presOf" srcId="{8217FEB8-E4D3-47AE-A570-686294A63893}" destId="{3AB7AF6D-9D73-40EF-8C27-522BA1871C80}" srcOrd="1" destOrd="0" presId="urn:microsoft.com/office/officeart/2005/8/layout/orgChart1"/>
    <dgm:cxn modelId="{69828C2A-1C04-4886-B10C-9D12292D0834}" type="presOf" srcId="{C0D374FD-4CD0-4D19-A645-0021D8430413}" destId="{07506447-FD7F-46EF-AB50-58D8E587F32D}"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7809A202-D527-4920-BBEE-F1233FB566E8}" type="presOf" srcId="{066EC303-0EE7-4937-A5AA-923E9BB04F47}" destId="{7A9F8041-015A-4250-9B6F-05C3306A0346}" srcOrd="0" destOrd="0" presId="urn:microsoft.com/office/officeart/2005/8/layout/orgChart1"/>
    <dgm:cxn modelId="{02114491-A284-46A5-901A-B3645BC8803B}" srcId="{70380D82-4702-478F-99DE-98130F2C001C}" destId="{2F807778-DD85-4D14-A231-1787B61986FC}" srcOrd="0" destOrd="0" parTransId="{C4B2E1B1-539D-4496-BAE7-F665D3BCF980}" sibTransId="{CAD8B779-CFC2-40F9-BD63-95B74F752EBD}"/>
    <dgm:cxn modelId="{28AE423D-06F5-4E58-9CE1-7876E890BBE6}" type="presOf" srcId="{8217FEB8-E4D3-47AE-A570-686294A63893}" destId="{3F5EA4F2-B7AF-4471-ACE4-81D11FC76F47}" srcOrd="0" destOrd="0" presId="urn:microsoft.com/office/officeart/2005/8/layout/orgChart1"/>
    <dgm:cxn modelId="{8A18970F-D4F6-49EC-B70C-346717243E18}" type="presOf" srcId="{70380D82-4702-478F-99DE-98130F2C001C}" destId="{03ACB5EF-8260-402E-9067-90E06391B854}" srcOrd="0"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2D2A4455-F54C-4244-BB25-07AB7C0F11B2}" type="presOf" srcId="{2F807778-DD85-4D14-A231-1787B61986FC}" destId="{1051CB57-5004-49A4-BB69-2034CCA80ACE}" srcOrd="0" destOrd="0" presId="urn:microsoft.com/office/officeart/2005/8/layout/orgChart1"/>
    <dgm:cxn modelId="{8C5D523B-C3F0-495D-979C-6186D35379B6}" type="presOf" srcId="{2F807778-DD85-4D14-A231-1787B61986FC}" destId="{8EF824A0-8F7D-4B3D-BDEF-1D061514C612}" srcOrd="1" destOrd="0" presId="urn:microsoft.com/office/officeart/2005/8/layout/orgChart1"/>
    <dgm:cxn modelId="{48A3753E-68E2-4107-BF01-FC33ED4AB711}" type="presParOf" srcId="{03ACB5EF-8260-402E-9067-90E06391B854}" destId="{642701AF-853F-4CD2-9D31-F60C4F97BFAD}" srcOrd="0" destOrd="0" presId="urn:microsoft.com/office/officeart/2005/8/layout/orgChart1"/>
    <dgm:cxn modelId="{803B861F-701B-4622-A2C8-DC60D35994C1}" type="presParOf" srcId="{642701AF-853F-4CD2-9D31-F60C4F97BFAD}" destId="{D8B981C1-A1EC-4B90-9400-7D46ADE603F3}" srcOrd="0" destOrd="0" presId="urn:microsoft.com/office/officeart/2005/8/layout/orgChart1"/>
    <dgm:cxn modelId="{E7BEDB8A-577A-4671-B061-FF2E1182B2A0}" type="presParOf" srcId="{D8B981C1-A1EC-4B90-9400-7D46ADE603F3}" destId="{1051CB57-5004-49A4-BB69-2034CCA80ACE}" srcOrd="0" destOrd="0" presId="urn:microsoft.com/office/officeart/2005/8/layout/orgChart1"/>
    <dgm:cxn modelId="{F14298AF-6BAD-4E9E-85D6-B7E25092142A}" type="presParOf" srcId="{D8B981C1-A1EC-4B90-9400-7D46ADE603F3}" destId="{8EF824A0-8F7D-4B3D-BDEF-1D061514C612}" srcOrd="1" destOrd="0" presId="urn:microsoft.com/office/officeart/2005/8/layout/orgChart1"/>
    <dgm:cxn modelId="{B8ACF7D6-0AA6-4AEA-8FB2-AB60AC46EDB1}" type="presParOf" srcId="{642701AF-853F-4CD2-9D31-F60C4F97BFAD}" destId="{BC6422CB-A6A7-4FFE-B894-0D0E365E5A8B}" srcOrd="1" destOrd="0" presId="urn:microsoft.com/office/officeart/2005/8/layout/orgChart1"/>
    <dgm:cxn modelId="{43C76362-7B9F-43AC-B19F-CDD25A7B6BCA}" type="presParOf" srcId="{BC6422CB-A6A7-4FFE-B894-0D0E365E5A8B}" destId="{07506447-FD7F-46EF-AB50-58D8E587F32D}" srcOrd="0" destOrd="0" presId="urn:microsoft.com/office/officeart/2005/8/layout/orgChart1"/>
    <dgm:cxn modelId="{408AF634-80F9-452E-9EE5-BE8C48CE70E9}" type="presParOf" srcId="{BC6422CB-A6A7-4FFE-B894-0D0E365E5A8B}" destId="{D37330B7-3169-4CB8-8722-C277E8E53A37}" srcOrd="1" destOrd="0" presId="urn:microsoft.com/office/officeart/2005/8/layout/orgChart1"/>
    <dgm:cxn modelId="{90D38053-E6D7-4065-9060-EC5AA0B699CE}" type="presParOf" srcId="{D37330B7-3169-4CB8-8722-C277E8E53A37}" destId="{94743B1C-B68E-479F-A241-2BA75F17CFB8}" srcOrd="0" destOrd="0" presId="urn:microsoft.com/office/officeart/2005/8/layout/orgChart1"/>
    <dgm:cxn modelId="{2B21EA5E-1008-446E-BF80-FA398D770E25}" type="presParOf" srcId="{94743B1C-B68E-479F-A241-2BA75F17CFB8}" destId="{3F5EA4F2-B7AF-4471-ACE4-81D11FC76F47}" srcOrd="0" destOrd="0" presId="urn:microsoft.com/office/officeart/2005/8/layout/orgChart1"/>
    <dgm:cxn modelId="{742951DB-6354-49D4-A173-0B562A2970C5}" type="presParOf" srcId="{94743B1C-B68E-479F-A241-2BA75F17CFB8}" destId="{3AB7AF6D-9D73-40EF-8C27-522BA1871C80}" srcOrd="1" destOrd="0" presId="urn:microsoft.com/office/officeart/2005/8/layout/orgChart1"/>
    <dgm:cxn modelId="{2AA607E2-27CA-43CA-AC5E-9C0E691748C8}" type="presParOf" srcId="{D37330B7-3169-4CB8-8722-C277E8E53A37}" destId="{0FDEAC0C-3C42-4990-BA79-442FC763C366}" srcOrd="1" destOrd="0" presId="urn:microsoft.com/office/officeart/2005/8/layout/orgChart1"/>
    <dgm:cxn modelId="{08BB36A3-0EBC-4B66-B863-C559B9215DF1}" type="presParOf" srcId="{D37330B7-3169-4CB8-8722-C277E8E53A37}" destId="{C5DF64F7-4CF8-41C8-9787-A315DBEFB23D}" srcOrd="2" destOrd="0" presId="urn:microsoft.com/office/officeart/2005/8/layout/orgChart1"/>
    <dgm:cxn modelId="{E093EA6C-937F-4BB4-A35E-CD9D82E47DBA}" type="presParOf" srcId="{BC6422CB-A6A7-4FFE-B894-0D0E365E5A8B}" destId="{5BA75D8A-9669-40DE-B3E7-34491D7BFAA9}" srcOrd="2" destOrd="0" presId="urn:microsoft.com/office/officeart/2005/8/layout/orgChart1"/>
    <dgm:cxn modelId="{F2885C58-6B8A-4497-8ED9-CA4C43F62DC9}" type="presParOf" srcId="{BC6422CB-A6A7-4FFE-B894-0D0E365E5A8B}" destId="{B954D732-3973-481D-93AB-8B4B4BDAFF01}" srcOrd="3" destOrd="0" presId="urn:microsoft.com/office/officeart/2005/8/layout/orgChart1"/>
    <dgm:cxn modelId="{7AE7FD74-6F3A-4B33-969A-0D6547311E62}" type="presParOf" srcId="{B954D732-3973-481D-93AB-8B4B4BDAFF01}" destId="{6BD34FA3-DF71-44D3-9BE3-9FBDA4DA9692}" srcOrd="0" destOrd="0" presId="urn:microsoft.com/office/officeart/2005/8/layout/orgChart1"/>
    <dgm:cxn modelId="{838155AB-CEB7-4E7B-B4D5-5D74FB813A49}" type="presParOf" srcId="{6BD34FA3-DF71-44D3-9BE3-9FBDA4DA9692}" destId="{7A9F8041-015A-4250-9B6F-05C3306A0346}" srcOrd="0" destOrd="0" presId="urn:microsoft.com/office/officeart/2005/8/layout/orgChart1"/>
    <dgm:cxn modelId="{05C30E67-AE9D-4E99-8178-4E25E22AF8CE}" type="presParOf" srcId="{6BD34FA3-DF71-44D3-9BE3-9FBDA4DA9692}" destId="{F3052836-F2A6-4E14-AD54-FEB751FC7FDF}" srcOrd="1" destOrd="0" presId="urn:microsoft.com/office/officeart/2005/8/layout/orgChart1"/>
    <dgm:cxn modelId="{DDFF8D85-0BFA-442A-8D9E-AB377D7672DB}" type="presParOf" srcId="{B954D732-3973-481D-93AB-8B4B4BDAFF01}" destId="{84B27A81-3E9A-4CE1-B35D-6966818A659B}" srcOrd="1" destOrd="0" presId="urn:microsoft.com/office/officeart/2005/8/layout/orgChart1"/>
    <dgm:cxn modelId="{D27249A1-2187-481E-980C-EF6613A578D0}" type="presParOf" srcId="{B954D732-3973-481D-93AB-8B4B4BDAFF01}" destId="{C4E71051-6198-4B42-9A29-0B4ABA1BBB99}" srcOrd="2" destOrd="0" presId="urn:microsoft.com/office/officeart/2005/8/layout/orgChart1"/>
    <dgm:cxn modelId="{E7300C2F-EB7D-43B0-B801-C76FFF5B09EB}"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EEDC58B4-8C0F-404F-BCF8-0249466806E7}" type="presOf" srcId="{D5B84A4C-FD58-480E-9B80-1719E8D52EBA}" destId="{A57EAA03-6A13-452A-A832-F1EDB58CAF18}" srcOrd="1" destOrd="0" presId="urn:microsoft.com/office/officeart/2005/8/layout/orgChart1"/>
    <dgm:cxn modelId="{48A6CED5-548B-408B-93DE-CA0A111CDC7D}" type="presOf" srcId="{E58D2462-1EC6-4BFC-AFC0-96E5BF4F7601}" destId="{9E4FEA61-36A4-43C4-A7F4-40A8798C814A}" srcOrd="0" destOrd="0" presId="urn:microsoft.com/office/officeart/2005/8/layout/orgChart1"/>
    <dgm:cxn modelId="{E8531589-1DB1-4AB4-9B12-8744D0C81259}" type="presOf" srcId="{E58D2462-1EC6-4BFC-AFC0-96E5BF4F7601}" destId="{7CDCDC47-5CFD-437F-B130-C7FCBFDA754A}" srcOrd="1" destOrd="0" presId="urn:microsoft.com/office/officeart/2005/8/layout/orgChart1"/>
    <dgm:cxn modelId="{3230DD79-D947-4B57-9CAA-731EBD2BFDA3}" type="presOf" srcId="{D5B84A4C-FD58-480E-9B80-1719E8D52EBA}" destId="{E03B73F9-E149-4E5B-99B2-D778607E20E6}" srcOrd="0" destOrd="0" presId="urn:microsoft.com/office/officeart/2005/8/layout/orgChart1"/>
    <dgm:cxn modelId="{46F37BE3-D609-40DF-9261-554462707FBF}" type="presOf" srcId="{E1BDD46F-42C3-4D6B-A4DF-C833F5394F64}" destId="{1829CE31-77AB-4BDE-B5A3-E30F0222689F}" srcOrd="1" destOrd="0" presId="urn:microsoft.com/office/officeart/2005/8/layout/orgChart1"/>
    <dgm:cxn modelId="{01ED3816-A6C6-44B1-8A3A-C555395904FA}" type="presOf" srcId="{E1BDD46F-42C3-4D6B-A4DF-C833F5394F64}" destId="{372288AB-BCAC-4A2F-99DE-A0A60E947FAD}" srcOrd="0" destOrd="0" presId="urn:microsoft.com/office/officeart/2005/8/layout/orgChart1"/>
    <dgm:cxn modelId="{4BE29433-DCE5-42E5-851B-B3BEB962D152}" type="presOf" srcId="{30F2DAFE-6EE5-40C0-A340-BE8A33F8B14E}" destId="{651C6E3C-B5B0-42BF-B50D-01D751348290}" srcOrd="0"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EF47753B-6B9C-4A19-B345-807DCE125F3C}" type="presParOf" srcId="{651C6E3C-B5B0-42BF-B50D-01D751348290}" destId="{170BA6D5-8919-4251-A370-8084077CDF0D}" srcOrd="0" destOrd="0" presId="urn:microsoft.com/office/officeart/2005/8/layout/orgChart1"/>
    <dgm:cxn modelId="{15DDA7A6-7138-442E-871E-B840FE4F02B9}" type="presParOf" srcId="{170BA6D5-8919-4251-A370-8084077CDF0D}" destId="{036D9662-39EB-4753-93B6-B7835ABBF007}" srcOrd="0" destOrd="0" presId="urn:microsoft.com/office/officeart/2005/8/layout/orgChart1"/>
    <dgm:cxn modelId="{63E98A13-E44E-4A87-9EDF-FA6A16C84B4A}" type="presParOf" srcId="{036D9662-39EB-4753-93B6-B7835ABBF007}" destId="{9E4FEA61-36A4-43C4-A7F4-40A8798C814A}" srcOrd="0" destOrd="0" presId="urn:microsoft.com/office/officeart/2005/8/layout/orgChart1"/>
    <dgm:cxn modelId="{B09ADE73-C063-469F-A1B4-392F6FCEEEB4}" type="presParOf" srcId="{036D9662-39EB-4753-93B6-B7835ABBF007}" destId="{7CDCDC47-5CFD-437F-B130-C7FCBFDA754A}" srcOrd="1" destOrd="0" presId="urn:microsoft.com/office/officeart/2005/8/layout/orgChart1"/>
    <dgm:cxn modelId="{001FED0A-AB6D-465F-B0F1-44C9A83C84D0}" type="presParOf" srcId="{170BA6D5-8919-4251-A370-8084077CDF0D}" destId="{D55703C3-B9D6-4B6C-BB93-7E3EED096F9E}" srcOrd="1" destOrd="0" presId="urn:microsoft.com/office/officeart/2005/8/layout/orgChart1"/>
    <dgm:cxn modelId="{0CCB2FAE-E379-4A51-BA15-93600A319112}" type="presParOf" srcId="{170BA6D5-8919-4251-A370-8084077CDF0D}" destId="{77FD2B49-B2D7-43F4-8D64-2B1EC64DB77D}" srcOrd="2" destOrd="0" presId="urn:microsoft.com/office/officeart/2005/8/layout/orgChart1"/>
    <dgm:cxn modelId="{3A86B60F-AE52-473C-B410-C9797AD7BD9D}" type="presParOf" srcId="{651C6E3C-B5B0-42BF-B50D-01D751348290}" destId="{208D0365-449E-418F-9965-E18BC641DB14}" srcOrd="1" destOrd="0" presId="urn:microsoft.com/office/officeart/2005/8/layout/orgChart1"/>
    <dgm:cxn modelId="{7DE1D9DA-D6F7-45D0-BD49-E3D6666E71BD}" type="presParOf" srcId="{208D0365-449E-418F-9965-E18BC641DB14}" destId="{C47CFBE7-3AE8-42B5-8D2A-5EE153564144}" srcOrd="0" destOrd="0" presId="urn:microsoft.com/office/officeart/2005/8/layout/orgChart1"/>
    <dgm:cxn modelId="{1141A07A-1046-41DB-9EDB-0A6A0F770AEB}" type="presParOf" srcId="{C47CFBE7-3AE8-42B5-8D2A-5EE153564144}" destId="{372288AB-BCAC-4A2F-99DE-A0A60E947FAD}" srcOrd="0" destOrd="0" presId="urn:microsoft.com/office/officeart/2005/8/layout/orgChart1"/>
    <dgm:cxn modelId="{94456EA5-5B6B-48AF-882C-CAA418F8D7BD}" type="presParOf" srcId="{C47CFBE7-3AE8-42B5-8D2A-5EE153564144}" destId="{1829CE31-77AB-4BDE-B5A3-E30F0222689F}" srcOrd="1" destOrd="0" presId="urn:microsoft.com/office/officeart/2005/8/layout/orgChart1"/>
    <dgm:cxn modelId="{4A3AA0A3-FE63-4BE7-B6A6-DAA7792F35AF}" type="presParOf" srcId="{208D0365-449E-418F-9965-E18BC641DB14}" destId="{33C4B16C-8326-4AD9-AD1C-5891804513B3}" srcOrd="1" destOrd="0" presId="urn:microsoft.com/office/officeart/2005/8/layout/orgChart1"/>
    <dgm:cxn modelId="{642FCF70-1D9A-4F0C-B587-7CCEC8D84545}" type="presParOf" srcId="{208D0365-449E-418F-9965-E18BC641DB14}" destId="{9051CC89-DF4B-4419-B542-BDFCC2835773}" srcOrd="2" destOrd="0" presId="urn:microsoft.com/office/officeart/2005/8/layout/orgChart1"/>
    <dgm:cxn modelId="{85233CB4-A1EF-4FA0-AB32-C9821A9A2D80}" type="presParOf" srcId="{651C6E3C-B5B0-42BF-B50D-01D751348290}" destId="{C52310A3-A682-4AED-A63E-9DF18308F67D}" srcOrd="2" destOrd="0" presId="urn:microsoft.com/office/officeart/2005/8/layout/orgChart1"/>
    <dgm:cxn modelId="{FA1C82F8-4040-4D70-98BD-DD506A95D2EF}" type="presParOf" srcId="{C52310A3-A682-4AED-A63E-9DF18308F67D}" destId="{5155155D-F044-48EE-8249-0F7A4C82567F}" srcOrd="0" destOrd="0" presId="urn:microsoft.com/office/officeart/2005/8/layout/orgChart1"/>
    <dgm:cxn modelId="{7AA5DA09-30A1-4DA8-95D2-720561D4EA41}" type="presParOf" srcId="{5155155D-F044-48EE-8249-0F7A4C82567F}" destId="{E03B73F9-E149-4E5B-99B2-D778607E20E6}" srcOrd="0" destOrd="0" presId="urn:microsoft.com/office/officeart/2005/8/layout/orgChart1"/>
    <dgm:cxn modelId="{6CC27042-ABE3-47BA-BDCD-A96C44BFFAE4}" type="presParOf" srcId="{5155155D-F044-48EE-8249-0F7A4C82567F}" destId="{A57EAA03-6A13-452A-A832-F1EDB58CAF18}" srcOrd="1" destOrd="0" presId="urn:microsoft.com/office/officeart/2005/8/layout/orgChart1"/>
    <dgm:cxn modelId="{338B56B6-18EE-4521-8E35-88953338C8C0}" type="presParOf" srcId="{C52310A3-A682-4AED-A63E-9DF18308F67D}" destId="{3B579F48-CE08-4F04-BA45-5DD87A65BDB1}" srcOrd="1" destOrd="0" presId="urn:microsoft.com/office/officeart/2005/8/layout/orgChart1"/>
    <dgm:cxn modelId="{DF84478D-CF99-4431-ADC4-B32FC4FF5B31}"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E40FBC-3781-4334-8B9F-AACDF3DA5CE6}">
  <ds:schemaRefs>
    <ds:schemaRef ds:uri="http://schemas.openxmlformats.org/officeDocument/2006/bibliography"/>
  </ds:schemaRefs>
</ds:datastoreItem>
</file>

<file path=customXml/itemProps5.xml><?xml version="1.0" encoding="utf-8"?>
<ds:datastoreItem xmlns:ds="http://schemas.openxmlformats.org/officeDocument/2006/customXml" ds:itemID="{CD10F2A5-9555-4F39-8838-D7308E8F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1812</TotalTime>
  <Pages>20</Pages>
  <Words>5950</Words>
  <Characters>32730</Characters>
  <Application>Microsoft Office Word</Application>
  <DocSecurity>0</DocSecurity>
  <Lines>272</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38603</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190</cp:revision>
  <cp:lastPrinted>2013-06-24T11:45:00Z</cp:lastPrinted>
  <dcterms:created xsi:type="dcterms:W3CDTF">2013-06-21T16:43:00Z</dcterms:created>
  <dcterms:modified xsi:type="dcterms:W3CDTF">2013-06-28T11:29:00Z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