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53" w:rsidRDefault="003C1D8F">
      <w:r>
        <w:t>Functionele beschrijving “</w:t>
      </w:r>
      <w:r w:rsidR="00F83A53">
        <w:t>Gronden</w:t>
      </w:r>
      <w:r>
        <w:t>”</w:t>
      </w:r>
    </w:p>
    <w:p w:rsidR="0060000E" w:rsidRDefault="00247BCA">
      <w:r w:rsidRPr="00247BCA">
        <w:t xml:space="preserve">Voor arbeidsrecht-advocaten biedt </w:t>
      </w:r>
      <w:proofErr w:type="spellStart"/>
      <w:r w:rsidRPr="00247BCA">
        <w:t>MirrorMe</w:t>
      </w:r>
      <w:proofErr w:type="spellEnd"/>
      <w:r w:rsidRPr="00247BCA">
        <w:t xml:space="preserve"> </w:t>
      </w:r>
      <w:r>
        <w:t>een applicatie genaamd “Gronden”. Deze applicatie helpt een advocaat met de juridische onderbouwing van een zaak. Elke zaak is volledig afgeschermd en alleen toegankelijk voor de advocaat of het team van advocaten dat toegang heeft.</w:t>
      </w:r>
    </w:p>
    <w:p w:rsidR="00247BCA" w:rsidRDefault="00715EF5">
      <w:r>
        <w:t>“</w:t>
      </w:r>
      <w:r w:rsidR="00247BCA">
        <w:t>Gronden</w:t>
      </w:r>
      <w:r>
        <w:t>”</w:t>
      </w:r>
      <w:r w:rsidR="00247BCA">
        <w:t xml:space="preserve"> is een </w:t>
      </w:r>
      <w:proofErr w:type="spellStart"/>
      <w:r w:rsidR="00247BCA">
        <w:t>wetweterige</w:t>
      </w:r>
      <w:proofErr w:type="spellEnd"/>
      <w:r w:rsidR="00247BCA">
        <w:t xml:space="preserve"> applicatie. Hij heeft alle regelgeving paraat, en weet precies waar je wat kunt vinden. De persona “</w:t>
      </w:r>
      <w:r>
        <w:t xml:space="preserve">Jos </w:t>
      </w:r>
      <w:proofErr w:type="spellStart"/>
      <w:r w:rsidR="00247BCA">
        <w:t>Wet</w:t>
      </w:r>
      <w:r>
        <w:t>w</w:t>
      </w:r>
      <w:r w:rsidR="00247BCA">
        <w:t>eter</w:t>
      </w:r>
      <w:proofErr w:type="spellEnd"/>
      <w:r w:rsidR="00247BCA">
        <w:t>” helpt de gebruiker, maar laat de eigenlijke onderbouwing over aan de advocaat. Deze hulp bestaat</w:t>
      </w:r>
      <w:r>
        <w:t xml:space="preserve"> onder meer</w:t>
      </w:r>
      <w:r w:rsidR="00247BCA">
        <w:t xml:space="preserve"> uit:</w:t>
      </w:r>
    </w:p>
    <w:p w:rsidR="00247BCA" w:rsidRDefault="00247BCA" w:rsidP="00247BCA">
      <w:pPr>
        <w:pStyle w:val="Lijstalinea"/>
        <w:numPr>
          <w:ilvl w:val="0"/>
          <w:numId w:val="1"/>
        </w:numPr>
      </w:pPr>
      <w:r>
        <w:t>het vinden van juridisch relevante artikelen en jurisprudentie;</w:t>
      </w:r>
    </w:p>
    <w:p w:rsidR="00247BCA" w:rsidRDefault="00247BCA" w:rsidP="00247BCA">
      <w:pPr>
        <w:pStyle w:val="Lijstalinea"/>
        <w:numPr>
          <w:ilvl w:val="0"/>
          <w:numId w:val="1"/>
        </w:numPr>
      </w:pPr>
      <w:r>
        <w:t>het samenstellen van juridische redeneringen in de onderhavige zaak;</w:t>
      </w:r>
    </w:p>
    <w:p w:rsidR="00247BCA" w:rsidRDefault="00247BCA" w:rsidP="00247BCA">
      <w:pPr>
        <w:pStyle w:val="Lijstalinea"/>
        <w:numPr>
          <w:ilvl w:val="0"/>
          <w:numId w:val="1"/>
        </w:numPr>
      </w:pPr>
      <w:r>
        <w:t xml:space="preserve">het </w:t>
      </w:r>
      <w:r w:rsidR="00715EF5">
        <w:t>opstellen van een feitencomplex met bijbehorende bewijsstukken;</w:t>
      </w:r>
    </w:p>
    <w:p w:rsidR="00715EF5" w:rsidRDefault="00715EF5" w:rsidP="00247BCA">
      <w:pPr>
        <w:pStyle w:val="Lijstalinea"/>
        <w:numPr>
          <w:ilvl w:val="0"/>
          <w:numId w:val="1"/>
        </w:numPr>
      </w:pPr>
      <w:r>
        <w:t>het samenstellen van een pleitnota;</w:t>
      </w:r>
    </w:p>
    <w:p w:rsidR="00715EF5" w:rsidRDefault="00715EF5" w:rsidP="00247BCA">
      <w:pPr>
        <w:pStyle w:val="Lijstalinea"/>
        <w:numPr>
          <w:ilvl w:val="0"/>
          <w:numId w:val="1"/>
        </w:numPr>
      </w:pPr>
      <w:r>
        <w:t>(aanvullen)</w:t>
      </w:r>
    </w:p>
    <w:p w:rsidR="00715EF5" w:rsidRDefault="00715EF5" w:rsidP="00715EF5">
      <w:r>
        <w:t xml:space="preserve">Jos </w:t>
      </w:r>
      <w:proofErr w:type="spellStart"/>
      <w:r>
        <w:t>Wetweter</w:t>
      </w:r>
      <w:proofErr w:type="spellEnd"/>
      <w:r>
        <w:t xml:space="preserve"> doet</w:t>
      </w:r>
      <w:r w:rsidR="00EF28AC">
        <w:t xml:space="preserve"> verschillende soorten</w:t>
      </w:r>
      <w:r>
        <w:t xml:space="preserve"> interventies</w:t>
      </w:r>
      <w:r w:rsidR="00EF28AC">
        <w:t>,</w:t>
      </w:r>
      <w:r>
        <w:t xml:space="preserve"> </w:t>
      </w:r>
      <w:r w:rsidR="00EF28AC">
        <w:t>zoals</w:t>
      </w:r>
      <w:r>
        <w:t>:</w:t>
      </w:r>
    </w:p>
    <w:p w:rsidR="00715EF5" w:rsidRDefault="00715EF5" w:rsidP="00715EF5">
      <w:pPr>
        <w:pStyle w:val="Lijstalinea"/>
        <w:numPr>
          <w:ilvl w:val="0"/>
          <w:numId w:val="2"/>
        </w:numPr>
      </w:pPr>
      <w:r>
        <w:t xml:space="preserve">Jos </w:t>
      </w:r>
      <w:r w:rsidR="00EF28AC">
        <w:t xml:space="preserve">kan vragen </w:t>
      </w:r>
      <w:r>
        <w:t>beantwoord</w:t>
      </w:r>
      <w:r w:rsidR="00EF28AC">
        <w:t>en</w:t>
      </w:r>
      <w:r>
        <w:t>, zoals: “Is er sprake van nalatigheid van de werkgever?” of “Welk artikel kan ik gebruiken om mijn stelling te onderbouwen?”.</w:t>
      </w:r>
    </w:p>
    <w:p w:rsidR="00715EF5" w:rsidRDefault="00715EF5" w:rsidP="00715EF5">
      <w:pPr>
        <w:pStyle w:val="Lijstalinea"/>
        <w:numPr>
          <w:ilvl w:val="0"/>
          <w:numId w:val="2"/>
        </w:numPr>
      </w:pPr>
      <w:r>
        <w:t xml:space="preserve">Jos </w:t>
      </w:r>
      <w:r w:rsidR="00EF28AC">
        <w:t>kan</w:t>
      </w:r>
      <w:r>
        <w:t xml:space="preserve"> de gebruiker </w:t>
      </w:r>
      <w:r w:rsidR="00EF28AC">
        <w:t xml:space="preserve">wijzen </w:t>
      </w:r>
      <w:r>
        <w:t>op</w:t>
      </w:r>
      <w:r w:rsidRPr="00715EF5">
        <w:t xml:space="preserve"> </w:t>
      </w:r>
      <w:r>
        <w:t>omissies</w:t>
      </w:r>
      <w:r>
        <w:t xml:space="preserve"> en inconsistenties in de onderbouwing.</w:t>
      </w:r>
    </w:p>
    <w:p w:rsidR="00715EF5" w:rsidRDefault="00715EF5" w:rsidP="00715EF5">
      <w:pPr>
        <w:pStyle w:val="Lijstalinea"/>
        <w:numPr>
          <w:ilvl w:val="0"/>
          <w:numId w:val="2"/>
        </w:numPr>
      </w:pPr>
      <w:r>
        <w:t xml:space="preserve">Jos </w:t>
      </w:r>
      <w:r w:rsidR="00EF28AC">
        <w:t>kan een voorstel doen voor een onderbouwing.</w:t>
      </w:r>
      <w:r>
        <w:t xml:space="preserve"> </w:t>
      </w:r>
    </w:p>
    <w:p w:rsidR="00EF28AC" w:rsidRDefault="00EF28AC" w:rsidP="00EF28AC">
      <w:r>
        <w:t xml:space="preserve">Jos </w:t>
      </w:r>
      <w:proofErr w:type="spellStart"/>
      <w:r>
        <w:t>Wetweter</w:t>
      </w:r>
      <w:proofErr w:type="spellEnd"/>
      <w:r>
        <w:t xml:space="preserve"> </w:t>
      </w:r>
      <w:r>
        <w:t xml:space="preserve">maakt gebruik </w:t>
      </w:r>
      <w:r w:rsidR="00715EF5">
        <w:t>van</w:t>
      </w:r>
      <w:r>
        <w:t>:</w:t>
      </w:r>
    </w:p>
    <w:p w:rsidR="00EF28AC" w:rsidRDefault="00715EF5" w:rsidP="00EF28AC">
      <w:pPr>
        <w:pStyle w:val="Lijstalinea"/>
        <w:numPr>
          <w:ilvl w:val="0"/>
          <w:numId w:val="3"/>
        </w:numPr>
      </w:pPr>
      <w:r>
        <w:t>openbaar beschikbare juridische kennis</w:t>
      </w:r>
      <w:r w:rsidR="00EF28AC">
        <w:t>, zoals wetsteksten en jurisprudentie;</w:t>
      </w:r>
    </w:p>
    <w:p w:rsidR="00EF28AC" w:rsidRDefault="00EF28AC" w:rsidP="00EF28AC">
      <w:pPr>
        <w:pStyle w:val="Lijstalinea"/>
        <w:numPr>
          <w:ilvl w:val="0"/>
          <w:numId w:val="3"/>
        </w:numPr>
      </w:pPr>
      <w:r>
        <w:t xml:space="preserve">kennis van het juridisch onderbouwen van zaken, geoogst uit </w:t>
      </w:r>
      <w:r>
        <w:t>Jos’ eigen ervaring</w:t>
      </w:r>
      <w:r>
        <w:t>;</w:t>
      </w:r>
    </w:p>
    <w:p w:rsidR="00715EF5" w:rsidRDefault="00715EF5" w:rsidP="00EF28AC">
      <w:pPr>
        <w:pStyle w:val="Lijstalinea"/>
        <w:numPr>
          <w:ilvl w:val="0"/>
          <w:numId w:val="3"/>
        </w:numPr>
      </w:pPr>
      <w:r>
        <w:t>het redeneervermogen van een kennismotor.</w:t>
      </w:r>
    </w:p>
    <w:p w:rsidR="00EF28AC" w:rsidRDefault="00EF28AC" w:rsidP="00EF28AC">
      <w:r>
        <w:t>De gebruiker moet een aantal dingen weten over “Gronden”:</w:t>
      </w:r>
    </w:p>
    <w:p w:rsidR="000E447C" w:rsidRDefault="00EF28AC" w:rsidP="00EF28AC">
      <w:pPr>
        <w:pStyle w:val="Lijstalinea"/>
        <w:numPr>
          <w:ilvl w:val="0"/>
          <w:numId w:val="1"/>
        </w:numPr>
      </w:pPr>
      <w:r>
        <w:t>Gronden slaat gegevens op over zaken. Elke zaak is volledig afgeschermd</w:t>
      </w:r>
      <w:r w:rsidR="000E447C">
        <w:t>. De advocaat die de zaak beheert heeft volledige zeggenschap over toegang tot de gegevens door bijvoorbeeld teamgenoten en/of cliënt.</w:t>
      </w:r>
    </w:p>
    <w:p w:rsidR="00EF28AC" w:rsidRDefault="000E447C" w:rsidP="00EF28AC">
      <w:pPr>
        <w:pStyle w:val="Lijstalinea"/>
        <w:numPr>
          <w:ilvl w:val="0"/>
          <w:numId w:val="1"/>
        </w:numPr>
      </w:pPr>
      <w:r>
        <w:t xml:space="preserve">Na afloop van een zaak kan de </w:t>
      </w:r>
      <w:r>
        <w:t xml:space="preserve">gebruiker </w:t>
      </w:r>
      <w:r>
        <w:t>deze in z’n geheel vernietigen. In het systeem blijft niets achter wat herleidbaar is tot deze zaak, behalve enige (nog precies te benoemen) administratieve informatie voor de applicatiebeheerder.</w:t>
      </w:r>
    </w:p>
    <w:p w:rsidR="000E447C" w:rsidRDefault="000E447C" w:rsidP="00EF28AC">
      <w:pPr>
        <w:pStyle w:val="Lijstalinea"/>
        <w:numPr>
          <w:ilvl w:val="0"/>
          <w:numId w:val="1"/>
        </w:numPr>
      </w:pPr>
      <w:r>
        <w:t>Op elk moment kan de gebruiker een “foto” maken van een zaak en deze downloaden voor opslag en later gebruik. Langs deze weg kan de gebruiker zelf verantwoordelijkheid nemen voor dossiervorming.</w:t>
      </w:r>
    </w:p>
    <w:p w:rsidR="00F83A53" w:rsidRDefault="000E447C" w:rsidP="00EF28AC">
      <w:pPr>
        <w:pStyle w:val="Lijstalinea"/>
        <w:numPr>
          <w:ilvl w:val="0"/>
          <w:numId w:val="1"/>
        </w:numPr>
      </w:pPr>
      <w:r>
        <w:t xml:space="preserve">De ervaring, die Jos </w:t>
      </w:r>
      <w:proofErr w:type="spellStart"/>
      <w:r>
        <w:t>Wetweter</w:t>
      </w:r>
      <w:proofErr w:type="spellEnd"/>
      <w:r>
        <w:t xml:space="preserve"> opdoet bij het helpen van advocaten, wordt in de vorm van een kennismodel opgeslagen. Hierdoor groeit het kennismodel in kwaliteit</w:t>
      </w:r>
      <w:r w:rsidR="00F83A53">
        <w:t xml:space="preserve"> en blijft het op de hoogte van de meest recente ontwikkelingen</w:t>
      </w:r>
      <w:r>
        <w:t xml:space="preserve">. </w:t>
      </w:r>
      <w:r w:rsidR="00F83A53">
        <w:t>Op deze manier profiteert een advocaat van de gezamenlijke kennis van de beroepsgroep en draagt daar zelf ook aan bij.</w:t>
      </w:r>
    </w:p>
    <w:p w:rsidR="003C1D8F" w:rsidRDefault="00F83A53" w:rsidP="00EF28AC">
      <w:pPr>
        <w:pStyle w:val="Lijstalinea"/>
        <w:numPr>
          <w:ilvl w:val="0"/>
          <w:numId w:val="1"/>
        </w:numPr>
      </w:pPr>
      <w:r>
        <w:t xml:space="preserve">Jos </w:t>
      </w:r>
      <w:proofErr w:type="spellStart"/>
      <w:r>
        <w:t>Wetweter</w:t>
      </w:r>
      <w:proofErr w:type="spellEnd"/>
      <w:r>
        <w:t xml:space="preserve"> </w:t>
      </w:r>
      <w:r>
        <w:t>is</w:t>
      </w:r>
      <w:r>
        <w:t xml:space="preserve"> een computer, die geprogrammeerd </w:t>
      </w:r>
      <w:r>
        <w:t xml:space="preserve">is </w:t>
      </w:r>
      <w:r>
        <w:t xml:space="preserve">om </w:t>
      </w:r>
      <w:proofErr w:type="spellStart"/>
      <w:r>
        <w:t>zaaksgegevens</w:t>
      </w:r>
      <w:proofErr w:type="spellEnd"/>
      <w:r>
        <w:t xml:space="preserve"> </w:t>
      </w:r>
      <w:r>
        <w:t xml:space="preserve">nooit </w:t>
      </w:r>
      <w:r>
        <w:t>te delen.</w:t>
      </w:r>
      <w:r w:rsidR="000E447C">
        <w:t xml:space="preserve"> </w:t>
      </w:r>
      <w:r>
        <w:t>Alleen kennis over het redeneren wordt in het kennismodel van “gronden” opgeslagen.</w:t>
      </w:r>
    </w:p>
    <w:p w:rsidR="003C1D8F" w:rsidRDefault="003C1D8F" w:rsidP="003C1D8F">
      <w:pPr>
        <w:pStyle w:val="Kop1"/>
      </w:pPr>
      <w:r>
        <w:br w:type="column"/>
      </w:r>
      <w:r>
        <w:lastRenderedPageBreak/>
        <w:t>Conceptueel</w:t>
      </w:r>
    </w:p>
    <w:p w:rsidR="003C1D8F" w:rsidRPr="003C1D8F" w:rsidRDefault="003C1D8F" w:rsidP="003C1D8F">
      <w:r>
        <w:t>De conceptuele analyse tot dusver heeft het volgende conceptuele gegevensmodel van “Gronden” opgeleverd.</w:t>
      </w:r>
    </w:p>
    <w:p w:rsidR="003C1D8F" w:rsidRDefault="003C1D8F" w:rsidP="003C1D8F">
      <w:pPr>
        <w:pStyle w:val="Kop1"/>
      </w:pPr>
      <w:r>
        <w:rPr>
          <w:noProof/>
          <w:lang w:eastAsia="nl-NL"/>
        </w:rPr>
        <w:drawing>
          <wp:inline distT="0" distB="0" distL="0" distR="0">
            <wp:extent cx="5752465" cy="1985645"/>
            <wp:effectExtent l="0" t="0" r="635" b="0"/>
            <wp:docPr id="2" name="Afbeelding 2" descr="D:\git\ampersand-models\MirrorMe\LogicalData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ampersand-models\MirrorMe\LogicalDataModel.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2465" cy="1985645"/>
                    </a:xfrm>
                    <a:prstGeom prst="rect">
                      <a:avLst/>
                    </a:prstGeom>
                    <a:noFill/>
                    <a:ln>
                      <a:noFill/>
                    </a:ln>
                  </pic:spPr>
                </pic:pic>
              </a:graphicData>
            </a:graphic>
          </wp:inline>
        </w:drawing>
      </w:r>
    </w:p>
    <w:p w:rsidR="003C1D8F" w:rsidRDefault="003C1D8F" w:rsidP="003C1D8F">
      <w:r>
        <w:t>Vanwege de slechte leesbaarheid is deze plaat ook als .pdf-bestand los beschikbaar.</w:t>
      </w:r>
    </w:p>
    <w:p w:rsidR="00A2454C" w:rsidRDefault="00A2454C" w:rsidP="003C1D8F">
      <w:r>
        <w:t>Concepten:</w:t>
      </w:r>
    </w:p>
    <w:p w:rsidR="00A2454C" w:rsidRDefault="00A2454C" w:rsidP="00A2454C">
      <w:pPr>
        <w:pStyle w:val="Lijstalinea"/>
        <w:numPr>
          <w:ilvl w:val="0"/>
          <w:numId w:val="5"/>
        </w:numPr>
      </w:pPr>
      <w:r>
        <w:t>Stelling</w:t>
      </w:r>
      <w:r>
        <w:br/>
        <w:t>een uitspraak die waar of niet waar kan zijn.</w:t>
      </w:r>
      <w:r w:rsidR="008002B9">
        <w:br/>
        <w:t xml:space="preserve">Voorbeeld: </w:t>
      </w:r>
      <w:r w:rsidR="008002B9">
        <w:rPr>
          <w:i/>
        </w:rPr>
        <w:t>De werkgever heeft nagelaten het verschuldigde loon ad €1235,- uit te betalen voor 27 oktober 2015.</w:t>
      </w:r>
    </w:p>
    <w:p w:rsidR="00A2454C" w:rsidRDefault="00A2454C" w:rsidP="00A2454C">
      <w:pPr>
        <w:pStyle w:val="Lijstalinea"/>
        <w:numPr>
          <w:ilvl w:val="0"/>
          <w:numId w:val="5"/>
        </w:numPr>
      </w:pPr>
      <w:r>
        <w:t>Matrijs (template)</w:t>
      </w:r>
      <w:r>
        <w:br/>
        <w:t>een uitspraak met “gaten” erin. Een “gat” heet ook: variabele. Van een matrijs wordt een stelling gemaakt door deze “gaten” te vullen (dus door de variabelen te binden).</w:t>
      </w:r>
      <w:r w:rsidR="008002B9" w:rsidRPr="008002B9">
        <w:t xml:space="preserve"> </w:t>
      </w:r>
      <w:r w:rsidR="008002B9">
        <w:br/>
        <w:t xml:space="preserve">Voorbeeld: </w:t>
      </w:r>
      <w:r w:rsidR="008002B9">
        <w:rPr>
          <w:i/>
        </w:rPr>
        <w:t>&lt;werkgever&gt;</w:t>
      </w:r>
      <w:r w:rsidR="008002B9">
        <w:rPr>
          <w:i/>
        </w:rPr>
        <w:t xml:space="preserve"> heeft nagelaten het verschuldigde loon </w:t>
      </w:r>
      <w:r w:rsidR="008002B9">
        <w:rPr>
          <w:i/>
        </w:rPr>
        <w:t>&lt;bedrag&gt;</w:t>
      </w:r>
      <w:r w:rsidR="008002B9">
        <w:rPr>
          <w:i/>
        </w:rPr>
        <w:t xml:space="preserve"> uit te betalen voor </w:t>
      </w:r>
      <w:r w:rsidR="008002B9">
        <w:rPr>
          <w:i/>
        </w:rPr>
        <w:t>&lt;datum&gt;</w:t>
      </w:r>
      <w:r w:rsidR="008002B9">
        <w:rPr>
          <w:i/>
        </w:rPr>
        <w:t>.</w:t>
      </w:r>
    </w:p>
    <w:p w:rsidR="00A2454C" w:rsidRDefault="00A2454C" w:rsidP="00A2454C">
      <w:pPr>
        <w:pStyle w:val="Lijstalinea"/>
        <w:numPr>
          <w:ilvl w:val="0"/>
          <w:numId w:val="5"/>
        </w:numPr>
      </w:pPr>
      <w:r>
        <w:t>Regel</w:t>
      </w:r>
      <w:r w:rsidR="008002B9">
        <w:br/>
      </w:r>
      <w:r>
        <w:t xml:space="preserve">een </w:t>
      </w:r>
      <w:r w:rsidR="008002B9">
        <w:t>structuur bestaande uit matrijzen en variabelen, waaruit een redeneerstap op grond van een specifieke rechtsgrond gezet kan worden.</w:t>
      </w:r>
    </w:p>
    <w:p w:rsidR="008002B9" w:rsidRDefault="008002B9" w:rsidP="00A2454C">
      <w:pPr>
        <w:pStyle w:val="Lijstalinea"/>
        <w:numPr>
          <w:ilvl w:val="0"/>
          <w:numId w:val="5"/>
        </w:numPr>
      </w:pPr>
      <w:r>
        <w:t>Variabele</w:t>
      </w:r>
      <w:r>
        <w:br/>
        <w:t>een plek in een matrijs, die aan een object van een bepaald type kan worden gebonden.</w:t>
      </w:r>
      <w:r>
        <w:br/>
        <w:t xml:space="preserve">Voorbeeld: een variabele </w:t>
      </w:r>
      <w:r>
        <w:rPr>
          <w:i/>
        </w:rPr>
        <w:t>bedrag</w:t>
      </w:r>
      <w:r>
        <w:t xml:space="preserve"> kan worden gebonden aan </w:t>
      </w:r>
      <w:r>
        <w:rPr>
          <w:i/>
        </w:rPr>
        <w:t>€1235,-.</w:t>
      </w:r>
    </w:p>
    <w:p w:rsidR="008002B9" w:rsidRDefault="008002B9" w:rsidP="00A2454C">
      <w:pPr>
        <w:pStyle w:val="Lijstalinea"/>
        <w:numPr>
          <w:ilvl w:val="0"/>
          <w:numId w:val="5"/>
        </w:numPr>
      </w:pPr>
      <w:r>
        <w:t>Account</w:t>
      </w:r>
      <w:r>
        <w:br/>
        <w:t>een identificatie van een gebruiker, op basis waarvan het systeem kan registreren wie bepaalde transacties in het systeem uitvoert.</w:t>
      </w:r>
    </w:p>
    <w:p w:rsidR="00E43682" w:rsidRDefault="00E43682" w:rsidP="00A2454C">
      <w:pPr>
        <w:pStyle w:val="Lijstalinea"/>
        <w:numPr>
          <w:ilvl w:val="0"/>
          <w:numId w:val="5"/>
        </w:numPr>
      </w:pPr>
      <w:r>
        <w:t>Redenering</w:t>
      </w:r>
      <w:r>
        <w:br/>
        <w:t>een structuur van regels en gebonden variabelen, die de onderbouwing van een claim representeert.</w:t>
      </w:r>
    </w:p>
    <w:p w:rsidR="00E43682" w:rsidRPr="003C1D8F" w:rsidRDefault="00E43682" w:rsidP="00A2454C">
      <w:pPr>
        <w:pStyle w:val="Lijstalinea"/>
        <w:numPr>
          <w:ilvl w:val="0"/>
          <w:numId w:val="5"/>
        </w:numPr>
      </w:pPr>
      <w:r>
        <w:t>Document</w:t>
      </w:r>
      <w:r>
        <w:br/>
        <w:t>een verwijzing naar een toonbaar object. Dit wordt gewoonlijk gebruikt om bewijsmiddelen op te tonen.</w:t>
      </w:r>
    </w:p>
    <w:p w:rsidR="00E43682" w:rsidRDefault="00E43682" w:rsidP="00E43682">
      <w:pPr>
        <w:pStyle w:val="Lijstalinea"/>
        <w:numPr>
          <w:ilvl w:val="0"/>
          <w:numId w:val="5"/>
        </w:numPr>
      </w:pPr>
      <w:r>
        <w:t>Case</w:t>
      </w:r>
      <w:r>
        <w:br/>
        <w:t xml:space="preserve">een zaak. Elke zaak gaat over een juridisch geschil en wordt beheerd door de advocaat van </w:t>
      </w:r>
      <w:r>
        <w:lastRenderedPageBreak/>
        <w:t>een partij (meestal: werkgever of werknemer). Elke zaak heeft een aantal claims (stellingen), die onderbouwd moeten worden.</w:t>
      </w:r>
      <w:r>
        <w:br/>
        <w:t xml:space="preserve">Voorbeeld: </w:t>
      </w:r>
      <w:r>
        <w:rPr>
          <w:i/>
        </w:rPr>
        <w:t>zaak Ord325 Ordina vs. Jansen (art. 7:625 BW)</w:t>
      </w:r>
    </w:p>
    <w:p w:rsidR="000E447C" w:rsidRDefault="001602BA" w:rsidP="003C1D8F">
      <w:pPr>
        <w:pStyle w:val="Kop1"/>
      </w:pPr>
      <w:r>
        <w:t>Functie</w:t>
      </w:r>
      <w:r w:rsidR="003C1D8F">
        <w:t>lijst</w:t>
      </w:r>
    </w:p>
    <w:p w:rsidR="003C1D8F" w:rsidRDefault="00E43682" w:rsidP="00E43682">
      <w:pPr>
        <w:pStyle w:val="Lijstalinea"/>
        <w:numPr>
          <w:ilvl w:val="0"/>
          <w:numId w:val="4"/>
        </w:numPr>
      </w:pPr>
      <w:r>
        <w:t>Zaken:</w:t>
      </w:r>
    </w:p>
    <w:p w:rsidR="00E43682" w:rsidRDefault="00E43682" w:rsidP="00E43682">
      <w:pPr>
        <w:pStyle w:val="Lijstalinea"/>
        <w:numPr>
          <w:ilvl w:val="1"/>
          <w:numId w:val="4"/>
        </w:numPr>
      </w:pPr>
      <w:r>
        <w:t xml:space="preserve">Aanmaken </w:t>
      </w:r>
      <w:r>
        <w:t xml:space="preserve">van een </w:t>
      </w:r>
      <w:r>
        <w:t>nieuwe zaak</w:t>
      </w:r>
    </w:p>
    <w:p w:rsidR="00E43682" w:rsidRDefault="00E43682" w:rsidP="00E43682">
      <w:pPr>
        <w:pStyle w:val="Lijstalinea"/>
        <w:numPr>
          <w:ilvl w:val="1"/>
          <w:numId w:val="4"/>
        </w:numPr>
      </w:pPr>
      <w:r>
        <w:t xml:space="preserve">Overzicht van de redeneringen </w:t>
      </w:r>
      <w:r>
        <w:t>(één zaak)</w:t>
      </w:r>
    </w:p>
    <w:p w:rsidR="00E43682" w:rsidRDefault="00E43682" w:rsidP="00E43682">
      <w:pPr>
        <w:pStyle w:val="Lijstalinea"/>
        <w:numPr>
          <w:ilvl w:val="1"/>
          <w:numId w:val="4"/>
        </w:numPr>
      </w:pPr>
      <w:r>
        <w:t>Overzicht van bewijsmiddelen (één zaak)</w:t>
      </w:r>
    </w:p>
    <w:p w:rsidR="00E43682" w:rsidRDefault="00E43682" w:rsidP="00E43682">
      <w:pPr>
        <w:pStyle w:val="Lijstalinea"/>
        <w:numPr>
          <w:ilvl w:val="1"/>
          <w:numId w:val="4"/>
        </w:numPr>
      </w:pPr>
      <w:r>
        <w:t>Beheren van zaken</w:t>
      </w:r>
    </w:p>
    <w:p w:rsidR="00E43682" w:rsidRDefault="00E43682" w:rsidP="00E43682">
      <w:pPr>
        <w:pStyle w:val="Lijstalinea"/>
        <w:numPr>
          <w:ilvl w:val="1"/>
          <w:numId w:val="4"/>
        </w:numPr>
      </w:pPr>
      <w:r>
        <w:t>Verwijderen van een zaak</w:t>
      </w:r>
    </w:p>
    <w:p w:rsidR="00E43682" w:rsidRDefault="00E43682" w:rsidP="00E43682">
      <w:pPr>
        <w:pStyle w:val="Lijstalinea"/>
        <w:numPr>
          <w:ilvl w:val="1"/>
          <w:numId w:val="4"/>
        </w:numPr>
      </w:pPr>
      <w:r>
        <w:t xml:space="preserve">Wijzigen van </w:t>
      </w:r>
      <w:proofErr w:type="spellStart"/>
      <w:r>
        <w:t>zaakskenmerken</w:t>
      </w:r>
      <w:proofErr w:type="spellEnd"/>
    </w:p>
    <w:p w:rsidR="00E43682" w:rsidRDefault="00E43682" w:rsidP="00E43682">
      <w:pPr>
        <w:pStyle w:val="Lijstalinea"/>
        <w:numPr>
          <w:ilvl w:val="0"/>
          <w:numId w:val="4"/>
        </w:numPr>
      </w:pPr>
      <w:r>
        <w:t>Regels:</w:t>
      </w:r>
    </w:p>
    <w:p w:rsidR="00E43682" w:rsidRDefault="00E43682" w:rsidP="00E43682">
      <w:pPr>
        <w:pStyle w:val="Lijstalinea"/>
        <w:numPr>
          <w:ilvl w:val="1"/>
          <w:numId w:val="4"/>
        </w:numPr>
      </w:pPr>
      <w:r>
        <w:t>Aanmaken van een nieuwe regel</w:t>
      </w:r>
    </w:p>
    <w:p w:rsidR="00E43682" w:rsidRDefault="00E43682" w:rsidP="00E43682">
      <w:pPr>
        <w:pStyle w:val="Lijstalinea"/>
        <w:numPr>
          <w:ilvl w:val="1"/>
          <w:numId w:val="4"/>
        </w:numPr>
      </w:pPr>
      <w:r>
        <w:t xml:space="preserve">Oogsten van een nieuwe regel uit </w:t>
      </w:r>
      <w:r w:rsidR="001602BA">
        <w:t>lopende zaken</w:t>
      </w:r>
    </w:p>
    <w:p w:rsidR="001602BA" w:rsidRDefault="001602BA" w:rsidP="00E43682">
      <w:pPr>
        <w:pStyle w:val="Lijstalinea"/>
        <w:numPr>
          <w:ilvl w:val="1"/>
          <w:numId w:val="4"/>
        </w:numPr>
      </w:pPr>
      <w:r>
        <w:t>Consistentie bewaken tussen regels</w:t>
      </w:r>
    </w:p>
    <w:p w:rsidR="001602BA" w:rsidRDefault="001602BA" w:rsidP="001602BA">
      <w:pPr>
        <w:pStyle w:val="Lijstalinea"/>
        <w:numPr>
          <w:ilvl w:val="0"/>
          <w:numId w:val="4"/>
        </w:numPr>
      </w:pPr>
      <w:r>
        <w:t>Redeneringen:</w:t>
      </w:r>
    </w:p>
    <w:p w:rsidR="00E43682" w:rsidRDefault="001602BA" w:rsidP="00E43682">
      <w:pPr>
        <w:pStyle w:val="Lijstalinea"/>
        <w:numPr>
          <w:ilvl w:val="1"/>
          <w:numId w:val="4"/>
        </w:numPr>
      </w:pPr>
      <w:r>
        <w:t>Combineren van regels</w:t>
      </w:r>
    </w:p>
    <w:p w:rsidR="00E43682" w:rsidRDefault="001602BA" w:rsidP="00E43682">
      <w:pPr>
        <w:pStyle w:val="Lijstalinea"/>
        <w:numPr>
          <w:ilvl w:val="1"/>
          <w:numId w:val="4"/>
        </w:numPr>
      </w:pPr>
      <w:r>
        <w:t>Invullen van variabelen</w:t>
      </w:r>
    </w:p>
    <w:p w:rsidR="001602BA" w:rsidRDefault="001602BA" w:rsidP="00E43682">
      <w:pPr>
        <w:pStyle w:val="Lijstalinea"/>
        <w:numPr>
          <w:ilvl w:val="1"/>
          <w:numId w:val="4"/>
        </w:numPr>
      </w:pPr>
      <w:r>
        <w:t>Toevoegen van bewijsmiddelen</w:t>
      </w:r>
    </w:p>
    <w:p w:rsidR="001602BA" w:rsidRDefault="001602BA" w:rsidP="001602BA">
      <w:pPr>
        <w:pStyle w:val="Lijstalinea"/>
        <w:numPr>
          <w:ilvl w:val="0"/>
          <w:numId w:val="4"/>
        </w:numPr>
      </w:pPr>
      <w:r>
        <w:t>Stellingen:</w:t>
      </w:r>
    </w:p>
    <w:p w:rsidR="001602BA" w:rsidRPr="003C1D8F" w:rsidRDefault="001602BA" w:rsidP="001602BA">
      <w:pPr>
        <w:pStyle w:val="Lijstalinea"/>
        <w:numPr>
          <w:ilvl w:val="1"/>
          <w:numId w:val="4"/>
        </w:numPr>
      </w:pPr>
      <w:r>
        <w:t>Poneren van een n</w:t>
      </w:r>
      <w:r>
        <w:t xml:space="preserve">ieuwe stelling </w:t>
      </w:r>
    </w:p>
    <w:p w:rsidR="001602BA" w:rsidRDefault="001602BA" w:rsidP="001602BA">
      <w:pPr>
        <w:pStyle w:val="Lijstalinea"/>
        <w:numPr>
          <w:ilvl w:val="1"/>
          <w:numId w:val="4"/>
        </w:numPr>
      </w:pPr>
      <w:r>
        <w:t xml:space="preserve">Toevoegen van onderbouwende stelling(en) </w:t>
      </w:r>
    </w:p>
    <w:p w:rsidR="001602BA" w:rsidRDefault="001602BA" w:rsidP="001602BA">
      <w:pPr>
        <w:pStyle w:val="Lijstalinea"/>
        <w:numPr>
          <w:ilvl w:val="1"/>
          <w:numId w:val="4"/>
        </w:numPr>
      </w:pPr>
      <w:r>
        <w:t>Toevoegen van bewijsmiddel</w:t>
      </w:r>
      <w:r>
        <w:t>(</w:t>
      </w:r>
      <w:r>
        <w:t>en</w:t>
      </w:r>
      <w:r>
        <w:t>)</w:t>
      </w:r>
    </w:p>
    <w:p w:rsidR="001602BA" w:rsidRDefault="001602BA">
      <w:pPr>
        <w:pStyle w:val="Lijstalinea"/>
        <w:numPr>
          <w:ilvl w:val="1"/>
          <w:numId w:val="4"/>
        </w:numPr>
      </w:pPr>
      <w:r>
        <w:t xml:space="preserve">Wijzigen </w:t>
      </w:r>
      <w:r>
        <w:t xml:space="preserve">van een </w:t>
      </w:r>
      <w:r>
        <w:t>stelling</w:t>
      </w:r>
    </w:p>
    <w:p w:rsidR="001602BA" w:rsidRDefault="001602BA">
      <w:pPr>
        <w:pStyle w:val="Lijstalinea"/>
        <w:numPr>
          <w:ilvl w:val="1"/>
          <w:numId w:val="4"/>
        </w:numPr>
      </w:pPr>
      <w:r>
        <w:t>Extraheren</w:t>
      </w:r>
      <w:r w:rsidRPr="001602BA">
        <w:t xml:space="preserve"> </w:t>
      </w:r>
      <w:r>
        <w:t xml:space="preserve">van een </w:t>
      </w:r>
      <w:r>
        <w:t>matrijs</w:t>
      </w:r>
    </w:p>
    <w:p w:rsidR="001602BA" w:rsidRDefault="001602BA" w:rsidP="001602BA">
      <w:pPr>
        <w:pStyle w:val="Lijstalinea"/>
        <w:numPr>
          <w:ilvl w:val="0"/>
          <w:numId w:val="4"/>
        </w:numPr>
      </w:pPr>
      <w:proofErr w:type="spellStart"/>
      <w:r>
        <w:t>Wetweter</w:t>
      </w:r>
      <w:proofErr w:type="spellEnd"/>
      <w:r>
        <w:t xml:space="preserve"> bevragen:</w:t>
      </w:r>
    </w:p>
    <w:p w:rsidR="001602BA" w:rsidRDefault="001602BA" w:rsidP="001602BA">
      <w:pPr>
        <w:pStyle w:val="Lijstalinea"/>
        <w:numPr>
          <w:ilvl w:val="1"/>
          <w:numId w:val="4"/>
        </w:numPr>
      </w:pPr>
      <w:r>
        <w:t>Vinden van regelgeving</w:t>
      </w:r>
    </w:p>
    <w:p w:rsidR="001602BA" w:rsidRDefault="001602BA" w:rsidP="001602BA">
      <w:pPr>
        <w:pStyle w:val="Lijstalinea"/>
        <w:numPr>
          <w:ilvl w:val="1"/>
          <w:numId w:val="4"/>
        </w:numPr>
      </w:pPr>
      <w:r>
        <w:t>Vinden van jurisprudentie</w:t>
      </w:r>
    </w:p>
    <w:p w:rsidR="001602BA" w:rsidRDefault="001602BA" w:rsidP="001602BA">
      <w:pPr>
        <w:pStyle w:val="Lijstalinea"/>
        <w:numPr>
          <w:ilvl w:val="1"/>
          <w:numId w:val="4"/>
        </w:numPr>
      </w:pPr>
      <w:r>
        <w:t>Geven van hints</w:t>
      </w:r>
    </w:p>
    <w:p w:rsidR="001602BA" w:rsidRDefault="001602BA" w:rsidP="001602BA">
      <w:pPr>
        <w:pStyle w:val="Lijstalinea"/>
        <w:numPr>
          <w:ilvl w:val="1"/>
          <w:numId w:val="4"/>
        </w:numPr>
      </w:pPr>
      <w:r>
        <w:t>Analyseren van omissies</w:t>
      </w:r>
    </w:p>
    <w:p w:rsidR="001602BA" w:rsidRDefault="001602BA" w:rsidP="001602BA">
      <w:pPr>
        <w:pStyle w:val="Lijstalinea"/>
        <w:numPr>
          <w:ilvl w:val="1"/>
          <w:numId w:val="4"/>
        </w:numPr>
      </w:pPr>
      <w:r>
        <w:t xml:space="preserve">Analyseren van </w:t>
      </w:r>
      <w:r>
        <w:t>consistentie</w:t>
      </w:r>
    </w:p>
    <w:p w:rsidR="001602BA" w:rsidRPr="003C1D8F" w:rsidRDefault="001602BA" w:rsidP="001602BA">
      <w:pPr>
        <w:pStyle w:val="Lijstalinea"/>
        <w:ind w:left="1440"/>
      </w:pPr>
      <w:bookmarkStart w:id="0" w:name="_GoBack"/>
      <w:bookmarkEnd w:id="0"/>
    </w:p>
    <w:sectPr w:rsidR="001602BA" w:rsidRPr="003C1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4ECD"/>
    <w:multiLevelType w:val="hybridMultilevel"/>
    <w:tmpl w:val="7DACAB66"/>
    <w:lvl w:ilvl="0" w:tplc="5AA610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315FE0"/>
    <w:multiLevelType w:val="hybridMultilevel"/>
    <w:tmpl w:val="68F01B66"/>
    <w:lvl w:ilvl="0" w:tplc="5AA610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84074EE"/>
    <w:multiLevelType w:val="hybridMultilevel"/>
    <w:tmpl w:val="C4D22D14"/>
    <w:lvl w:ilvl="0" w:tplc="5AA610D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4935328"/>
    <w:multiLevelType w:val="hybridMultilevel"/>
    <w:tmpl w:val="511858F4"/>
    <w:lvl w:ilvl="0" w:tplc="5AA610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A603DD3"/>
    <w:multiLevelType w:val="hybridMultilevel"/>
    <w:tmpl w:val="2BA2419A"/>
    <w:lvl w:ilvl="0" w:tplc="F3F45960">
      <w:start w:val="1"/>
      <w:numFmt w:val="bullet"/>
      <w:lvlText w:val="-"/>
      <w:lvlJc w:val="left"/>
      <w:pPr>
        <w:ind w:left="405" w:hanging="360"/>
      </w:pPr>
      <w:rPr>
        <w:rFonts w:ascii="Calibri" w:eastAsiaTheme="minorHAnsi" w:hAnsi="Calibri"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CA"/>
    <w:rsid w:val="000E447C"/>
    <w:rsid w:val="001602BA"/>
    <w:rsid w:val="00247BCA"/>
    <w:rsid w:val="003C1D8F"/>
    <w:rsid w:val="005E6619"/>
    <w:rsid w:val="0060000E"/>
    <w:rsid w:val="00715EF5"/>
    <w:rsid w:val="008002B9"/>
    <w:rsid w:val="00A2454C"/>
    <w:rsid w:val="00E43682"/>
    <w:rsid w:val="00EF28AC"/>
    <w:rsid w:val="00F83A53"/>
    <w:rsid w:val="00FB0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C1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47BCA"/>
    <w:pPr>
      <w:ind w:left="720"/>
      <w:contextualSpacing/>
    </w:pPr>
  </w:style>
  <w:style w:type="character" w:customStyle="1" w:styleId="Kop1Char">
    <w:name w:val="Kop 1 Char"/>
    <w:basedOn w:val="Standaardalinea-lettertype"/>
    <w:link w:val="Kop1"/>
    <w:uiPriority w:val="9"/>
    <w:rsid w:val="003C1D8F"/>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3C1D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1D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C1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47BCA"/>
    <w:pPr>
      <w:ind w:left="720"/>
      <w:contextualSpacing/>
    </w:pPr>
  </w:style>
  <w:style w:type="character" w:customStyle="1" w:styleId="Kop1Char">
    <w:name w:val="Kop 1 Char"/>
    <w:basedOn w:val="Standaardalinea-lettertype"/>
    <w:link w:val="Kop1"/>
    <w:uiPriority w:val="9"/>
    <w:rsid w:val="003C1D8F"/>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3C1D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1D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28942B21.dotm</Template>
  <TotalTime>252</TotalTime>
  <Pages>3</Pages>
  <Words>758</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Joosten, Stef</dc:creator>
  <cp:lastModifiedBy>Joosten, Stef</cp:lastModifiedBy>
  <cp:revision>1</cp:revision>
  <dcterms:created xsi:type="dcterms:W3CDTF">2015-12-30T06:36:00Z</dcterms:created>
  <dcterms:modified xsi:type="dcterms:W3CDTF">2015-12-30T10:48:00Z</dcterms:modified>
</cp:coreProperties>
</file>