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400D" w14:textId="77777777" w:rsidR="00392CE2" w:rsidRPr="00392CE2" w:rsidRDefault="00392CE2" w:rsidP="00392CE2">
      <w:pPr>
        <w:rPr>
          <w:b/>
          <w:bCs/>
        </w:rPr>
      </w:pPr>
      <w:r w:rsidRPr="00392CE2">
        <w:rPr>
          <w:b/>
          <w:bCs/>
        </w:rPr>
        <w:t>Report: Multiple Linear Regression Analysis of Internet Usage</w:t>
      </w:r>
    </w:p>
    <w:p w14:paraId="160929F0" w14:textId="77777777" w:rsidR="00392CE2" w:rsidRPr="00392CE2" w:rsidRDefault="00392CE2" w:rsidP="00392CE2">
      <w:pPr>
        <w:rPr>
          <w:b/>
          <w:bCs/>
        </w:rPr>
      </w:pPr>
      <w:r w:rsidRPr="00392CE2">
        <w:rPr>
          <w:b/>
          <w:bCs/>
        </w:rPr>
        <w:t>1. Model Fit</w:t>
      </w:r>
    </w:p>
    <w:p w14:paraId="789A8F5C" w14:textId="77777777" w:rsidR="00392CE2" w:rsidRPr="00392CE2" w:rsidRDefault="00392CE2" w:rsidP="00392CE2">
      <w:r w:rsidRPr="00392CE2">
        <w:t>The fitted model was:</w:t>
      </w:r>
    </w:p>
    <w:p w14:paraId="5C7ABEF2" w14:textId="77777777" w:rsidR="00392CE2" w:rsidRPr="00392CE2" w:rsidRDefault="00392CE2" w:rsidP="00392CE2">
      <w:r w:rsidRPr="00392CE2">
        <w:rPr>
          <w:b/>
          <w:bCs/>
        </w:rPr>
        <w:t>Usage = -2499 + 87.81(Age) - 122.7(Gender) + 54.14(</w:t>
      </w:r>
      <w:proofErr w:type="spellStart"/>
      <w:r w:rsidRPr="00392CE2">
        <w:rPr>
          <w:b/>
          <w:bCs/>
        </w:rPr>
        <w:t>WebPages</w:t>
      </w:r>
      <w:proofErr w:type="spellEnd"/>
      <w:r w:rsidRPr="00392CE2">
        <w:rPr>
          <w:b/>
          <w:bCs/>
        </w:rPr>
        <w:t>) + 1172(</w:t>
      </w:r>
      <w:proofErr w:type="spellStart"/>
      <w:r w:rsidRPr="00392CE2">
        <w:rPr>
          <w:b/>
          <w:bCs/>
        </w:rPr>
        <w:t>VideoHours</w:t>
      </w:r>
      <w:proofErr w:type="spellEnd"/>
      <w:r w:rsidRPr="00392CE2">
        <w:rPr>
          <w:b/>
          <w:bCs/>
        </w:rPr>
        <w:t>) + 0.79(Income)</w:t>
      </w:r>
    </w:p>
    <w:p w14:paraId="6BFC33EF" w14:textId="77777777" w:rsidR="00392CE2" w:rsidRPr="00392CE2" w:rsidRDefault="00392CE2" w:rsidP="00392CE2">
      <w:r w:rsidRPr="00392CE2">
        <w:t>The model explains a substantial portion of the variance in internet usage (R² = 0.8371, Adjusted R² = 0.8363), and the overall model is highly significant (F = 986.8, p &lt; 2.2e-16). Four of the five predictors are statistically significant at the 0.001 level:</w:t>
      </w:r>
    </w:p>
    <w:p w14:paraId="456158DA" w14:textId="77777777" w:rsidR="00392CE2" w:rsidRPr="00392CE2" w:rsidRDefault="00392CE2" w:rsidP="00392CE2">
      <w:pPr>
        <w:numPr>
          <w:ilvl w:val="0"/>
          <w:numId w:val="1"/>
        </w:numPr>
      </w:pPr>
      <w:r w:rsidRPr="00392CE2">
        <w:rPr>
          <w:b/>
          <w:bCs/>
        </w:rPr>
        <w:t>Video hours</w:t>
      </w:r>
      <w:r w:rsidRPr="00392CE2">
        <w:t xml:space="preserve"> has the largest effect: each additional hour of video watched is associated with a ~1172-unit increase in usage, holding other variables constant.</w:t>
      </w:r>
    </w:p>
    <w:p w14:paraId="429A74F1" w14:textId="77777777" w:rsidR="00392CE2" w:rsidRPr="00392CE2" w:rsidRDefault="00392CE2" w:rsidP="00392CE2">
      <w:pPr>
        <w:numPr>
          <w:ilvl w:val="0"/>
          <w:numId w:val="1"/>
        </w:numPr>
      </w:pPr>
      <w:r w:rsidRPr="00392CE2">
        <w:rPr>
          <w:b/>
          <w:bCs/>
        </w:rPr>
        <w:t>Web pages</w:t>
      </w:r>
      <w:r w:rsidRPr="00392CE2">
        <w:t xml:space="preserve"> and </w:t>
      </w:r>
      <w:r w:rsidRPr="00392CE2">
        <w:rPr>
          <w:b/>
          <w:bCs/>
        </w:rPr>
        <w:t>income</w:t>
      </w:r>
      <w:r w:rsidRPr="00392CE2">
        <w:t xml:space="preserve"> are also strong positive predictors (+54.14 per page, +0.79 per unit of income).</w:t>
      </w:r>
    </w:p>
    <w:p w14:paraId="3A8521E9" w14:textId="77777777" w:rsidR="00392CE2" w:rsidRPr="00392CE2" w:rsidRDefault="00392CE2" w:rsidP="00392CE2">
      <w:pPr>
        <w:numPr>
          <w:ilvl w:val="0"/>
          <w:numId w:val="1"/>
        </w:numPr>
      </w:pPr>
      <w:r w:rsidRPr="00392CE2">
        <w:rPr>
          <w:b/>
          <w:bCs/>
        </w:rPr>
        <w:t>Age</w:t>
      </w:r>
      <w:r w:rsidRPr="00392CE2">
        <w:t xml:space="preserve"> has a smaller but still significant positive effect (+87.81 per year).</w:t>
      </w:r>
    </w:p>
    <w:p w14:paraId="2072B1C0" w14:textId="77777777" w:rsidR="00392CE2" w:rsidRPr="00392CE2" w:rsidRDefault="00392CE2" w:rsidP="00392CE2">
      <w:pPr>
        <w:numPr>
          <w:ilvl w:val="0"/>
          <w:numId w:val="1"/>
        </w:numPr>
      </w:pPr>
      <w:r w:rsidRPr="00392CE2">
        <w:rPr>
          <w:b/>
          <w:bCs/>
        </w:rPr>
        <w:t>Gender</w:t>
      </w:r>
      <w:r w:rsidRPr="00392CE2">
        <w:t xml:space="preserve"> is not statistically significant (p = 0.643) — after accounting for the other variables, there's no meaningful difference in usage between genders.</w:t>
      </w:r>
    </w:p>
    <w:p w14:paraId="6B19DEE0" w14:textId="77777777" w:rsidR="00392CE2" w:rsidRPr="00392CE2" w:rsidRDefault="00392CE2" w:rsidP="00392CE2">
      <w:pPr>
        <w:rPr>
          <w:b/>
          <w:bCs/>
        </w:rPr>
      </w:pPr>
      <w:r w:rsidRPr="00392CE2">
        <w:rPr>
          <w:b/>
          <w:bCs/>
        </w:rPr>
        <w:t>2. Linearity</w:t>
      </w:r>
    </w:p>
    <w:p w14:paraId="5D24DCD3" w14:textId="1E89AB64" w:rsidR="00266677" w:rsidRPr="00266677" w:rsidRDefault="00266677" w:rsidP="00266677">
      <w:r w:rsidRPr="00266677">
        <w:t xml:space="preserve">Verdict: Violated — the residual trend curves rather than staying flat around zero, indicating the model is missing some non-linear structure. This is the same pattern (driven by the same outlying observations) responsible for the homoscedasticity and normality </w:t>
      </w:r>
      <w:r w:rsidRPr="00266677">
        <w:t>violations and</w:t>
      </w:r>
      <w:r w:rsidRPr="00266677">
        <w:t xml:space="preserve"> reinforces the case for a variable transformation.</w:t>
      </w:r>
    </w:p>
    <w:p w14:paraId="7A310E78" w14:textId="77777777" w:rsidR="007253DF" w:rsidRPr="00392CE2" w:rsidRDefault="007253DF" w:rsidP="00392CE2"/>
    <w:p w14:paraId="342E1884" w14:textId="77777777" w:rsidR="00392CE2" w:rsidRPr="00392CE2" w:rsidRDefault="00392CE2" w:rsidP="00392CE2">
      <w:pPr>
        <w:rPr>
          <w:b/>
          <w:bCs/>
        </w:rPr>
      </w:pPr>
      <w:r w:rsidRPr="00392CE2">
        <w:rPr>
          <w:b/>
          <w:bCs/>
        </w:rPr>
        <w:t>3. Multicollinearity</w:t>
      </w:r>
    </w:p>
    <w:p w14:paraId="676F5D50" w14:textId="77777777" w:rsidR="00392CE2" w:rsidRPr="00392CE2" w:rsidRDefault="00392CE2" w:rsidP="00392CE2">
      <w:r w:rsidRPr="00392CE2">
        <w:t xml:space="preserve">VIF values are all close to 1 (ranging from 1.00 for gender to 1.51 for video hours), well below the common thresholds of 5 or 10. </w:t>
      </w:r>
      <w:r w:rsidRPr="00392CE2">
        <w:rPr>
          <w:b/>
          <w:bCs/>
        </w:rPr>
        <w:t>There is no evidence of multicollinearity</w:t>
      </w:r>
      <w:r w:rsidRPr="00392CE2">
        <w:t xml:space="preserve"> — the predictors are not redundant with one another, so the individual coefficient estimates can be trusted as stable.</w:t>
      </w:r>
    </w:p>
    <w:p w14:paraId="365BAC57" w14:textId="77777777" w:rsidR="00392CE2" w:rsidRPr="00392CE2" w:rsidRDefault="00392CE2" w:rsidP="00392CE2">
      <w:pPr>
        <w:rPr>
          <w:b/>
          <w:bCs/>
        </w:rPr>
      </w:pPr>
      <w:r w:rsidRPr="00392CE2">
        <w:rPr>
          <w:b/>
          <w:bCs/>
        </w:rPr>
        <w:t>4. Homoscedasticity</w:t>
      </w:r>
    </w:p>
    <w:p w14:paraId="75EF5D1E" w14:textId="77777777" w:rsidR="00392CE2" w:rsidRPr="00392CE2" w:rsidRDefault="00392CE2" w:rsidP="00392CE2">
      <w:r w:rsidRPr="00392CE2">
        <w:t xml:space="preserve">The Breusch-Pagan test is significant (BP = 49.663, p = 1.624e-09), so the null hypothesis of constant variance is rejected. </w:t>
      </w:r>
      <w:r w:rsidRPr="00392CE2">
        <w:rPr>
          <w:b/>
          <w:bCs/>
        </w:rPr>
        <w:t>The assumption of homoscedasticity is violated</w:t>
      </w:r>
      <w:r w:rsidRPr="00392CE2">
        <w:t xml:space="preserve"> — the spread of residuals changes across levels of the fitted values (</w:t>
      </w:r>
      <w:proofErr w:type="gramStart"/>
      <w:r w:rsidRPr="00392CE2">
        <w:t>likely</w:t>
      </w:r>
      <w:proofErr w:type="gramEnd"/>
      <w:r w:rsidRPr="00392CE2">
        <w:t xml:space="preserve"> widening at higher usage levels, given the residual range runs from -10,925 to +46,030). This means the </w:t>
      </w:r>
      <w:r w:rsidRPr="00392CE2">
        <w:lastRenderedPageBreak/>
        <w:t>standard errors and p-values in the summary output may be somewhat unreliable, even though the coefficient estimates themselves remain unbiased.</w:t>
      </w:r>
    </w:p>
    <w:p w14:paraId="7AD44E17" w14:textId="77777777" w:rsidR="00392CE2" w:rsidRPr="00392CE2" w:rsidRDefault="00392CE2" w:rsidP="00392CE2">
      <w:pPr>
        <w:rPr>
          <w:b/>
          <w:bCs/>
        </w:rPr>
      </w:pPr>
      <w:r w:rsidRPr="00392CE2">
        <w:rPr>
          <w:b/>
          <w:bCs/>
        </w:rPr>
        <w:t>5. Multivariate Normality</w:t>
      </w:r>
    </w:p>
    <w:p w14:paraId="3DC4D4D9" w14:textId="77777777" w:rsidR="00392CE2" w:rsidRPr="00392CE2" w:rsidRDefault="00392CE2" w:rsidP="00392CE2">
      <w:r w:rsidRPr="00392CE2">
        <w:t xml:space="preserve">The Shapiro-Wilk test is significant (W = 0.905, p &lt; 2.2e-16), rejecting normality of the residuals. The Q-Q plot confirms this: points track the diagonal reasonably well through the middle of the distribution, but </w:t>
      </w:r>
      <w:r w:rsidRPr="00392CE2">
        <w:rPr>
          <w:b/>
          <w:bCs/>
        </w:rPr>
        <w:t>curve away at both tails</w:t>
      </w:r>
      <w:r w:rsidRPr="00392CE2">
        <w:t xml:space="preserve"> — most noticeably at the upper right, where several points (including one clear outlier near 45,000) sit well above the line. This indicates a </w:t>
      </w:r>
      <w:r w:rsidRPr="00392CE2">
        <w:rPr>
          <w:b/>
          <w:bCs/>
        </w:rPr>
        <w:t>right-skewed, heavy-tailed residual distribution</w:t>
      </w:r>
      <w:r w:rsidRPr="00392CE2">
        <w:t xml:space="preserve"> rather than normal residuals, likely driven by a small number of very high-usage individuals.</w:t>
      </w:r>
    </w:p>
    <w:p w14:paraId="4326527D" w14:textId="77777777" w:rsidR="00392CE2" w:rsidRPr="00392CE2" w:rsidRDefault="00392CE2" w:rsidP="00392CE2">
      <w:pPr>
        <w:rPr>
          <w:b/>
          <w:bCs/>
        </w:rPr>
      </w:pPr>
      <w:r w:rsidRPr="00392CE2">
        <w:rPr>
          <w:b/>
          <w:bCs/>
        </w:rPr>
        <w:t>6. Independence</w:t>
      </w:r>
    </w:p>
    <w:p w14:paraId="30374E18" w14:textId="77777777" w:rsidR="00392CE2" w:rsidRPr="00392CE2" w:rsidRDefault="00392CE2" w:rsidP="00392CE2">
      <w:r w:rsidRPr="00392CE2">
        <w:t xml:space="preserve">The Durbin-Watson statistic is 1.881 (p = 0.058), just above the conventional 0.05 threshold. You fail to reject H₀ at the standard significance level, so there's no strong evidence of autocorrelation — </w:t>
      </w:r>
      <w:r w:rsidRPr="00392CE2">
        <w:rPr>
          <w:b/>
          <w:bCs/>
        </w:rPr>
        <w:t>the independence assumption is reasonably supported</w:t>
      </w:r>
      <w:r w:rsidRPr="00392CE2">
        <w:t>, though the p-value is close enough to the cutoff that it's worth noting as borderline rather than a clean pass.</w:t>
      </w:r>
    </w:p>
    <w:p w14:paraId="54BBA989" w14:textId="77777777" w:rsidR="00392CE2" w:rsidRPr="00392CE2" w:rsidRDefault="00392CE2" w:rsidP="00392CE2">
      <w:pPr>
        <w:rPr>
          <w:b/>
          <w:bCs/>
        </w:rPr>
      </w:pPr>
      <w:r w:rsidRPr="00392CE2">
        <w:rPr>
          <w:b/>
          <w:bCs/>
        </w:rPr>
        <w:t>7. Ridge and LASSO Regression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852"/>
        <w:gridCol w:w="980"/>
        <w:gridCol w:w="1313"/>
      </w:tblGrid>
      <w:tr w:rsidR="00392CE2" w:rsidRPr="00392CE2" w14:paraId="414F7220" w14:textId="77777777">
        <w:trPr>
          <w:tblHeader/>
          <w:tblCellSpacing w:w="15" w:type="dxa"/>
        </w:trPr>
        <w:tc>
          <w:tcPr>
            <w:tcW w:w="0" w:type="auto"/>
            <w:vAlign w:val="center"/>
            <w:hideMark/>
          </w:tcPr>
          <w:p w14:paraId="3E63DD2A" w14:textId="77777777" w:rsidR="00392CE2" w:rsidRPr="00392CE2" w:rsidRDefault="00392CE2" w:rsidP="00392CE2">
            <w:pPr>
              <w:rPr>
                <w:b/>
                <w:bCs/>
              </w:rPr>
            </w:pPr>
            <w:r w:rsidRPr="00392CE2">
              <w:rPr>
                <w:b/>
                <w:bCs/>
              </w:rPr>
              <w:t>Predictor</w:t>
            </w:r>
          </w:p>
        </w:tc>
        <w:tc>
          <w:tcPr>
            <w:tcW w:w="0" w:type="auto"/>
            <w:vAlign w:val="center"/>
            <w:hideMark/>
          </w:tcPr>
          <w:p w14:paraId="1828596B" w14:textId="77777777" w:rsidR="00392CE2" w:rsidRPr="00392CE2" w:rsidRDefault="00392CE2" w:rsidP="00392CE2">
            <w:pPr>
              <w:rPr>
                <w:b/>
                <w:bCs/>
              </w:rPr>
            </w:pPr>
            <w:r w:rsidRPr="00392CE2">
              <w:rPr>
                <w:b/>
                <w:bCs/>
              </w:rPr>
              <w:t>OLS</w:t>
            </w:r>
          </w:p>
        </w:tc>
        <w:tc>
          <w:tcPr>
            <w:tcW w:w="0" w:type="auto"/>
            <w:vAlign w:val="center"/>
            <w:hideMark/>
          </w:tcPr>
          <w:p w14:paraId="5EFB2A72" w14:textId="77777777" w:rsidR="00392CE2" w:rsidRPr="00392CE2" w:rsidRDefault="00392CE2" w:rsidP="00392CE2">
            <w:pPr>
              <w:rPr>
                <w:b/>
                <w:bCs/>
              </w:rPr>
            </w:pPr>
            <w:r w:rsidRPr="00392CE2">
              <w:rPr>
                <w:b/>
                <w:bCs/>
              </w:rPr>
              <w:t>Ridge</w:t>
            </w:r>
          </w:p>
        </w:tc>
        <w:tc>
          <w:tcPr>
            <w:tcW w:w="0" w:type="auto"/>
            <w:vAlign w:val="center"/>
            <w:hideMark/>
          </w:tcPr>
          <w:p w14:paraId="649849AE" w14:textId="77777777" w:rsidR="00392CE2" w:rsidRPr="00392CE2" w:rsidRDefault="00392CE2" w:rsidP="00392CE2">
            <w:pPr>
              <w:rPr>
                <w:b/>
                <w:bCs/>
              </w:rPr>
            </w:pPr>
            <w:r w:rsidRPr="00392CE2">
              <w:rPr>
                <w:b/>
                <w:bCs/>
              </w:rPr>
              <w:t>LASSO</w:t>
            </w:r>
          </w:p>
        </w:tc>
      </w:tr>
      <w:tr w:rsidR="00392CE2" w:rsidRPr="00392CE2" w14:paraId="45E659F2" w14:textId="77777777">
        <w:trPr>
          <w:tblCellSpacing w:w="15" w:type="dxa"/>
        </w:trPr>
        <w:tc>
          <w:tcPr>
            <w:tcW w:w="0" w:type="auto"/>
            <w:vAlign w:val="center"/>
            <w:hideMark/>
          </w:tcPr>
          <w:p w14:paraId="1FDA0E44" w14:textId="77777777" w:rsidR="00392CE2" w:rsidRPr="00392CE2" w:rsidRDefault="00392CE2" w:rsidP="00392CE2">
            <w:r w:rsidRPr="00392CE2">
              <w:t>Intercept</w:t>
            </w:r>
          </w:p>
        </w:tc>
        <w:tc>
          <w:tcPr>
            <w:tcW w:w="0" w:type="auto"/>
            <w:vAlign w:val="center"/>
            <w:hideMark/>
          </w:tcPr>
          <w:p w14:paraId="0B621BFA" w14:textId="77777777" w:rsidR="00392CE2" w:rsidRPr="00392CE2" w:rsidRDefault="00392CE2" w:rsidP="00392CE2">
            <w:r w:rsidRPr="00392CE2">
              <w:t>-2499.0</w:t>
            </w:r>
          </w:p>
        </w:tc>
        <w:tc>
          <w:tcPr>
            <w:tcW w:w="0" w:type="auto"/>
            <w:vAlign w:val="center"/>
            <w:hideMark/>
          </w:tcPr>
          <w:p w14:paraId="4DD7EE0E" w14:textId="77777777" w:rsidR="00392CE2" w:rsidRPr="00392CE2" w:rsidRDefault="00392CE2" w:rsidP="00392CE2">
            <w:r w:rsidRPr="00392CE2">
              <w:t>-2137.99</w:t>
            </w:r>
          </w:p>
        </w:tc>
        <w:tc>
          <w:tcPr>
            <w:tcW w:w="0" w:type="auto"/>
            <w:vAlign w:val="center"/>
            <w:hideMark/>
          </w:tcPr>
          <w:p w14:paraId="6FD47DAD" w14:textId="77777777" w:rsidR="00392CE2" w:rsidRPr="00392CE2" w:rsidRDefault="00392CE2" w:rsidP="00392CE2">
            <w:r w:rsidRPr="00392CE2">
              <w:t>-2137.13</w:t>
            </w:r>
          </w:p>
        </w:tc>
      </w:tr>
      <w:tr w:rsidR="00392CE2" w:rsidRPr="00392CE2" w14:paraId="4007998B" w14:textId="77777777">
        <w:trPr>
          <w:tblCellSpacing w:w="15" w:type="dxa"/>
        </w:trPr>
        <w:tc>
          <w:tcPr>
            <w:tcW w:w="0" w:type="auto"/>
            <w:vAlign w:val="center"/>
            <w:hideMark/>
          </w:tcPr>
          <w:p w14:paraId="31157BBF" w14:textId="77777777" w:rsidR="00392CE2" w:rsidRPr="00392CE2" w:rsidRDefault="00392CE2" w:rsidP="00392CE2">
            <w:r w:rsidRPr="00392CE2">
              <w:t>Age</w:t>
            </w:r>
          </w:p>
        </w:tc>
        <w:tc>
          <w:tcPr>
            <w:tcW w:w="0" w:type="auto"/>
            <w:vAlign w:val="center"/>
            <w:hideMark/>
          </w:tcPr>
          <w:p w14:paraId="20391845" w14:textId="77777777" w:rsidR="00392CE2" w:rsidRPr="00392CE2" w:rsidRDefault="00392CE2" w:rsidP="00392CE2">
            <w:r w:rsidRPr="00392CE2">
              <w:t>87.81</w:t>
            </w:r>
          </w:p>
        </w:tc>
        <w:tc>
          <w:tcPr>
            <w:tcW w:w="0" w:type="auto"/>
            <w:vAlign w:val="center"/>
            <w:hideMark/>
          </w:tcPr>
          <w:p w14:paraId="4964C64A" w14:textId="77777777" w:rsidR="00392CE2" w:rsidRPr="00392CE2" w:rsidRDefault="00392CE2" w:rsidP="00392CE2">
            <w:r w:rsidRPr="00392CE2">
              <w:t>87.87</w:t>
            </w:r>
          </w:p>
        </w:tc>
        <w:tc>
          <w:tcPr>
            <w:tcW w:w="0" w:type="auto"/>
            <w:vAlign w:val="center"/>
            <w:hideMark/>
          </w:tcPr>
          <w:p w14:paraId="3A17D9B4" w14:textId="77777777" w:rsidR="00392CE2" w:rsidRPr="00392CE2" w:rsidRDefault="00392CE2" w:rsidP="00392CE2">
            <w:r w:rsidRPr="00392CE2">
              <w:t>81.29</w:t>
            </w:r>
          </w:p>
        </w:tc>
      </w:tr>
      <w:tr w:rsidR="00392CE2" w:rsidRPr="00392CE2" w14:paraId="1713463E" w14:textId="77777777">
        <w:trPr>
          <w:tblCellSpacing w:w="15" w:type="dxa"/>
        </w:trPr>
        <w:tc>
          <w:tcPr>
            <w:tcW w:w="0" w:type="auto"/>
            <w:vAlign w:val="center"/>
            <w:hideMark/>
          </w:tcPr>
          <w:p w14:paraId="7E9A4A73" w14:textId="77777777" w:rsidR="00392CE2" w:rsidRPr="00392CE2" w:rsidRDefault="00392CE2" w:rsidP="00392CE2">
            <w:r w:rsidRPr="00392CE2">
              <w:t>Gender</w:t>
            </w:r>
          </w:p>
        </w:tc>
        <w:tc>
          <w:tcPr>
            <w:tcW w:w="0" w:type="auto"/>
            <w:vAlign w:val="center"/>
            <w:hideMark/>
          </w:tcPr>
          <w:p w14:paraId="00271FA2" w14:textId="77777777" w:rsidR="00392CE2" w:rsidRPr="00392CE2" w:rsidRDefault="00392CE2" w:rsidP="00392CE2">
            <w:r w:rsidRPr="00392CE2">
              <w:t>-122.7</w:t>
            </w:r>
          </w:p>
        </w:tc>
        <w:tc>
          <w:tcPr>
            <w:tcW w:w="0" w:type="auto"/>
            <w:vAlign w:val="center"/>
            <w:hideMark/>
          </w:tcPr>
          <w:p w14:paraId="77F53515" w14:textId="77777777" w:rsidR="00392CE2" w:rsidRPr="00392CE2" w:rsidRDefault="00392CE2" w:rsidP="00392CE2">
            <w:r w:rsidRPr="00392CE2">
              <w:t>-148.59</w:t>
            </w:r>
          </w:p>
        </w:tc>
        <w:tc>
          <w:tcPr>
            <w:tcW w:w="0" w:type="auto"/>
            <w:vAlign w:val="center"/>
            <w:hideMark/>
          </w:tcPr>
          <w:p w14:paraId="15025F6B" w14:textId="77777777" w:rsidR="00392CE2" w:rsidRPr="00392CE2" w:rsidRDefault="00392CE2" w:rsidP="00392CE2">
            <w:r w:rsidRPr="00392CE2">
              <w:rPr>
                <w:b/>
                <w:bCs/>
              </w:rPr>
              <w:t>0 (dropped)</w:t>
            </w:r>
          </w:p>
        </w:tc>
      </w:tr>
      <w:tr w:rsidR="00392CE2" w:rsidRPr="00392CE2" w14:paraId="08F101CC" w14:textId="77777777">
        <w:trPr>
          <w:tblCellSpacing w:w="15" w:type="dxa"/>
        </w:trPr>
        <w:tc>
          <w:tcPr>
            <w:tcW w:w="0" w:type="auto"/>
            <w:vAlign w:val="center"/>
            <w:hideMark/>
          </w:tcPr>
          <w:p w14:paraId="597A7F1B" w14:textId="77777777" w:rsidR="00392CE2" w:rsidRPr="00392CE2" w:rsidRDefault="00392CE2" w:rsidP="00392CE2">
            <w:r w:rsidRPr="00392CE2">
              <w:t>Web pages</w:t>
            </w:r>
          </w:p>
        </w:tc>
        <w:tc>
          <w:tcPr>
            <w:tcW w:w="0" w:type="auto"/>
            <w:vAlign w:val="center"/>
            <w:hideMark/>
          </w:tcPr>
          <w:p w14:paraId="4B6B0CB2" w14:textId="77777777" w:rsidR="00392CE2" w:rsidRPr="00392CE2" w:rsidRDefault="00392CE2" w:rsidP="00392CE2">
            <w:r w:rsidRPr="00392CE2">
              <w:t>54.14</w:t>
            </w:r>
          </w:p>
        </w:tc>
        <w:tc>
          <w:tcPr>
            <w:tcW w:w="0" w:type="auto"/>
            <w:vAlign w:val="center"/>
            <w:hideMark/>
          </w:tcPr>
          <w:p w14:paraId="64D2D2FE" w14:textId="77777777" w:rsidR="00392CE2" w:rsidRPr="00392CE2" w:rsidRDefault="00392CE2" w:rsidP="00392CE2">
            <w:r w:rsidRPr="00392CE2">
              <w:t>54.15</w:t>
            </w:r>
          </w:p>
        </w:tc>
        <w:tc>
          <w:tcPr>
            <w:tcW w:w="0" w:type="auto"/>
            <w:vAlign w:val="center"/>
            <w:hideMark/>
          </w:tcPr>
          <w:p w14:paraId="06F53B4F" w14:textId="77777777" w:rsidR="00392CE2" w:rsidRPr="00392CE2" w:rsidRDefault="00392CE2" w:rsidP="00392CE2">
            <w:r w:rsidRPr="00392CE2">
              <w:t>52.32</w:t>
            </w:r>
          </w:p>
        </w:tc>
      </w:tr>
      <w:tr w:rsidR="00392CE2" w:rsidRPr="00392CE2" w14:paraId="6AF5BDE7" w14:textId="77777777">
        <w:trPr>
          <w:tblCellSpacing w:w="15" w:type="dxa"/>
        </w:trPr>
        <w:tc>
          <w:tcPr>
            <w:tcW w:w="0" w:type="auto"/>
            <w:vAlign w:val="center"/>
            <w:hideMark/>
          </w:tcPr>
          <w:p w14:paraId="20DE9626" w14:textId="77777777" w:rsidR="00392CE2" w:rsidRPr="00392CE2" w:rsidRDefault="00392CE2" w:rsidP="00392CE2">
            <w:r w:rsidRPr="00392CE2">
              <w:t>Video hours</w:t>
            </w:r>
          </w:p>
        </w:tc>
        <w:tc>
          <w:tcPr>
            <w:tcW w:w="0" w:type="auto"/>
            <w:vAlign w:val="center"/>
            <w:hideMark/>
          </w:tcPr>
          <w:p w14:paraId="1632FBA3" w14:textId="77777777" w:rsidR="00392CE2" w:rsidRPr="00392CE2" w:rsidRDefault="00392CE2" w:rsidP="00392CE2">
            <w:r w:rsidRPr="00392CE2">
              <w:t>1172.0</w:t>
            </w:r>
          </w:p>
        </w:tc>
        <w:tc>
          <w:tcPr>
            <w:tcW w:w="0" w:type="auto"/>
            <w:vAlign w:val="center"/>
            <w:hideMark/>
          </w:tcPr>
          <w:p w14:paraId="3CEC48CC" w14:textId="77777777" w:rsidR="00392CE2" w:rsidRPr="00392CE2" w:rsidRDefault="00392CE2" w:rsidP="00392CE2">
            <w:r w:rsidRPr="00392CE2">
              <w:t>1078.53</w:t>
            </w:r>
          </w:p>
        </w:tc>
        <w:tc>
          <w:tcPr>
            <w:tcW w:w="0" w:type="auto"/>
            <w:vAlign w:val="center"/>
            <w:hideMark/>
          </w:tcPr>
          <w:p w14:paraId="4FB196DF" w14:textId="77777777" w:rsidR="00392CE2" w:rsidRPr="00392CE2" w:rsidRDefault="00392CE2" w:rsidP="00392CE2">
            <w:r w:rsidRPr="00392CE2">
              <w:t>1167.53</w:t>
            </w:r>
          </w:p>
        </w:tc>
      </w:tr>
      <w:tr w:rsidR="00392CE2" w:rsidRPr="00392CE2" w14:paraId="6C117AC2" w14:textId="77777777">
        <w:trPr>
          <w:tblCellSpacing w:w="15" w:type="dxa"/>
        </w:trPr>
        <w:tc>
          <w:tcPr>
            <w:tcW w:w="0" w:type="auto"/>
            <w:vAlign w:val="center"/>
            <w:hideMark/>
          </w:tcPr>
          <w:p w14:paraId="70833F66" w14:textId="77777777" w:rsidR="00392CE2" w:rsidRPr="00392CE2" w:rsidRDefault="00392CE2" w:rsidP="00392CE2">
            <w:r w:rsidRPr="00392CE2">
              <w:t>Income</w:t>
            </w:r>
          </w:p>
        </w:tc>
        <w:tc>
          <w:tcPr>
            <w:tcW w:w="0" w:type="auto"/>
            <w:vAlign w:val="center"/>
            <w:hideMark/>
          </w:tcPr>
          <w:p w14:paraId="76242F40" w14:textId="77777777" w:rsidR="00392CE2" w:rsidRPr="00392CE2" w:rsidRDefault="00392CE2" w:rsidP="00392CE2">
            <w:r w:rsidRPr="00392CE2">
              <w:t>0.787</w:t>
            </w:r>
          </w:p>
        </w:tc>
        <w:tc>
          <w:tcPr>
            <w:tcW w:w="0" w:type="auto"/>
            <w:vAlign w:val="center"/>
            <w:hideMark/>
          </w:tcPr>
          <w:p w14:paraId="6535AC8C" w14:textId="77777777" w:rsidR="00392CE2" w:rsidRPr="00392CE2" w:rsidRDefault="00392CE2" w:rsidP="00392CE2">
            <w:r w:rsidRPr="00392CE2">
              <w:t>0.792</w:t>
            </w:r>
          </w:p>
        </w:tc>
        <w:tc>
          <w:tcPr>
            <w:tcW w:w="0" w:type="auto"/>
            <w:vAlign w:val="center"/>
            <w:hideMark/>
          </w:tcPr>
          <w:p w14:paraId="57297244" w14:textId="77777777" w:rsidR="00392CE2" w:rsidRPr="00392CE2" w:rsidRDefault="00392CE2" w:rsidP="00392CE2">
            <w:r w:rsidRPr="00392CE2">
              <w:t>0.770</w:t>
            </w:r>
          </w:p>
        </w:tc>
      </w:tr>
    </w:tbl>
    <w:p w14:paraId="759F5F6E" w14:textId="77777777" w:rsidR="00392CE2" w:rsidRPr="00392CE2" w:rsidRDefault="00392CE2" w:rsidP="00392CE2">
      <w:r w:rsidRPr="00392CE2">
        <w:t xml:space="preserve">Ridge shrinks all coefficients slightly toward zero but keeps every predictor in the model. LASSO goes further and </w:t>
      </w:r>
      <w:r w:rsidRPr="00392CE2">
        <w:rPr>
          <w:b/>
          <w:bCs/>
        </w:rPr>
        <w:t>shrinks the gender coefficient exactly to zero</w:t>
      </w:r>
      <w:r w:rsidRPr="00392CE2">
        <w:t>, effectively removing it — which lines up neatly with the OLS finding that gender was not statistically significant. This convergence across three different modeling approaches (OLS, Ridge, LASSO) gives you good reason to conclude that gender doesn't meaningfully contribute to explaining internet usage in this dataset, while age, web pages, video hours, and income all do.</w:t>
      </w:r>
    </w:p>
    <w:p w14:paraId="7E1D0202" w14:textId="77777777" w:rsidR="00392CE2" w:rsidRPr="00392CE2" w:rsidRDefault="00000000" w:rsidP="00392CE2">
      <w:r>
        <w:lastRenderedPageBreak/>
        <w:pict w14:anchorId="7A2F117F">
          <v:rect id="_x0000_i1025" style="width:0;height:1.5pt" o:hralign="center" o:hrstd="t" o:hr="t" fillcolor="#a0a0a0" stroked="f"/>
        </w:pict>
      </w:r>
    </w:p>
    <w:p w14:paraId="39E2FB17" w14:textId="77777777" w:rsidR="00392CE2" w:rsidRPr="00392CE2" w:rsidRDefault="00392CE2" w:rsidP="00392CE2">
      <w:pPr>
        <w:rPr>
          <w:b/>
          <w:bCs/>
        </w:rPr>
      </w:pPr>
      <w:r w:rsidRPr="00392CE2">
        <w:rPr>
          <w:b/>
          <w:bCs/>
        </w:rPr>
        <w:t>Summary</w:t>
      </w:r>
    </w:p>
    <w:p w14:paraId="53C77EA4" w14:textId="77777777" w:rsidR="00392CE2" w:rsidRPr="00392CE2" w:rsidRDefault="00392CE2" w:rsidP="00392CE2">
      <w:r w:rsidRPr="00392CE2">
        <w:t xml:space="preserve">The model fits the data well (83.7% of variance explained) and multicollinearity is not a concern. However, two of the four core MLR assumptions are violated: </w:t>
      </w:r>
      <w:r w:rsidRPr="00392CE2">
        <w:rPr>
          <w:b/>
          <w:bCs/>
        </w:rPr>
        <w:t>homoscedasticity</w:t>
      </w:r>
      <w:r w:rsidRPr="00392CE2">
        <w:t xml:space="preserve"> and </w:t>
      </w:r>
      <w:r w:rsidRPr="00392CE2">
        <w:rPr>
          <w:b/>
          <w:bCs/>
        </w:rPr>
        <w:t>normality of residuals</w:t>
      </w:r>
      <w:r w:rsidRPr="00392CE2">
        <w:t>, both likely driven by the same handful of high-usage outliers visible in the Q-Q plot's upper tail. Independence is borderline but acceptable. In practice, this means your coefficient estimates and general conclusions about which variables matter (video hours, web pages, income, age — not gender) are likely sound, but the exact p-values and confidence intervals from the OLS summary should be treated with some caution. A next step worth considering would be a log transformation of the usage variable, which often stabilizes variance and reduces skew in this kind of right-tailed data.</w:t>
      </w:r>
    </w:p>
    <w:p w14:paraId="2939EB8C" w14:textId="77777777" w:rsidR="00043749" w:rsidRDefault="00043749"/>
    <w:sectPr w:rsidR="000437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07239"/>
    <w:multiLevelType w:val="multilevel"/>
    <w:tmpl w:val="AA32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08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C83"/>
    <w:rsid w:val="00043749"/>
    <w:rsid w:val="000D6C83"/>
    <w:rsid w:val="00190938"/>
    <w:rsid w:val="00266677"/>
    <w:rsid w:val="00392CE2"/>
    <w:rsid w:val="005A4F29"/>
    <w:rsid w:val="007253DF"/>
    <w:rsid w:val="00814700"/>
    <w:rsid w:val="009A01AA"/>
    <w:rsid w:val="00C37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A4654"/>
  <w15:chartTrackingRefBased/>
  <w15:docId w15:val="{0035F823-449F-4530-B811-9C20706B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677"/>
  </w:style>
  <w:style w:type="paragraph" w:styleId="Heading1">
    <w:name w:val="heading 1"/>
    <w:basedOn w:val="Normal"/>
    <w:next w:val="Normal"/>
    <w:link w:val="Heading1Char"/>
    <w:uiPriority w:val="9"/>
    <w:qFormat/>
    <w:rsid w:val="000D6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C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C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C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C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C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C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C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C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C83"/>
    <w:rPr>
      <w:rFonts w:eastAsiaTheme="majorEastAsia" w:cstheme="majorBidi"/>
      <w:color w:val="272727" w:themeColor="text1" w:themeTint="D8"/>
    </w:rPr>
  </w:style>
  <w:style w:type="paragraph" w:styleId="Title">
    <w:name w:val="Title"/>
    <w:basedOn w:val="Normal"/>
    <w:next w:val="Normal"/>
    <w:link w:val="TitleChar"/>
    <w:uiPriority w:val="10"/>
    <w:qFormat/>
    <w:rsid w:val="000D6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C83"/>
    <w:pPr>
      <w:spacing w:before="160"/>
      <w:jc w:val="center"/>
    </w:pPr>
    <w:rPr>
      <w:i/>
      <w:iCs/>
      <w:color w:val="404040" w:themeColor="text1" w:themeTint="BF"/>
    </w:rPr>
  </w:style>
  <w:style w:type="character" w:customStyle="1" w:styleId="QuoteChar">
    <w:name w:val="Quote Char"/>
    <w:basedOn w:val="DefaultParagraphFont"/>
    <w:link w:val="Quote"/>
    <w:uiPriority w:val="29"/>
    <w:rsid w:val="000D6C83"/>
    <w:rPr>
      <w:i/>
      <w:iCs/>
      <w:color w:val="404040" w:themeColor="text1" w:themeTint="BF"/>
    </w:rPr>
  </w:style>
  <w:style w:type="paragraph" w:styleId="ListParagraph">
    <w:name w:val="List Paragraph"/>
    <w:basedOn w:val="Normal"/>
    <w:uiPriority w:val="34"/>
    <w:qFormat/>
    <w:rsid w:val="000D6C83"/>
    <w:pPr>
      <w:ind w:left="720"/>
      <w:contextualSpacing/>
    </w:pPr>
  </w:style>
  <w:style w:type="character" w:styleId="IntenseEmphasis">
    <w:name w:val="Intense Emphasis"/>
    <w:basedOn w:val="DefaultParagraphFont"/>
    <w:uiPriority w:val="21"/>
    <w:qFormat/>
    <w:rsid w:val="000D6C83"/>
    <w:rPr>
      <w:i/>
      <w:iCs/>
      <w:color w:val="0F4761" w:themeColor="accent1" w:themeShade="BF"/>
    </w:rPr>
  </w:style>
  <w:style w:type="paragraph" w:styleId="IntenseQuote">
    <w:name w:val="Intense Quote"/>
    <w:basedOn w:val="Normal"/>
    <w:next w:val="Normal"/>
    <w:link w:val="IntenseQuoteChar"/>
    <w:uiPriority w:val="30"/>
    <w:qFormat/>
    <w:rsid w:val="000D6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C83"/>
    <w:rPr>
      <w:i/>
      <w:iCs/>
      <w:color w:val="0F4761" w:themeColor="accent1" w:themeShade="BF"/>
    </w:rPr>
  </w:style>
  <w:style w:type="character" w:styleId="IntenseReference">
    <w:name w:val="Intense Reference"/>
    <w:basedOn w:val="DefaultParagraphFont"/>
    <w:uiPriority w:val="32"/>
    <w:qFormat/>
    <w:rsid w:val="000D6C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691</Words>
  <Characters>3945</Characters>
  <Application>Microsoft Office Word</Application>
  <DocSecurity>0</DocSecurity>
  <Lines>32</Lines>
  <Paragraphs>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U Ngui</dc:creator>
  <cp:keywords/>
  <dc:description/>
  <cp:lastModifiedBy>Joseph U Ngui</cp:lastModifiedBy>
  <cp:revision>4</cp:revision>
  <dcterms:created xsi:type="dcterms:W3CDTF">2026-09-28T20:36:00Z</dcterms:created>
  <dcterms:modified xsi:type="dcterms:W3CDTF">2026-09-28T20:43:00Z</dcterms:modified>
</cp:coreProperties>
</file>