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20"/>
        <w:rPr>
          <w:color w:val="000000"/>
        </w:rPr>
      </w:pPr>
      <w:r>
        <w:rPr>
          <w:color w:val="000000"/>
        </w:rPr>
        <w:t>Полная постановка трёх выбранных инициатив</w:t>
      </w:r>
    </w:p>
    <w:p>
      <w:pPr>
        <w:pStyle w:val="Heading2"/>
        <w:spacing w:before="0" w:after="120"/>
        <w:rPr>
          <w:color w:val="000000"/>
        </w:rPr>
      </w:pPr>
      <w:r>
        <w:rPr>
          <w:color w:val="000000"/>
        </w:rPr>
        <w:t>Инициатива №1. Выявление подозрительных операций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Операция и модальность: </w:t>
      </w:r>
      <w:r>
        <w:rPr/>
        <w:t>Скоринг риска операции/клиента: бинарная классификация «требует внимания финмониторинга / нет» с вероятностью и ранжированием очереди. Модальность - табличные данные (сумма, ОКВЭД, канал, контрагент, дата) + свободный текст назначения платежа + поведенческие агрегаты по счёту за окна времени. Тип - обучение на слабых/шумных метках + элементы поиска аномалий.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Выход модели: </w:t>
      </w:r>
      <w:r>
        <w:rPr/>
        <w:t>Скор риска [0..1] по операции и/или паттерну (например «дробление под порог»), с фичами-объяснениями. Модель НЕ выносит юридический вердикт «схема».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Бизнес-выход: </w:t>
      </w:r>
      <w:r>
        <w:rPr/>
        <w:t>Приоритизированная очередь для 25 аналитиков: сначала операции с высоким скором и крупной суммой. Цель - повысить долю разбираемого из 35 тыс. помеченных (сейчас ~10 тыс.) и поднять долю «полезных» эскалаций. Финальное решение и меры (приостановка, отказ, СЭК) принимает сотрудник - требование ПОД.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Источник правильного ответа: </w:t>
      </w:r>
      <w:r>
        <w:rPr/>
        <w:t>Три следа разной надёжности, которые нельзя смешивать: (1) факт эскалации на расследование (~400/мес) - прокси-метка «аналитик счёл подозрительным»; (2) исход расследования (отказ в операции и т.п.); (3) формально подтверждённые случаи - единицы, с лагом в месяцы. Обучение на слабых метках с учётом смещения отбора (проверялись не случайные операции → непроверенная ≠ чистая): PU-learning, отдельная оценка на подтверждённых случаях как «золотом», но малом наборе.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Риски и ограничения: </w:t>
      </w:r>
      <w:r>
        <w:rPr/>
        <w:t>Смещение выборки; дрейф схем; двусторонняя цена ошибки (пропуск → предписание надзора; ложная блокировка → жалобы/отток, сейчас ~120 жалоб/мес). Правовое: банковская тайна + ПДн; решение не может быть полностью автоматическим по мерам, затрагивающим права. Метки-прокси нельзя выдавать за «схему».</w:t>
      </w:r>
    </w:p>
    <w:p>
      <w:pPr>
        <w:pStyle w:val="Heading2"/>
        <w:spacing w:before="0" w:after="120"/>
        <w:rPr>
          <w:color w:val="000000"/>
        </w:rPr>
      </w:pPr>
      <w:r>
        <w:rPr>
          <w:color w:val="000000"/>
        </w:rPr>
        <w:t>Инициатива №4. Прогноз годового уровня просрочки по портфелю кредитов МСБ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Операция и модальность: </w:t>
      </w:r>
      <w:r>
        <w:rPr/>
        <w:t>Регрессия/классификация вероятности дефолта на горизонте 12 мес. на уровне заёмщика с агрегацией в портфельный прогноз. Модальность - табличные признаки: отчётность, кредитная история, поведение по счетам, ОКВЭД, отраслевые и макросигналы.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Выход модели: </w:t>
      </w:r>
      <w:r>
        <w:rPr/>
        <w:t>PD (probability of default) по каждому кредиту на 12 мес.; агрегат - ожидаемый уровень просрочки по портфелю с доверительным интервалом.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Бизнес-выход: </w:t>
      </w:r>
      <w:r>
        <w:rPr/>
        <w:t>Оценка резервов и риск-аппетита, планирование лимитов и ценообразования по сегментам. Инструмент управления портфелем, а не индивидуальный авто-отказ (тем самым обходит блокатор №12).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Источник правильного ответа: </w:t>
      </w:r>
      <w:r>
        <w:rPr/>
        <w:t>Реализованные факты просрочки/дефолта по историческим когортам кредитов - надёжная, естественно возникающая метка с известным горизонтом. Разметка не требуется, есть готовый таргет.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Риски и ограничения: </w:t>
      </w:r>
      <w:r>
        <w:rPr/>
        <w:t>Дрейф из-за макроэкономики; выживаемость выборки (одобрены не все, есть reject inference); стабильность признаков отчётности. Правовое мягче: агрегированный портфельный прогноз, а не решение по конкретному субъекту.</w:t>
      </w:r>
    </w:p>
    <w:p>
      <w:pPr>
        <w:pStyle w:val="Heading2"/>
        <w:spacing w:before="0" w:after="120"/>
        <w:rPr>
          <w:color w:val="000000"/>
        </w:rPr>
      </w:pPr>
      <w:r>
        <w:rPr>
          <w:color w:val="000000"/>
        </w:rPr>
        <w:t>Инициатива №18. Извлечение финпоказателей из неструктурированных бухдокументов и выписок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Операция и модальность: </w:t>
      </w:r>
      <w:r>
        <w:rPr/>
        <w:t>Извлечение структурированных сущностей и таблиц (выручка, обороты, остатки, статьи отчётности) из разнородных документов: Excel, PDF-сканы, фото с телефона, выгрузки разных бухсистем. Модальность - документы/изображения + текст; задача Document AI (OCR + layout + NER/таблицы).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Выход модели: </w:t>
      </w:r>
      <w:r>
        <w:rPr/>
        <w:t>Нормализованный JSON финпоказателей с привязкой к исходному месту в документе и оценкой уверенности по каждому полю.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Бизнес-выход: </w:t>
      </w:r>
      <w:r>
        <w:rPr/>
        <w:t>Сокращение 1,5-часового ручного разбора пакета андеррайтингом: автозаполнение полей заявки с человеком на низкоуверенных полях (human-in-the-loop). Прямо ускоряет кредитный конвейер.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Источник правильного ответа: </w:t>
      </w:r>
      <w:r>
        <w:rPr/>
        <w:t>Разметка «поле → значение» на исторических пакетах заявок; часть эталона можно получить дёшево из машиночитаемых источников (Excel/выгрузки) для авторазметки сканов тех же клиентов. Возможен старт на предобученных DocAI-моделях с дообучением.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Риски и ограничения: </w:t>
      </w:r>
      <w:r>
        <w:rPr/>
        <w:t>Качество сканов/фото; разнообразие форматов и «самопальных» отчётов; ошибки извлечения → риск неверного кредитного решения (нужен порог уверенности и проверка человеком). Правовое: банковская тайна и ПДн в документах - размещение и обработчик согласуются с DPO.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FreeSans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524</Words>
  <Characters>3652</Characters>
  <CharactersWithSpaces>4157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2026-09-03T12:43:29Z</dcterms:created>
  <dc:creator>Un-named</dc:creator>
  <dc:description/>
  <dc:language>ru-RU</dc:language>
  <cp:lastModifiedBy/>
  <dcterms:modified xsi:type="dcterms:W3CDTF">2026-09-06T11:02:27Z</dcterms:modified>
  <cp:revision>2</cp:revision>
  <dc:subject/>
  <dc:title/>
</cp:coreProperties>
</file>