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120"/>
        <w:rPr>
          <w:color w:val="000000"/>
        </w:rPr>
      </w:pPr>
      <w:r>
        <w:rPr>
          <w:color w:val="000000"/>
        </w:rPr>
        <w:t>Обоснование выбора по канвасу (ценность × выполнимость × данные × риск)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439"/>
        <w:gridCol w:w="1441"/>
        <w:gridCol w:w="1439"/>
        <w:gridCol w:w="1441"/>
        <w:gridCol w:w="1439"/>
      </w:tblGrid>
      <w:tr>
        <w:trPr>
          <w:tblHeader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</w:rPr>
              <w:t>Инициатива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</w:rPr>
              <w:t>Ценность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</w:rPr>
              <w:t>Выполнимость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</w:rPr>
              <w:t>Данные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</w:rPr>
              <w:t>Риск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</w:rPr>
              <w:t>Итог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№</w:t>
            </w:r>
            <w:r>
              <w:rPr>
                <w:b w:val="false"/>
                <w:bCs w:val="false"/>
              </w:rPr>
              <w:t>1 Подозрительные операции (флагман)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Высокая: двусторонняя цена ошибки, предписания надзора, очередь не разбирается (10 из 35 тыс.).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Средняя: сложные слабые метки, смещение отбора.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Есть: многолетняя история + 3 следа сигнала.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Высокий (право + смещение), управляется человеком-в-контуре.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Задан как флагман. Берём.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№</w:t>
            </w:r>
            <w:r>
              <w:rPr>
                <w:b w:val="false"/>
                <w:bCs w:val="false"/>
              </w:rPr>
              <w:t>18 Извлечение финпоказателей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Высокая: режет 1,5 ч ручного разбора на заявку, ускоряет кредитование.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Высокая: зрелые DocAI-модели, дообучение.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Сильные: пакеты заявок + машиночитаемые источники для авторазметки.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Средний: качество сканов, HITL снижает.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Берём. Ясный сигнал и измеримый эффект.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№</w:t>
            </w:r>
            <w:r>
              <w:rPr>
                <w:b w:val="false"/>
                <w:bCs w:val="false"/>
              </w:rPr>
              <w:t>4 Прогноз просрочки портфеля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Высокая: резервы, лимиты, ценообразование.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Высокая: стандартная риск-модель.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Отличные: реализованные дефолты - готовый таргет.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Низкий правовой (агрегат, не авто-решение по субъекту).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Берём. Обходит блокатор №12, чистая метка.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t>Пара к флагману (№18 и №4) выбрана не по «интересности», а по наличию источника сигнала и измеримого эффекта: у №18 - готовые машиночитаемые эталоны и прямое сокращение ручного часа андеррайтинга; у №4 - реализованные дефолты как естественный таргет и портфельная (агрегированная) постановка, которая обходит правовой блокатор автоматических решений по субъекту из №12. Отсеяны из пары: «обычная программа» (№3, 6, 14, 16, 17), «аналитика» (№7) и «заблокировано» (№11, 12) - по ним нечего решать про данные, размещение и модель.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FreeSans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DejaVu Sans" w:cs="FreeSans"/>
      <w:color w:val="auto"/>
      <w:kern w:val="0"/>
      <w:sz w:val="20"/>
      <w:szCs w:val="20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DejaVu Sans" w:cs="FreeSans"/>
      <w:b/>
      <w:bCs/>
      <w:color w:val="auto"/>
      <w:kern w:val="0"/>
      <w:sz w:val="20"/>
      <w:szCs w:val="20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DejaVu Sans" w:cs="FreeSans"/>
      <w:color w:val="auto"/>
      <w:kern w:val="0"/>
      <w:sz w:val="20"/>
      <w:szCs w:val="20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1</Pages>
  <Words>201</Words>
  <Characters>1310</Characters>
  <CharactersWithSpaces>1485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2026-09-03T12:43:29Z</dcterms:created>
  <dc:creator>Un-named</dc:creator>
  <dc:description/>
  <dc:language>ru-RU</dc:language>
  <cp:lastModifiedBy/>
  <dcterms:modified xsi:type="dcterms:W3CDTF">2026-09-06T11:03:07Z</dcterms:modified>
  <cp:revision>2</cp:revision>
  <dc:subject/>
  <dc:title/>
</cp:coreProperties>
</file>