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Паспорт инициативы - разделы 2–5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Три инициативы: №1 (флагман), №10, №2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====================================================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Флагман №1 - приоритизация операций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====================================================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2. Постановка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Тип - ранжирование (learning-to-rank / скоринг приоритета), не классификация. Выход - упорядоченная очередь на ручную проверку в пределах ёмкости службы. Субъект решения - сотрудник финмониторинга, не автоматика.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3. Качество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Метрика - Precision@k / Recall@k при k = дневной ёмкости (~330). Baseline - сортировка по сумме. Контроль ложных приостановок (текущие 120 жалоб/мес). Оффлайн - на контрольной выборке; онлайн - доля результативных проверок в топе очереди.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4. Данные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Дефицит - несмещённый источник правильного ответа, не объём и не вычисления. Три следа непригодны как эталон (эскалация не равна схеме; исход смещён; подтверждённых единицы). Смещение отбора: непроверенное не равно чистому. Закрытие - вероятностная контрольная выборка + экспертная разметка по гайдлайну (κ). Право использования - к комплаенс / DPO. Владелец - финмониторинг.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5. Эксперимент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Приёмочный набор из контрольной выборки, ~1500–3000 размеченных, стратификация по суммам и сегментам, сценарии транзит / обнал / дробление / честный-у-порога. Провал по сценарию - звено на правилах. Смена решения - при ничтожной доле positives или низкой κ.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====================================================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№</w:t>
      </w:r>
      <w:r>
        <w:rPr>
          <w:sz w:val="22"/>
          <w:szCs w:val="22"/>
        </w:rPr>
        <w:t>10 - поддельные справки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====================================================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2. Постановка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Бинарный флаг «на углублённую проверку», решение - за человеком.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3. Качество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Recall по подделкам при контролируемом Precision; baseline - андеррайтинг.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4. Данные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Разрыв: смещённая выборка пойманного + синтетика; риск переобучения на артефактах генератора. Владелец - андеррайтинг / СБ.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5. Эксперимент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Реальные кейсы и синтетика раздельно; провал - синтетика ловится, реальное нет.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====================================================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№</w:t>
      </w:r>
      <w:r>
        <w:rPr>
          <w:sz w:val="22"/>
          <w:szCs w:val="22"/>
        </w:rPr>
        <w:t>2 - OCR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====================================================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2. Постановка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Извлечение текста и полей, без решений по субъекту.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3. Качество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CER / WER + field-level accuracy по суммам, датам, реквизитам.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4. Данные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Готовность выше всех: эталон дёшев (ручная транскрипция), нет проблемы смещённого эталона - только объём. Владелец - андеррайтинг.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5. Эксперимент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300–500 документов на тип, разбивка по каналам; провал вероятен на фото-канале -&gt; гибрид OCR + ручной ввод.</w:t>
      </w:r>
    </w:p>
    <w:sectPr>
      <w:type w:val="nextPage"/>
      <w:pgSz w:w="11906" w:h="16838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303</Words>
  <Characters>2096</Characters>
  <CharactersWithSpaces>2361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2026-09-03T13:01:33Z</dcterms:created>
  <dc:creator>Un-named</dc:creator>
  <dc:description/>
  <dc:language>ru-RU</dc:language>
  <cp:lastModifiedBy/>
  <dcterms:modified xsi:type="dcterms:W3CDTF">2026-09-06T11:23:31Z</dcterms:modified>
  <cp:revision>2</cp:revision>
  <dc:subject/>
  <dc:title/>
</cp:coreProperties>
</file>