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left"/>
        <w:rPr>
          <w:color w:val="000000"/>
        </w:rPr>
      </w:pPr>
      <w:r>
        <w:rPr>
          <w:rFonts w:eastAsia="Arial" w:cs="Arial"/>
          <w:b/>
          <w:bCs/>
          <w:color w:val="000000"/>
          <w:sz w:val="36"/>
          <w:szCs w:val="36"/>
        </w:rPr>
        <w:t>Расчёт стоимости владения</w:t>
      </w:r>
    </w:p>
    <w:p>
      <w:pPr>
        <w:pStyle w:val="Normal"/>
        <w:spacing w:before="0" w:after="120"/>
        <w:rPr>
          <w:color w:val="000000"/>
        </w:rPr>
      </w:pPr>
      <w:r>
        <w:rPr>
          <w:rFonts w:eastAsia="Arial" w:cs="Arial"/>
          <w:b/>
          <w:bCs/>
          <w:i w:val="false"/>
          <w:iCs w:val="false"/>
          <w:color w:val="000000"/>
          <w:sz w:val="24"/>
          <w:szCs w:val="24"/>
        </w:rPr>
        <w:t>Флагман №1 «Выявление подозрительных операций»</w:t>
      </w:r>
    </w:p>
    <w:p>
      <w:pPr>
        <w:pStyle w:val="Normal"/>
        <w:spacing w:before="0" w:after="200"/>
        <w:rPr>
          <w:color w:val="000000"/>
        </w:rPr>
      </w:pPr>
      <w:r>
        <w:rPr>
          <w:rFonts w:eastAsia="Arial" w:cs="Arial"/>
          <w:b w:val="false"/>
          <w:bCs w:val="false"/>
          <w:i/>
          <w:iCs/>
          <w:color w:val="000000"/>
          <w:sz w:val="20"/>
          <w:szCs w:val="20"/>
        </w:rPr>
        <w:t xml:space="preserve">Горизонт 1–2 года. Эффект считается </w:t>
      </w:r>
      <w:r>
        <w:rPr>
          <w:rFonts w:eastAsia="Arial" w:cs="Arial"/>
          <w:b/>
          <w:bCs/>
          <w:i/>
          <w:iCs/>
          <w:color w:val="000000"/>
          <w:sz w:val="20"/>
          <w:szCs w:val="20"/>
        </w:rPr>
        <w:t>против текущего процесса</w:t>
      </w:r>
      <w:r>
        <w:rPr>
          <w:rFonts w:eastAsia="Arial" w:cs="Arial"/>
          <w:b w:val="false"/>
          <w:bCs w:val="false"/>
          <w:i/>
          <w:iCs/>
          <w:color w:val="000000"/>
          <w:sz w:val="20"/>
          <w:szCs w:val="20"/>
        </w:rPr>
        <w:t>, не против нуля. Все цифры воспроизводимы. Решение оценивается по логике и прозрачности допущений, а не по совпадению чисел.</w:t>
      </w:r>
    </w:p>
    <w:p>
      <w:pPr>
        <w:pStyle w:val="Heading1"/>
        <w:spacing w:before="24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  <w:t>1. Базовая точка: текущий процесс (из кейса)</w:t>
      </w:r>
    </w:p>
    <w:tbl>
      <w:tblPr>
        <w:tblW w:w="9400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400"/>
        <w:gridCol w:w="1900"/>
        <w:gridCol w:w="2100"/>
      </w:tblGrid>
      <w:tr>
        <w:trPr>
          <w:tblHeader w:val="true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Показатель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Значение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Источник</w:t>
            </w:r>
          </w:p>
        </w:tc>
      </w:tr>
      <w:tr>
        <w:trPr/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Помечается правилами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35 000 оп./мес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КЕЙС</w:t>
            </w:r>
          </w:p>
        </w:tc>
      </w:tr>
      <w:tr>
        <w:trPr/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Разбирается службой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10 000 оп./мес (29 %)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КЕЙС</w:t>
            </w:r>
          </w:p>
        </w:tc>
      </w:tr>
      <w:tr>
        <w:trPr/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Очередь копит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25 000 оп./мес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производное</w:t>
            </w:r>
          </w:p>
        </w:tc>
      </w:tr>
      <w:tr>
        <w:trPr/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Средний разбор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12 мин/операция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КЕЙС</w:t>
            </w:r>
          </w:p>
        </w:tc>
      </w:tr>
      <w:tr>
        <w:trPr/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ФОТ службы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45 млн ₽/год, 25 чел.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КЕЙС</w:t>
            </w:r>
          </w:p>
        </w:tc>
      </w:tr>
      <w:tr>
        <w:trPr/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Стоимость минуты разбора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31,2 ₽/мин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производное</w:t>
            </w:r>
          </w:p>
        </w:tc>
      </w:tr>
      <w:tr>
        <w:trPr/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Стоимость разбора 1 операции сейчас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 xml:space="preserve">≈ </w:t>
            </w: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375 ₽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производное</w:t>
            </w:r>
          </w:p>
        </w:tc>
      </w:tr>
      <w:tr>
        <w:trPr/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Уходит на расследование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~4 % (~400/мес)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КЕЙС</w:t>
            </w:r>
          </w:p>
        </w:tc>
      </w:tr>
      <w:tr>
        <w:trPr/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Приостановки честных клиентов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600/мес, 450 снимаются, 120 жалоб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КЕЙС</w:t>
            </w:r>
          </w:p>
        </w:tc>
      </w:tr>
      <w:tr>
        <w:trPr/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Предписания надзора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 за год, устранение «месяцы»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КЕЙС</w:t>
            </w:r>
          </w:p>
        </w:tc>
      </w:tr>
    </w:tbl>
    <w:p>
      <w:pPr>
        <w:pStyle w:val="Normal"/>
        <w:spacing w:before="120" w:after="200"/>
        <w:rPr>
          <w:color w:val="000000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Ключевая проблема процесса - </w:t>
      </w:r>
      <w:r>
        <w:rPr>
          <w:rFonts w:eastAsia="Arial" w:cs="Arial"/>
          <w:b/>
          <w:bCs/>
          <w:i w:val="false"/>
          <w:iCs w:val="false"/>
          <w:color w:val="000000"/>
          <w:sz w:val="20"/>
          <w:szCs w:val="20"/>
        </w:rPr>
        <w:t>не цена операции, а покрытие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>: разбирается меньше трети помеченного, приоритет по сумме, а не по риску. Главный рычаг - направить те же часы на более рисковые операции, а не удешевить разбор.</w:t>
      </w:r>
    </w:p>
    <w:p>
      <w:pPr>
        <w:pStyle w:val="Heading1"/>
        <w:spacing w:before="24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  <w:t>2. Денежный эффект (годовой)</w:t>
      </w:r>
    </w:p>
    <w:tbl>
      <w:tblPr>
        <w:tblW w:w="9400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600"/>
        <w:gridCol w:w="3400"/>
        <w:gridCol w:w="1399"/>
        <w:gridCol w:w="1000"/>
      </w:tblGrid>
      <w:tr>
        <w:trPr>
          <w:tblHeader w:val="true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Источник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Расчёт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₽</w:t>
            </w: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/год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Моне- тизируем?</w:t>
            </w:r>
          </w:p>
        </w:tc>
      </w:tr>
      <w:tr>
        <w:trPr/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A. Экономия труда на операцию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10 000×12×12 мин × 30 % × 31,2 ₽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13 500 000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Да</w:t>
            </w:r>
          </w:p>
        </w:tc>
      </w:tr>
      <w:tr>
        <w:trPr/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B. Рост доли подтверждённых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+30 % к доле эскалаций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Нет*</w:t>
            </w:r>
          </w:p>
        </w:tc>
      </w:tr>
      <w:tr>
        <w:trPr/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C. Более раннее выявление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качественный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Нет</w:t>
            </w:r>
          </w:p>
        </w:tc>
      </w:tr>
      <w:tr>
        <w:trPr/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D. Меньше приостановок/жалоб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120×12 × 25 % × 8 000 ₽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2 880 000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Да</w:t>
            </w:r>
          </w:p>
        </w:tc>
      </w:tr>
      <w:tr>
        <w:trPr/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E. Снижение рег. издержек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 × 25 % × 6 000 000 ₽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3 000 000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Да</w:t>
            </w:r>
          </w:p>
        </w:tc>
      </w:tr>
      <w:tr>
        <w:trPr/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ИТОГО монетизируемый эффект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19 380 000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</w:tbl>
    <w:p>
      <w:pPr>
        <w:pStyle w:val="Normal"/>
        <w:spacing w:before="120" w:after="200"/>
        <w:rPr>
          <w:color w:val="000000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B и C </w:t>
      </w:r>
      <w:r>
        <w:rPr>
          <w:rFonts w:eastAsia="Arial" w:cs="Arial"/>
          <w:b/>
          <w:bCs/>
          <w:i w:val="false"/>
          <w:iCs w:val="false"/>
          <w:color w:val="000000"/>
          <w:sz w:val="20"/>
          <w:szCs w:val="20"/>
        </w:rPr>
        <w:t>намеренно не суммируем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отдельной строкой, чтобы не считать эффект дважды: их ценность (меньше пропущенных схем) уже частично отражена в E. Эффект A трактуем не как сокращение ФОТ (штат не режем), а как +51 тыс. операций разбора в год тем же составом - прямой ответ на проблему покрытия.</w:t>
      </w:r>
    </w:p>
    <w:p>
      <w:pPr>
        <w:pStyle w:val="Heading1"/>
        <w:spacing w:before="24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  <w:t>3. Стоимость владения (TCO)</w:t>
      </w:r>
    </w:p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CAPEX (разово, год 0) - 16 000 000 ₽</w:t>
      </w:r>
    </w:p>
    <w:tbl>
      <w:tblPr>
        <w:tblW w:w="9400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000"/>
        <w:gridCol w:w="2399"/>
      </w:tblGrid>
      <w:tr>
        <w:trPr>
          <w:tblHeader w:val="true"/>
        </w:trPr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Статья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₽</w:t>
            </w:r>
          </w:p>
        </w:tc>
      </w:tr>
      <w:tr>
        <w:trPr/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Интеграция с DWH / правилами / case-management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4 000 000</w:t>
            </w:r>
          </w:p>
        </w:tc>
      </w:tr>
      <w:tr>
        <w:trPr/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Проверочные наборы, разметка слабых следов (критично)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2 000 000</w:t>
            </w:r>
          </w:p>
        </w:tc>
      </w:tr>
      <w:tr>
        <w:trPr/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Подготовка данных + витрина признаков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3 000 000</w:t>
            </w:r>
          </w:p>
        </w:tc>
      </w:tr>
      <w:tr>
        <w:trPr/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Разработка сервиса скоринга + калибровка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3 500 000</w:t>
            </w:r>
          </w:p>
        </w:tc>
      </w:tr>
      <w:tr>
        <w:trPr/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Интерфейс ручного контура (доработка UI)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2 000 000</w:t>
            </w:r>
          </w:p>
        </w:tc>
      </w:tr>
      <w:tr>
        <w:trPr/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Безопасность / комплаенс-ревью, DPO, юристы (критично)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1 500 000</w:t>
            </w:r>
          </w:p>
        </w:tc>
      </w:tr>
    </w:tbl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OPEX (ежегодно) - 10 400 000 ₽</w:t>
      </w:r>
    </w:p>
    <w:tbl>
      <w:tblPr>
        <w:tblW w:w="9400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000"/>
        <w:gridCol w:w="2399"/>
      </w:tblGrid>
      <w:tr>
        <w:trPr>
          <w:tblHeader w:val="true"/>
        </w:trPr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Статья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₽</w:t>
            </w: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/год</w:t>
            </w:r>
          </w:p>
        </w:tc>
      </w:tr>
      <w:tr>
        <w:trPr/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Инфраструктура (свой compute, данные в контуре)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2 400 000</w:t>
            </w:r>
          </w:p>
        </w:tc>
      </w:tr>
      <w:tr>
        <w:trPr/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Наблюдаемость (мониторинг, дрейф, backtest)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1 200 000</w:t>
            </w:r>
          </w:p>
        </w:tc>
      </w:tr>
      <w:tr>
        <w:trPr/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MLOps: обновления, регрессионные прогоны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2 000 000</w:t>
            </w:r>
          </w:p>
        </w:tc>
      </w:tr>
      <w:tr>
        <w:trPr/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Поддержка (SRE + аналитик качества модели)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3 000 000</w:t>
            </w:r>
          </w:p>
        </w:tc>
      </w:tr>
      <w:tr>
        <w:trPr/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Безопасность (эксплуатация, аудит доступов)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800 000</w:t>
            </w:r>
          </w:p>
        </w:tc>
      </w:tr>
      <w:tr>
        <w:trPr/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Резерв на миграцию / смену стека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1 000 000</w:t>
            </w:r>
          </w:p>
        </w:tc>
      </w:tr>
    </w:tbl>
    <w:p>
      <w:pPr>
        <w:pStyle w:val="Normal"/>
        <w:spacing w:before="120" w:after="200"/>
        <w:rPr>
          <w:color w:val="000000"/>
        </w:rPr>
      </w:pPr>
      <w:r>
        <w:rPr>
          <w:rFonts w:eastAsia="Arial" w:cs="Arial"/>
          <w:b w:val="false"/>
          <w:bCs w:val="false"/>
          <w:i/>
          <w:iCs/>
          <w:color w:val="000000"/>
          <w:sz w:val="20"/>
          <w:szCs w:val="20"/>
        </w:rPr>
        <w:t>В TCO входят данные, ручной контур и эксплуатация, а не только вызовы модели. Внешнего API нет - банковская тайна и ПДн не покидают контур; это статья «свой compute».</w:t>
      </w:r>
    </w:p>
    <w:p>
      <w:pPr>
        <w:pStyle w:val="Heading1"/>
        <w:spacing w:before="24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  <w:t>4. Стоимость единицы и потока</w:t>
      </w:r>
    </w:p>
    <w:tbl>
      <w:tblPr>
        <w:tblW w:w="9400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0"/>
        <w:gridCol w:w="3199"/>
      </w:tblGrid>
      <w:tr>
        <w:trPr>
          <w:tblHeader w:val="true"/>
        </w:trPr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Метрика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Значение</w:t>
            </w:r>
          </w:p>
        </w:tc>
      </w:tr>
      <w:tr>
        <w:trPr/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Целевой поток скоринга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420 000 операций/год</w:t>
            </w:r>
          </w:p>
        </w:tc>
      </w:tr>
      <w:tr>
        <w:trPr/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Стоимость 1 операции, год 1 (с CAPEX)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62,9 ₽</w:t>
            </w:r>
          </w:p>
        </w:tc>
      </w:tr>
      <w:tr>
        <w:trPr/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Стоимость 1 операции, устойчивый режим (CAPEX/2+OPEX)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43,8 ₽</w:t>
            </w:r>
          </w:p>
        </w:tc>
      </w:tr>
      <w:tr>
        <w:trPr/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Ручной разбор 1 операции (сейчас)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375 ₽</w:t>
            </w:r>
          </w:p>
        </w:tc>
      </w:tr>
    </w:tbl>
    <w:p>
      <w:pPr>
        <w:pStyle w:val="Normal"/>
        <w:spacing w:before="120" w:after="200"/>
        <w:rPr>
          <w:color w:val="000000"/>
        </w:rPr>
      </w:pPr>
      <w:r>
        <w:rPr>
          <w:rFonts w:eastAsia="Arial" w:cs="Arial"/>
          <w:b w:val="false"/>
          <w:bCs w:val="false"/>
          <w:i/>
          <w:iCs/>
          <w:color w:val="000000"/>
          <w:sz w:val="20"/>
          <w:szCs w:val="20"/>
        </w:rPr>
        <w:t>Скоринг не заменяет разбор, а приоритизирует его: 44 ₽ за приоритизацию против 375 ₽ за разбор - экономика в том, чтобы дорогой человеческий разбор тратился на операции с высоким риском.</w:t>
      </w:r>
    </w:p>
    <w:p>
      <w:pPr>
        <w:pStyle w:val="Heading1"/>
        <w:spacing w:before="24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  <w:t>5. Сопоставление TCO и эффекта</w:t>
      </w:r>
    </w:p>
    <w:tbl>
      <w:tblPr>
        <w:tblW w:w="9400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600"/>
        <w:gridCol w:w="2400"/>
        <w:gridCol w:w="2400"/>
      </w:tblGrid>
      <w:tr>
        <w:trPr>
          <w:tblHeader w:val="true"/>
        </w:trPr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Год 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2 года</w:t>
            </w:r>
          </w:p>
        </w:tc>
      </w:tr>
      <w:tr>
        <w:trPr/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Эффект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19,38 млн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38,76 млн</w:t>
            </w:r>
          </w:p>
        </w:tc>
      </w:tr>
      <w:tr>
        <w:trPr/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TCO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26,40 млн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36,80 млн</w:t>
            </w:r>
          </w:p>
        </w:tc>
      </w:tr>
      <w:tr>
        <w:trPr/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Net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7,02 млн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+1,96 млн</w:t>
            </w:r>
          </w:p>
        </w:tc>
      </w:tr>
      <w:tr>
        <w:trPr/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ROI за 2 года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 xml:space="preserve">≈ </w:t>
            </w: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5 %</w:t>
            </w:r>
          </w:p>
        </w:tc>
      </w:tr>
      <w:tr>
        <w:trPr/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Окупаемость CAPEX (устойч. режим)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≈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21 мес</w:t>
            </w:r>
          </w:p>
        </w:tc>
      </w:tr>
    </w:tbl>
    <w:p>
      <w:pPr>
        <w:pStyle w:val="Normal"/>
        <w:spacing w:before="120" w:after="200"/>
        <w:rPr>
          <w:color w:val="000000"/>
        </w:rPr>
      </w:pPr>
      <w:r>
        <w:rPr>
          <w:rFonts w:eastAsia="Arial" w:cs="Arial"/>
          <w:b/>
          <w:bCs/>
          <w:i w:val="false"/>
          <w:iCs w:val="false"/>
          <w:color w:val="000000"/>
          <w:sz w:val="20"/>
          <w:szCs w:val="20"/>
        </w:rPr>
        <w:t>Вывод по экономике: проект пограничный.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Окупается только к концу второго года и только если критичные допущения подтвердятся. Прямой аргумент за пилот перед полным запуском - не за отказ и не за безусловный старт.</w:t>
      </w:r>
    </w:p>
    <w:p>
      <w:pPr>
        <w:pStyle w:val="Heading1"/>
        <w:spacing w:before="24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  <w:t>6. Чувствительность к критичным допущениям</w:t>
      </w:r>
    </w:p>
    <w:tbl>
      <w:tblPr>
        <w:tblW w:w="9800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99"/>
        <w:gridCol w:w="2200"/>
        <w:gridCol w:w="2201"/>
      </w:tblGrid>
      <w:tr>
        <w:trPr>
          <w:tblHeader w:val="true"/>
        </w:trPr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Сценарий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Эффект/год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Net за 2 года</w:t>
            </w:r>
          </w:p>
        </w:tc>
      </w:tr>
      <w:tr>
        <w:trPr/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Базовый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19,38 млн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+1,96 млн</w:t>
            </w:r>
          </w:p>
        </w:tc>
      </w:tr>
      <w:tr>
        <w:trPr/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Все критичные допущения −50 %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9,69 млн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17,42 млн</w:t>
            </w:r>
          </w:p>
        </w:tc>
      </w:tr>
      <w:tr>
        <w:trPr/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Без регуляторного эффекта (E=0)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16,38 млн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4,04 млн</w:t>
            </w:r>
          </w:p>
        </w:tc>
      </w:tr>
      <w:tr>
        <w:trPr/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Только экономия труда (D=E=0)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13,50 млн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9,80 млн</w:t>
            </w:r>
          </w:p>
        </w:tc>
      </w:tr>
    </w:tbl>
    <w:p>
      <w:pPr>
        <w:pStyle w:val="Normal"/>
        <w:spacing w:before="120" w:after="200"/>
        <w:rPr>
          <w:color w:val="000000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Проект </w:t>
      </w:r>
      <w:r>
        <w:rPr>
          <w:rFonts w:eastAsia="Arial" w:cs="Arial"/>
          <w:b/>
          <w:bCs/>
          <w:i w:val="false"/>
          <w:iCs w:val="false"/>
          <w:color w:val="000000"/>
          <w:sz w:val="20"/>
          <w:szCs w:val="20"/>
        </w:rPr>
        <w:t>не выживает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на одной экономии труда и </w:t>
      </w:r>
      <w:r>
        <w:rPr>
          <w:rFonts w:eastAsia="Arial" w:cs="Arial"/>
          <w:b/>
          <w:bCs/>
          <w:i w:val="false"/>
          <w:iCs w:val="false"/>
          <w:color w:val="000000"/>
          <w:sz w:val="20"/>
          <w:szCs w:val="20"/>
        </w:rPr>
        <w:t>чувствителен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к регуляторному эффекту. Пилот обязан измерить precision очереди и динамику жалоб - то, от чего зависит знак результата.</w:t>
      </w:r>
    </w:p>
    <w:p>
      <w:pPr>
        <w:pStyle w:val="Heading1"/>
        <w:spacing w:before="24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  <w:t>7. Список допущений (источник и критичность)</w:t>
      </w:r>
    </w:p>
    <w:tbl>
      <w:tblPr>
        <w:tblW w:w="9400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00"/>
        <w:gridCol w:w="4200"/>
        <w:gridCol w:w="1500"/>
        <w:gridCol w:w="1899"/>
        <w:gridCol w:w="1301"/>
      </w:tblGrid>
      <w:tr>
        <w:trPr>
          <w:tblHeader w:val="true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Допущение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Значение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Источник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Критично?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Экономия времени на операцию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30 %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ОЦЕНКА / аналогия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ДА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Время идёт на разбор очереди, не на сокращение ФОТ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-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КОНТЕКСТ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ДА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Рост доли эскалаций (precision)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+30 % отн.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нет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Снижение числа жалоб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25 %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ДА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Стоимость одной жалобы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8 000 ₽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ДА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Стоимость устранения предписания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6 000 000 ₽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ДА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7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Снижение частоты предписаний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25 %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ОЦЕНКА (сильное)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ДА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8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CAPEX интеграции/данных/UI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16 млн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ДА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9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OPEX эксплуатации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10,4 млн/год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ДА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Свой compute, без внешнего API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-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КОНТЕКСТ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ДА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11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Стоимость минуты = ФОТ / разобранный объём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31,2 ₽/мин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производное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ДА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12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Целевой поток = весь помеченный объём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420 тыс/год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КЕЙС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нет</w:t>
            </w:r>
          </w:p>
        </w:tc>
      </w:tr>
    </w:tbl>
    <w:p>
      <w:pPr>
        <w:pStyle w:val="Heading2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Что оценить нельзя честными цифрами</w:t>
      </w:r>
    </w:p>
    <w:p>
      <w:pPr>
        <w:pStyle w:val="ListParagraph"/>
        <w:numPr>
          <w:ilvl w:val="0"/>
          <w:numId w:val="3"/>
        </w:numPr>
        <w:spacing w:before="0" w:after="80"/>
        <w:rPr>
          <w:color w:val="000000"/>
        </w:rPr>
      </w:pPr>
      <w:r>
        <w:rPr>
          <w:rFonts w:eastAsia="Arial" w:cs="Arial"/>
          <w:color w:val="000000"/>
          <w:sz w:val="20"/>
          <w:szCs w:val="20"/>
        </w:rPr>
        <w:t>Денежная величина «раннего выявления» (эффект C) - нет данных о сумме предотвращённого ущерба на одну раньше пойманную схему.</w:t>
      </w:r>
    </w:p>
    <w:p>
      <w:pPr>
        <w:pStyle w:val="ListParagraph"/>
        <w:numPr>
          <w:ilvl w:val="0"/>
          <w:numId w:val="1"/>
        </w:numPr>
        <w:spacing w:before="0" w:after="80"/>
        <w:rPr>
          <w:color w:val="000000"/>
        </w:rPr>
      </w:pPr>
      <w:r>
        <w:rPr>
          <w:rFonts w:eastAsia="Arial" w:cs="Arial"/>
          <w:color w:val="000000"/>
          <w:sz w:val="20"/>
          <w:szCs w:val="20"/>
        </w:rPr>
        <w:t>Репутационный эффект от снижения жалоб сверх прямого оттока.</w:t>
      </w:r>
    </w:p>
    <w:p>
      <w:pPr>
        <w:pStyle w:val="ListParagraph"/>
        <w:numPr>
          <w:ilvl w:val="0"/>
          <w:numId w:val="1"/>
        </w:numPr>
        <w:spacing w:before="0" w:after="80"/>
        <w:rPr>
          <w:color w:val="000000"/>
        </w:rPr>
      </w:pPr>
      <w:r>
        <w:rPr>
          <w:rFonts w:eastAsia="Arial" w:cs="Arial"/>
          <w:color w:val="000000"/>
          <w:sz w:val="20"/>
          <w:szCs w:val="20"/>
        </w:rPr>
        <w:t>Точная величина рег. издержек: «месяцы работы» в кейсе не оцифрованы - 6 млн за предписание взято оценочно и является самым влиятельным допущением.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00" w:right="1000" w:gutter="0" w:header="0" w:top="1000" w:footer="708" w:bottom="10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LibreOffice/25.2.3.2$Linux_X86_64 LibreOffice_project/520$Build-2</Application>
  <AppVersion>15.0000</AppVersion>
  <Pages>3</Pages>
  <Words>826</Words>
  <Characters>4211</Characters>
  <CharactersWithSpaces>4819</CharactersWithSpaces>
  <Paragraphs>214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2026-09-03T13:23:54Z</dcterms:created>
  <dc:creator>Un-named</dc:creator>
  <dc:description/>
  <dc:language>ru-RU</dc:language>
  <cp:lastModifiedBy/>
  <dcterms:modified xsi:type="dcterms:W3CDTF">2026-09-06T11:55:22Z</dcterms:modified>
  <cp:revision>3</cp:revision>
  <dc:subject/>
  <dc:title/>
</cp:coreProperties>
</file>