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964"/>
        </w:rPr>
        <w:t>Arun Yacht Club</w:t>
      </w:r>
    </w:p>
    <w:p>
      <w:pPr>
        <w:jc w:val="center"/>
      </w:pPr>
      <w:r>
        <w:rPr>
          <w:color w:val="404040"/>
          <w:sz w:val="28"/>
        </w:rPr>
        <w:t>Boat Haulout Facility — Options Report</w:t>
      </w:r>
    </w:p>
    <w:p>
      <w:pPr>
        <w:jc w:val="center"/>
      </w:pPr>
      <w:r>
        <w:rPr>
          <w:color w:val="808080"/>
          <w:sz w:val="20"/>
        </w:rPr>
        <w:t>May 2026</w:t>
      </w:r>
    </w:p>
    <w:p/>
    <w:p>
      <w:pPr>
        <w:pStyle w:val="Heading1"/>
      </w:pPr>
      <w:r>
        <w:rPr>
          <w:color w:val="1F3964"/>
          <w:sz w:val="36"/>
        </w:rPr>
        <w:t>Executive Summary</w:t>
      </w:r>
    </w:p>
    <w:p>
      <w:pPr>
        <w:spacing w:before="120" w:after="120"/>
        <w:ind w:left="360" w:right="360"/>
        <w:shd w:val="clear" w:color="auto" w:fill="D6E4F7"/>
      </w:pPr>
      <w:r>
        <w:rPr>
          <w:b/>
        </w:rPr>
        <w:t xml:space="preserve">Favoured Option:  </w:t>
      </w:r>
      <w:r>
        <w:t>Tractor and Hydraulic Boat Trailer System</w:t>
      </w:r>
    </w:p>
    <w:p>
      <w:r>
        <w:t>The most practical and financially prudent solution for AYC is the acquisition of a compact tractor paired with a hydraulic adjustable marine boat trailer/cradle. This enables on-demand haulout and launch for all club yachts up to 32ft, operated by trained volunteer bosuns using the existing main slipway — with no requirement for new infrastructure or outside contractors.</w:t>
      </w:r>
    </w:p>
    <w:p>
      <w:r>
        <w:t>Recommended approach: Purchase a quality used compact tractor (£6k–£18k) and a new or quality used hydraulic marine trailer/cradle (£8k–£20k), with total capital outlay in the range of £18,000–£35,000.</w:t>
      </w:r>
    </w:p>
    <w:tbl>
      <w:tblPr>
        <w:tblStyle w:val="TableGrid"/>
        <w:tblW w:type="auto" w:w="0"/>
        <w:tblLook w:firstColumn="1" w:firstRow="1" w:lastColumn="0" w:lastRow="0" w:noHBand="0" w:noVBand="1" w:val="04A0"/>
      </w:tblPr>
      <w:tblGrid>
        <w:gridCol w:w="4421"/>
        <w:gridCol w:w="4421"/>
      </w:tblGrid>
      <w:tr>
        <w:tc>
          <w:tcPr>
            <w:tcW w:type="dxa" w:w="4421"/>
            <w:shd w:val="clear" w:color="auto" w:fill="1F3964"/>
          </w:tcPr>
          <w:p>
            <w:r>
              <w:rPr>
                <w:b/>
                <w:color w:val="FFFFFF"/>
              </w:rPr>
              <w:t>Item</w:t>
            </w:r>
          </w:p>
        </w:tc>
        <w:tc>
          <w:tcPr>
            <w:tcW w:type="dxa" w:w="4421"/>
            <w:shd w:val="clear" w:color="auto" w:fill="1F3964"/>
          </w:tcPr>
          <w:p>
            <w:r>
              <w:rPr>
                <w:b/>
                <w:color w:val="FFFFFF"/>
              </w:rPr>
              <w:t>Cost (recommended route)</w:t>
            </w:r>
          </w:p>
        </w:tc>
      </w:tr>
      <w:tr>
        <w:tc>
          <w:tcPr>
            <w:tcW w:type="dxa" w:w="4421"/>
            <w:shd w:val="clear" w:color="auto" w:fill="E9EEF6"/>
          </w:tcPr>
          <w:p>
            <w:r>
              <w:t>Used compact tractor (35–60hp, 4WD)</w:t>
            </w:r>
          </w:p>
        </w:tc>
        <w:tc>
          <w:tcPr>
            <w:tcW w:type="dxa" w:w="4421"/>
            <w:shd w:val="clear" w:color="auto" w:fill="E9EEF6"/>
          </w:tcPr>
          <w:p>
            <w:r>
              <w:t>£6,000–£18,000</w:t>
            </w:r>
          </w:p>
        </w:tc>
      </w:tr>
      <w:tr>
        <w:tc>
          <w:tcPr>
            <w:tcW w:type="dxa" w:w="4421"/>
          </w:tcPr>
          <w:p>
            <w:r>
              <w:t>Marine hydraulic adjustable boat trailer</w:t>
            </w:r>
          </w:p>
        </w:tc>
        <w:tc>
          <w:tcPr>
            <w:tcW w:type="dxa" w:w="4421"/>
          </w:tcPr>
          <w:p>
            <w:r>
              <w:t>£8,000–£20,000</w:t>
            </w:r>
          </w:p>
        </w:tc>
      </w:tr>
      <w:tr>
        <w:tc>
          <w:tcPr>
            <w:tcW w:type="dxa" w:w="4421"/>
            <w:shd w:val="clear" w:color="auto" w:fill="E9EEF6"/>
          </w:tcPr>
          <w:p>
            <w:r>
              <w:t>Slipway north-side tie-down improvements</w:t>
            </w:r>
          </w:p>
        </w:tc>
        <w:tc>
          <w:tcPr>
            <w:tcW w:type="dxa" w:w="4421"/>
            <w:shd w:val="clear" w:color="auto" w:fill="E9EEF6"/>
          </w:tcPr>
          <w:p>
            <w:r>
              <w:t>£1,000–£3,000</w:t>
            </w:r>
          </w:p>
        </w:tc>
      </w:tr>
      <w:tr>
        <w:tc>
          <w:tcPr>
            <w:tcW w:type="dxa" w:w="4421"/>
          </w:tcPr>
          <w:p>
            <w:r>
              <w:t>Pressure washer (jet wash facility)</w:t>
            </w:r>
          </w:p>
        </w:tc>
        <w:tc>
          <w:tcPr>
            <w:tcW w:type="dxa" w:w="4421"/>
          </w:tcPr>
          <w:p>
            <w:r>
              <w:t>£500–£1,500</w:t>
            </w:r>
          </w:p>
        </w:tc>
      </w:tr>
      <w:tr>
        <w:tc>
          <w:tcPr>
            <w:tcW w:type="dxa" w:w="4421"/>
            <w:shd w:val="clear" w:color="auto" w:fill="E9EEF6"/>
          </w:tcPr>
          <w:p>
            <w:r>
              <w:t>H&amp;S assessment, training, insurance uplift</w:t>
            </w:r>
          </w:p>
        </w:tc>
        <w:tc>
          <w:tcPr>
            <w:tcW w:type="dxa" w:w="4421"/>
            <w:shd w:val="clear" w:color="auto" w:fill="E9EEF6"/>
          </w:tcPr>
          <w:p>
            <w:r>
              <w:t>£1,000–£2,000</w:t>
            </w:r>
          </w:p>
        </w:tc>
      </w:tr>
      <w:tr>
        <w:tc>
          <w:tcPr>
            <w:tcW w:type="dxa" w:w="4421"/>
          </w:tcPr>
          <w:p>
            <w:r>
              <w:t>TOTAL</w:t>
            </w:r>
          </w:p>
        </w:tc>
        <w:tc>
          <w:tcPr>
            <w:tcW w:type="dxa" w:w="4421"/>
          </w:tcPr>
          <w:p>
            <w:r>
              <w:t>£16,500–£44,500</w:t>
            </w:r>
          </w:p>
        </w:tc>
      </w:tr>
    </w:tbl>
    <w:p>
      <w:r>
        <w:rPr>
          <w:i/>
          <w:color w:val="606060"/>
          <w:sz w:val="18"/>
        </w:rPr>
        <w:t>Estimated capital costs — recommended procurement route.</w:t>
      </w:r>
    </w:p>
    <w:p/>
    <w:p>
      <w:r>
        <w:t>At current crane pricing of approximately £325–£350 per boat per annual event (in + out combined), the club already absorbs £8,000–£9,000/year in effective cost. On-demand self-operated haulout with modest owner fees would recover the capital cost within 4–6 years from event savings alone, without factoring in additional ad-hoc haulout income. This compares favourably with the recently approved £40k rib purchase.</w:t>
      </w:r>
    </w:p>
    <w:p>
      <w:r>
        <w:t>This option:</w:t>
      </w:r>
    </w:p>
    <w:p>
      <w:pPr>
        <w:pStyle w:val="ListBullet"/>
        <w:ind w:left="360"/>
      </w:pPr>
      <w:r>
        <w:t>Uses the existing main slipway — no new infrastructure required</w:t>
      </w:r>
    </w:p>
    <w:p>
      <w:pPr>
        <w:pStyle w:val="ListBullet"/>
        <w:ind w:left="360"/>
      </w:pPr>
      <w:r>
        <w:t>Can be operated by trained volunteers with a recognised tractor competency certificate</w:t>
      </w:r>
    </w:p>
    <w:p>
      <w:pPr>
        <w:pStyle w:val="ListBullet"/>
        <w:ind w:left="360"/>
      </w:pPr>
      <w:r>
        <w:t>Has low annual running costs (£500–£1,500)</w:t>
      </w:r>
    </w:p>
    <w:p>
      <w:pPr>
        <w:pStyle w:val="ListBullet"/>
        <w:ind w:left="360"/>
      </w:pPr>
      <w:r>
        <w:t>Can be extended to offer jet washing, mast stepping, and hardstanding storage</w:t>
      </w:r>
    </w:p>
    <w:p>
      <w:pPr>
        <w:pStyle w:val="ListBullet"/>
        <w:ind w:left="360"/>
      </w:pPr>
      <w:r>
        <w:t>Preserves the majority of reserves for unfunded long-term maintenance (piles, pontoons)</w:t>
      </w:r>
    </w:p>
    <w:p/>
    <w:p>
      <w:r>
        <w:rPr>
          <w:b/>
        </w:rPr>
        <w:t>Recommended immediate action:</w:t>
      </w:r>
      <w:r>
        <w:t xml:space="preserve"> Form a small working group, obtain a slipway survey, approach insurers, and circulate sourcing enquiries to the RYA club network and UK marine trade press.</w:t>
      </w:r>
    </w:p>
    <w:p>
      <w:r>
        <w:br w:type="page"/>
      </w:r>
    </w:p>
    <w:p>
      <w:pPr>
        <w:pStyle w:val="Heading1"/>
      </w:pPr>
      <w:r>
        <w:rPr>
          <w:color w:val="1F3964"/>
          <w:sz w:val="36"/>
        </w:rPr>
        <w:t>Background and Current Situation</w:t>
      </w:r>
    </w:p>
    <w:p>
      <w:r>
        <w:t>Arun Yacht Club (AYC) is a CASC-registered members' club at Littlehampton, operated on a volunteer basis. The club's facilities include:</w:t>
      </w:r>
    </w:p>
    <w:p>
      <w:pPr>
        <w:pStyle w:val="ListBullet"/>
        <w:ind w:left="360"/>
      </w:pPr>
      <w:r>
        <w:t>Main slipway (steep gradient, 24v winch, next to clubhouse) — currently used for Limbo and lifting-keel yachts; available for short-term owner bookings for maintenance. North-side mooring is improvised (lines to balcony and piles).</w:t>
      </w:r>
    </w:p>
    <w:p>
      <w:pPr>
        <w:pStyle w:val="ListBullet"/>
        <w:ind w:left="360"/>
      </w:pPr>
      <w:r>
        <w:t>Dinghy pen slipway (shallow gradient, 24v winch) — used for sailing dinghies; not currently deep enough for yachts, though the club owns a dredger.</w:t>
      </w:r>
    </w:p>
    <w:p>
      <w:pPr>
        <w:pStyle w:val="ListBullet"/>
        <w:ind w:left="360"/>
      </w:pPr>
      <w:r>
        <w:t>Car park / hardstanding — northern and southern areas used for craned-out yacht winter storage.</w:t>
      </w:r>
    </w:p>
    <w:p>
      <w:r>
        <w:rPr>
          <w:b/>
        </w:rPr>
        <w:t>Current crane arrangement:</w:t>
      </w:r>
      <w:r>
        <w:t xml:space="preserve"> An annual crane-out in October and crane-in in March, using hired 60T and 100T cranes for approximately 20–25 yachts at £150–£175 per event per boat. Owners frequently request a summer haulout option for light maintenance and antifouling.</w:t>
      </w:r>
    </w:p>
    <w:p>
      <w:r>
        <w:rPr>
          <w:b/>
        </w:rPr>
        <w:t>Club profile:</w:t>
      </w:r>
      <w:r>
        <w:t xml:space="preserve"> 80+ yacht berths; approx. 5–8 yachts race weekly; 60+ use moorings for storage only; up to 10 yachts in very poor condition occupying berths. £250k reserves; up to £40k/year surplus; significant unfunded long-term maintenance needs. Mooring fees subsidise all club overheads.</w:t>
      </w:r>
    </w:p>
    <w:p>
      <w:r>
        <w:rPr>
          <w:b/>
        </w:rPr>
        <w:t>Goal:</w:t>
      </w:r>
      <w:r>
        <w:t xml:space="preserve"> An independent, on-demand facility for haulout and launch of yachts up to 32ft, operated by club maintenance/bosun volunteers, at a cost broadly equivalent to or cheaper than current crane hire.</w:t>
      </w:r>
    </w:p>
    <w:p>
      <w:r>
        <w:br w:type="page"/>
      </w:r>
    </w:p>
    <w:p>
      <w:pPr>
        <w:pStyle w:val="Heading1"/>
      </w:pPr>
      <w:r>
        <w:rPr>
          <w:color w:val="1F3964"/>
          <w:sz w:val="36"/>
        </w:rPr>
        <w:t>Option 1: Tractor and Hydraulic Boat Trailer  (Recommended)</w:t>
      </w:r>
    </w:p>
    <w:p>
      <w:pPr>
        <w:pStyle w:val="Heading2"/>
      </w:pPr>
      <w:r>
        <w:rPr>
          <w:color w:val="1F3964"/>
          <w:sz w:val="28"/>
        </w:rPr>
        <w:t>Description</w:t>
      </w:r>
    </w:p>
    <w:p>
      <w:r>
        <w:t>A compact tractor (35–60hp, 4WD) paired with a hydraulic adjustable marine boat trailer/cradle tows yachts up and down the main slipway. The trailer is submerged at the base of the slip, the boat is floated over it, secured in the cradle, and hauled up. Yachts are parked on the hardstanding for maintenance or stored for longer periods.</w:t>
      </w:r>
    </w:p>
    <w:p>
      <w:r>
        <w:t>This is the most common and proven solution for small-to-medium UK yacht clubs. It is used extensively on the south coast (e.g. Dell Quay SC, Emsworth SC, Hayling Island SC) and is well-suited to AYC's scale, budget, and volunteer operating model.</w:t>
      </w:r>
    </w:p>
    <w:p>
      <w:pPr>
        <w:pStyle w:val="Heading2"/>
      </w:pPr>
      <w:r>
        <w:rPr>
          <w:color w:val="1F3964"/>
          <w:sz w:val="28"/>
        </w:rPr>
        <w:t>Infrastructure Requirements</w:t>
      </w:r>
    </w:p>
    <w:p>
      <w:pPr>
        <w:pStyle w:val="ListBullet"/>
        <w:ind w:left="360"/>
      </w:pPr>
      <w:r>
        <w:t>Main slipway: Already adequate for Limbo yachts. A structural survey is recommended (est. £500–£1,500) to confirm load-bearing capacity and surface condition.</w:t>
      </w:r>
    </w:p>
    <w:p>
      <w:pPr>
        <w:pStyle w:val="ListBullet"/>
        <w:ind w:left="360"/>
      </w:pPr>
      <w:r>
        <w:t>North-side tie-down points: Replace improvised arrangement with proper mooring cleats or posts (est. £1,000–£3,000).</w:t>
      </w:r>
    </w:p>
    <w:p>
      <w:pPr>
        <w:pStyle w:val="ListBullet"/>
        <w:ind w:left="360"/>
      </w:pPr>
      <w:r>
        <w:t>Hardstanding: Existing northern and southern car park areas already used. Painted bays and tie-down anchors may be beneficial.</w:t>
      </w:r>
    </w:p>
    <w:p>
      <w:pPr>
        <w:pStyle w:val="ListBullet"/>
        <w:ind w:left="360"/>
      </w:pPr>
      <w:r>
        <w:t>Trailer/tractor storage: Covered lean-to to protect equipment (est. £2,000–£5,000 if new).</w:t>
      </w:r>
    </w:p>
    <w:p>
      <w:pPr>
        <w:pStyle w:val="Heading2"/>
      </w:pPr>
      <w:r>
        <w:rPr>
          <w:color w:val="1F3964"/>
          <w:sz w:val="28"/>
        </w:rPr>
        <w:t>Equipment and Sourcing</w:t>
      </w:r>
    </w:p>
    <w:p>
      <w:r>
        <w:rPr>
          <w:b/>
        </w:rPr>
        <w:t>Tractor (35–60hp, 4WD, compact utility):</w:t>
      </w:r>
      <w:r/>
    </w:p>
    <w:tbl>
      <w:tblPr>
        <w:tblStyle w:val="TableGrid"/>
        <w:tblW w:type="auto" w:w="0"/>
        <w:tblLook w:firstColumn="1" w:firstRow="1" w:lastColumn="0" w:lastRow="0" w:noHBand="0" w:noVBand="1" w:val="04A0"/>
      </w:tblPr>
      <w:tblGrid>
        <w:gridCol w:w="2210"/>
        <w:gridCol w:w="2210"/>
        <w:gridCol w:w="2210"/>
        <w:gridCol w:w="2210"/>
      </w:tblGrid>
      <w:tr>
        <w:tc>
          <w:tcPr>
            <w:tcW w:type="dxa" w:w="2210"/>
            <w:shd w:val="clear" w:color="auto" w:fill="1F3964"/>
          </w:tcPr>
          <w:p>
            <w:r>
              <w:rPr>
                <w:b/>
                <w:color w:val="FFFFFF"/>
              </w:rPr>
              <w:t>Route</w:t>
            </w:r>
          </w:p>
        </w:tc>
        <w:tc>
          <w:tcPr>
            <w:tcW w:type="dxa" w:w="2210"/>
            <w:shd w:val="clear" w:color="auto" w:fill="1F3964"/>
          </w:tcPr>
          <w:p>
            <w:r>
              <w:rPr>
                <w:b/>
                <w:color w:val="FFFFFF"/>
              </w:rPr>
              <w:t>Specification</w:t>
            </w:r>
          </w:p>
        </w:tc>
        <w:tc>
          <w:tcPr>
            <w:tcW w:type="dxa" w:w="2210"/>
            <w:shd w:val="clear" w:color="auto" w:fill="1F3964"/>
          </w:tcPr>
          <w:p>
            <w:r>
              <w:rPr>
                <w:b/>
                <w:color w:val="FFFFFF"/>
              </w:rPr>
              <w:t>Cost</w:t>
            </w:r>
          </w:p>
        </w:tc>
        <w:tc>
          <w:tcPr>
            <w:tcW w:type="dxa" w:w="2210"/>
            <w:shd w:val="clear" w:color="auto" w:fill="1F3964"/>
          </w:tcPr>
          <w:p>
            <w:r>
              <w:rPr>
                <w:b/>
                <w:color w:val="FFFFFF"/>
              </w:rPr>
              <w:t>Sources</w:t>
            </w:r>
          </w:p>
        </w:tc>
      </w:tr>
      <w:tr>
        <w:tc>
          <w:tcPr>
            <w:tcW w:type="dxa" w:w="2210"/>
            <w:shd w:val="clear" w:color="auto" w:fill="E9EEF6"/>
          </w:tcPr>
          <w:p>
            <w:r>
              <w:t>New</w:t>
            </w:r>
          </w:p>
        </w:tc>
        <w:tc>
          <w:tcPr>
            <w:tcW w:type="dxa" w:w="2210"/>
            <w:shd w:val="clear" w:color="auto" w:fill="E9EEF6"/>
          </w:tcPr>
          <w:p>
            <w:r>
              <w:t>Kubota M/B series, John Deere 3000, New Holland Boomer</w:t>
            </w:r>
          </w:p>
        </w:tc>
        <w:tc>
          <w:tcPr>
            <w:tcW w:type="dxa" w:w="2210"/>
            <w:shd w:val="clear" w:color="auto" w:fill="E9EEF6"/>
          </w:tcPr>
          <w:p>
            <w:r>
              <w:t>£18,000–£45,000</w:t>
            </w:r>
          </w:p>
        </w:tc>
        <w:tc>
          <w:tcPr>
            <w:tcW w:type="dxa" w:w="2210"/>
            <w:shd w:val="clear" w:color="auto" w:fill="E9EEF6"/>
          </w:tcPr>
          <w:p>
            <w:r>
              <w:t>Agricultural dealers, manufacturer dealers</w:t>
            </w:r>
          </w:p>
        </w:tc>
      </w:tr>
      <w:tr>
        <w:tc>
          <w:tcPr>
            <w:tcW w:type="dxa" w:w="2210"/>
          </w:tcPr>
          <w:p>
            <w:r>
              <w:t>Used</w:t>
            </w:r>
          </w:p>
        </w:tc>
        <w:tc>
          <w:tcPr>
            <w:tcW w:type="dxa" w:w="2210"/>
          </w:tcPr>
          <w:p>
            <w:r>
              <w:t>5–15 years old, same spec</w:t>
            </w:r>
          </w:p>
        </w:tc>
        <w:tc>
          <w:tcPr>
            <w:tcW w:type="dxa" w:w="2210"/>
          </w:tcPr>
          <w:p>
            <w:r>
              <w:t>£6,000–£18,000</w:t>
            </w:r>
          </w:p>
        </w:tc>
        <w:tc>
          <w:tcPr>
            <w:tcW w:type="dxa" w:w="2210"/>
          </w:tcPr>
          <w:p>
            <w:r>
              <w:t>eBay, Machinery Trader, BIGGA, farm dispersal sales</w:t>
            </w:r>
          </w:p>
        </w:tc>
      </w:tr>
    </w:tbl>
    <w:p/>
    <w:p>
      <w:r>
        <w:rPr>
          <w:b/>
        </w:rPr>
        <w:t>Marine Hydraulic Adjustable Boat Trailer/Cradle:</w:t>
      </w:r>
      <w:r/>
    </w:p>
    <w:p>
      <w:r>
        <w:t>The trailer must be fully galvanised for saltwater use, with hydraulically adjustable padded support arms to accommodate bilge keelers, fin keelers, and lifting-keel boats.</w:t>
      </w:r>
    </w:p>
    <w:tbl>
      <w:tblPr>
        <w:tblStyle w:val="TableGrid"/>
        <w:tblW w:type="auto" w:w="0"/>
        <w:tblLook w:firstColumn="1" w:firstRow="1" w:lastColumn="0" w:lastRow="0" w:noHBand="0" w:noVBand="1" w:val="04A0"/>
      </w:tblPr>
      <w:tblGrid>
        <w:gridCol w:w="2210"/>
        <w:gridCol w:w="2210"/>
        <w:gridCol w:w="2210"/>
        <w:gridCol w:w="2210"/>
      </w:tblGrid>
      <w:tr>
        <w:tc>
          <w:tcPr>
            <w:tcW w:type="dxa" w:w="2210"/>
            <w:shd w:val="clear" w:color="auto" w:fill="1F3964"/>
          </w:tcPr>
          <w:p>
            <w:r>
              <w:rPr>
                <w:b/>
                <w:color w:val="FFFFFF"/>
              </w:rPr>
              <w:t>Route</w:t>
            </w:r>
          </w:p>
        </w:tc>
        <w:tc>
          <w:tcPr>
            <w:tcW w:type="dxa" w:w="2210"/>
            <w:shd w:val="clear" w:color="auto" w:fill="1F3964"/>
          </w:tcPr>
          <w:p>
            <w:r>
              <w:rPr>
                <w:b/>
                <w:color w:val="FFFFFF"/>
              </w:rPr>
              <w:t>Type</w:t>
            </w:r>
          </w:p>
        </w:tc>
        <w:tc>
          <w:tcPr>
            <w:tcW w:type="dxa" w:w="2210"/>
            <w:shd w:val="clear" w:color="auto" w:fill="1F3964"/>
          </w:tcPr>
          <w:p>
            <w:r>
              <w:rPr>
                <w:b/>
                <w:color w:val="FFFFFF"/>
              </w:rPr>
              <w:t>Cost</w:t>
            </w:r>
          </w:p>
        </w:tc>
        <w:tc>
          <w:tcPr>
            <w:tcW w:type="dxa" w:w="2210"/>
            <w:shd w:val="clear" w:color="auto" w:fill="1F3964"/>
          </w:tcPr>
          <w:p>
            <w:r>
              <w:rPr>
                <w:b/>
                <w:color w:val="FFFFFF"/>
              </w:rPr>
              <w:t>Sources</w:t>
            </w:r>
          </w:p>
        </w:tc>
      </w:tr>
      <w:tr>
        <w:tc>
          <w:tcPr>
            <w:tcW w:type="dxa" w:w="2210"/>
            <w:shd w:val="clear" w:color="auto" w:fill="E9EEF6"/>
          </w:tcPr>
          <w:p>
            <w:r>
              <w:t>New custom</w:t>
            </w:r>
          </w:p>
        </w:tc>
        <w:tc>
          <w:tcPr>
            <w:tcW w:type="dxa" w:w="2210"/>
            <w:shd w:val="clear" w:color="auto" w:fill="E9EEF6"/>
          </w:tcPr>
          <w:p>
            <w:r>
              <w:t>UK marine engineering fabricator</w:t>
            </w:r>
          </w:p>
        </w:tc>
        <w:tc>
          <w:tcPr>
            <w:tcW w:type="dxa" w:w="2210"/>
            <w:shd w:val="clear" w:color="auto" w:fill="E9EEF6"/>
          </w:tcPr>
          <w:p>
            <w:r>
              <w:t>£12,000–£25,000</w:t>
            </w:r>
          </w:p>
        </w:tc>
        <w:tc>
          <w:tcPr>
            <w:tcW w:type="dxa" w:w="2210"/>
            <w:shd w:val="clear" w:color="auto" w:fill="E9EEF6"/>
          </w:tcPr>
          <w:p>
            <w:r>
              <w:t>Strickland Marine, W&amp;J Marine Trailers, local fabricators</w:t>
            </w:r>
          </w:p>
        </w:tc>
      </w:tr>
      <w:tr>
        <w:tc>
          <w:tcPr>
            <w:tcW w:type="dxa" w:w="2210"/>
          </w:tcPr>
          <w:p>
            <w:r>
              <w:t>New standard</w:t>
            </w:r>
          </w:p>
        </w:tc>
        <w:tc>
          <w:tcPr>
            <w:tcW w:type="dxa" w:w="2210"/>
          </w:tcPr>
          <w:p>
            <w:r>
              <w:t>European marine trailer (Balbi, Cargotec)</w:t>
            </w:r>
          </w:p>
        </w:tc>
        <w:tc>
          <w:tcPr>
            <w:tcW w:type="dxa" w:w="2210"/>
          </w:tcPr>
          <w:p>
            <w:r>
              <w:t>£8,000–£18,000</w:t>
            </w:r>
          </w:p>
        </w:tc>
        <w:tc>
          <w:tcPr>
            <w:tcW w:type="dxa" w:w="2210"/>
          </w:tcPr>
          <w:p>
            <w:r>
              <w:t>UK marine equipment importers</w:t>
            </w:r>
          </w:p>
        </w:tc>
      </w:tr>
      <w:tr>
        <w:tc>
          <w:tcPr>
            <w:tcW w:type="dxa" w:w="2210"/>
            <w:shd w:val="clear" w:color="auto" w:fill="E9EEF6"/>
          </w:tcPr>
          <w:p>
            <w:r>
              <w:t>Used</w:t>
            </w:r>
          </w:p>
        </w:tc>
        <w:tc>
          <w:tcPr>
            <w:tcW w:type="dxa" w:w="2210"/>
            <w:shd w:val="clear" w:color="auto" w:fill="E9EEF6"/>
          </w:tcPr>
          <w:p>
            <w:r>
              <w:t>Club or marina surplus</w:t>
            </w:r>
          </w:p>
        </w:tc>
        <w:tc>
          <w:tcPr>
            <w:tcW w:type="dxa" w:w="2210"/>
            <w:shd w:val="clear" w:color="auto" w:fill="E9EEF6"/>
          </w:tcPr>
          <w:p>
            <w:r>
              <w:t>£3,000–£12,000</w:t>
            </w:r>
          </w:p>
        </w:tc>
        <w:tc>
          <w:tcPr>
            <w:tcW w:type="dxa" w:w="2210"/>
            <w:shd w:val="clear" w:color="auto" w:fill="E9EEF6"/>
          </w:tcPr>
          <w:p>
            <w:r>
              <w:t>RYA network, Boats.net, Apollo Duck, marina disposals</w:t>
            </w:r>
          </w:p>
        </w:tc>
      </w:tr>
    </w:tbl>
    <w:p/>
    <w:p>
      <w:r>
        <w:t>Additional items:</w:t>
      </w:r>
    </w:p>
    <w:tbl>
      <w:tblPr>
        <w:tblStyle w:val="TableGrid"/>
        <w:tblW w:type="auto" w:w="0"/>
        <w:tblLook w:firstColumn="1" w:firstRow="1" w:lastColumn="0" w:lastRow="0" w:noHBand="0" w:noVBand="1" w:val="04A0"/>
      </w:tblPr>
      <w:tblGrid>
        <w:gridCol w:w="4421"/>
        <w:gridCol w:w="4421"/>
      </w:tblGrid>
      <w:tr>
        <w:tc>
          <w:tcPr>
            <w:tcW w:type="dxa" w:w="4421"/>
            <w:shd w:val="clear" w:color="auto" w:fill="1F3964"/>
          </w:tcPr>
          <w:p>
            <w:r>
              <w:rPr>
                <w:b/>
                <w:color w:val="FFFFFF"/>
              </w:rPr>
              <w:t>Item</w:t>
            </w:r>
          </w:p>
        </w:tc>
        <w:tc>
          <w:tcPr>
            <w:tcW w:type="dxa" w:w="4421"/>
            <w:shd w:val="clear" w:color="auto" w:fill="1F3964"/>
          </w:tcPr>
          <w:p>
            <w:r>
              <w:rPr>
                <w:b/>
                <w:color w:val="FFFFFF"/>
              </w:rPr>
              <w:t>Estimated Cost</w:t>
            </w:r>
          </w:p>
        </w:tc>
      </w:tr>
      <w:tr>
        <w:tc>
          <w:tcPr>
            <w:tcW w:type="dxa" w:w="4421"/>
            <w:shd w:val="clear" w:color="auto" w:fill="E9EEF6"/>
          </w:tcPr>
          <w:p>
            <w:r>
              <w:t>Pressure washer (petrol/3-phase, 200+ bar)</w:t>
            </w:r>
          </w:p>
        </w:tc>
        <w:tc>
          <w:tcPr>
            <w:tcW w:type="dxa" w:w="4421"/>
            <w:shd w:val="clear" w:color="auto" w:fill="E9EEF6"/>
          </w:tcPr>
          <w:p>
            <w:r>
              <w:t>£500–£1,500</w:t>
            </w:r>
          </w:p>
        </w:tc>
      </w:tr>
      <w:tr>
        <w:tc>
          <w:tcPr>
            <w:tcW w:type="dxa" w:w="4421"/>
          </w:tcPr>
          <w:p>
            <w:r>
              <w:t>Tie-down straps, safety chains, chocks</w:t>
            </w:r>
          </w:p>
        </w:tc>
        <w:tc>
          <w:tcPr>
            <w:tcW w:type="dxa" w:w="4421"/>
          </w:tcPr>
          <w:p>
            <w:r>
              <w:t>£500–£1,000</w:t>
            </w:r>
          </w:p>
        </w:tc>
      </w:tr>
      <w:tr>
        <w:tc>
          <w:tcPr>
            <w:tcW w:type="dxa" w:w="4421"/>
            <w:shd w:val="clear" w:color="auto" w:fill="E9EEF6"/>
          </w:tcPr>
          <w:p>
            <w:r>
              <w:t>Cradle pads and bilge supports (bespoke)</w:t>
            </w:r>
          </w:p>
        </w:tc>
        <w:tc>
          <w:tcPr>
            <w:tcW w:type="dxa" w:w="4421"/>
            <w:shd w:val="clear" w:color="auto" w:fill="E9EEF6"/>
          </w:tcPr>
          <w:p>
            <w:r>
              <w:t>£500–£1,500</w:t>
            </w:r>
          </w:p>
        </w:tc>
      </w:tr>
      <w:tr>
        <w:tc>
          <w:tcPr>
            <w:tcW w:type="dxa" w:w="4421"/>
          </w:tcPr>
          <w:p>
            <w:r>
              <w:t>Signage, safety barriers</w:t>
            </w:r>
          </w:p>
        </w:tc>
        <w:tc>
          <w:tcPr>
            <w:tcW w:type="dxa" w:w="4421"/>
          </w:tcPr>
          <w:p>
            <w:r>
              <w:t>£200–£500</w:t>
            </w:r>
          </w:p>
        </w:tc>
      </w:tr>
    </w:tbl>
    <w:p/>
    <w:p>
      <w:pPr>
        <w:pStyle w:val="Heading2"/>
      </w:pPr>
      <w:r>
        <w:rPr>
          <w:color w:val="1F3964"/>
          <w:sz w:val="28"/>
        </w:rPr>
        <w:t>Operation</w:t>
      </w:r>
    </w:p>
    <w:p>
      <w:pPr>
        <w:pStyle w:val="ListBullet"/>
        <w:ind w:left="360"/>
      </w:pPr>
      <w:r>
        <w:t>Operators: Minimum two trained volunteers per lift — one driving the tractor, one supervising/guiding.</w:t>
      </w:r>
    </w:p>
    <w:p>
      <w:pPr>
        <w:pStyle w:val="ListBullet"/>
        <w:ind w:left="360"/>
      </w:pPr>
      <w:r>
        <w:t>Licensing: Tractor use on private club land does not require a public road licence. All operators should complete a recognised competency programme (e.g. Lantra Awards Tractor and Machinery Operation, approx. £150–£300 per person).</w:t>
      </w:r>
    </w:p>
    <w:p>
      <w:pPr>
        <w:pStyle w:val="ListBullet"/>
        <w:ind w:left="360"/>
      </w:pPr>
      <w:r>
        <w:t>Procedure: A written club Standard Operating Procedure (SOP) and risk assessment must be produced before any lifts are undertaken.</w:t>
      </w:r>
    </w:p>
    <w:p>
      <w:pPr>
        <w:pStyle w:val="ListBullet"/>
        <w:ind w:left="360"/>
      </w:pPr>
      <w:r>
        <w:t>Capacity: Realistically 3–6 lifts per day with two trained volunteers.</w:t>
      </w:r>
    </w:p>
    <w:p>
      <w:pPr>
        <w:pStyle w:val="Heading2"/>
      </w:pPr>
      <w:r>
        <w:rPr>
          <w:color w:val="1F3964"/>
          <w:sz w:val="28"/>
        </w:rPr>
        <w:t>Maintenance</w:t>
      </w:r>
    </w:p>
    <w:tbl>
      <w:tblPr>
        <w:tblStyle w:val="TableGrid"/>
        <w:tblW w:type="auto" w:w="0"/>
        <w:tblLook w:firstColumn="1" w:firstRow="1" w:lastColumn="0" w:lastRow="0" w:noHBand="0" w:noVBand="1" w:val="04A0"/>
      </w:tblPr>
      <w:tblGrid>
        <w:gridCol w:w="4421"/>
        <w:gridCol w:w="4421"/>
      </w:tblGrid>
      <w:tr>
        <w:tc>
          <w:tcPr>
            <w:tcW w:type="dxa" w:w="4421"/>
            <w:shd w:val="clear" w:color="auto" w:fill="1F3964"/>
          </w:tcPr>
          <w:p>
            <w:r>
              <w:rPr>
                <w:b/>
                <w:color w:val="FFFFFF"/>
              </w:rPr>
              <w:t>Item</w:t>
            </w:r>
          </w:p>
        </w:tc>
        <w:tc>
          <w:tcPr>
            <w:tcW w:type="dxa" w:w="4421"/>
            <w:shd w:val="clear" w:color="auto" w:fill="1F3964"/>
          </w:tcPr>
          <w:p>
            <w:r>
              <w:rPr>
                <w:b/>
                <w:color w:val="FFFFFF"/>
              </w:rPr>
              <w:t>Estimated Annual Cost</w:t>
            </w:r>
          </w:p>
        </w:tc>
      </w:tr>
      <w:tr>
        <w:tc>
          <w:tcPr>
            <w:tcW w:type="dxa" w:w="4421"/>
            <w:shd w:val="clear" w:color="auto" w:fill="E9EEF6"/>
          </w:tcPr>
          <w:p>
            <w:r>
              <w:t>Annual tractor service and hydraulic fluid check</w:t>
            </w:r>
          </w:p>
        </w:tc>
        <w:tc>
          <w:tcPr>
            <w:tcW w:type="dxa" w:w="4421"/>
            <w:shd w:val="clear" w:color="auto" w:fill="E9EEF6"/>
          </w:tcPr>
          <w:p>
            <w:r>
              <w:t>£300–£600</w:t>
            </w:r>
          </w:p>
        </w:tc>
      </w:tr>
      <w:tr>
        <w:tc>
          <w:tcPr>
            <w:tcW w:type="dxa" w:w="4421"/>
          </w:tcPr>
          <w:p>
            <w:r>
              <w:t>Trailer inspection, greasing, galvanic protection</w:t>
            </w:r>
          </w:p>
        </w:tc>
        <w:tc>
          <w:tcPr>
            <w:tcW w:type="dxa" w:w="4421"/>
          </w:tcPr>
          <w:p>
            <w:r>
              <w:t>£200–£500</w:t>
            </w:r>
          </w:p>
        </w:tc>
      </w:tr>
      <w:tr>
        <w:tc>
          <w:tcPr>
            <w:tcW w:type="dxa" w:w="4421"/>
            <w:shd w:val="clear" w:color="auto" w:fill="E9EEF6"/>
          </w:tcPr>
          <w:p>
            <w:r>
              <w:t>Total annual running cost</w:t>
            </w:r>
          </w:p>
        </w:tc>
        <w:tc>
          <w:tcPr>
            <w:tcW w:type="dxa" w:w="4421"/>
            <w:shd w:val="clear" w:color="auto" w:fill="E9EEF6"/>
          </w:tcPr>
          <w:p>
            <w:r>
              <w:t>£500–£1,500</w:t>
            </w:r>
          </w:p>
        </w:tc>
      </w:tr>
    </w:tbl>
    <w:p/>
    <w:p>
      <w:pPr>
        <w:pStyle w:val="Heading2"/>
      </w:pPr>
      <w:r>
        <w:rPr>
          <w:color w:val="1F3964"/>
          <w:sz w:val="28"/>
        </w:rPr>
        <w:t>Insurance</w:t>
      </w:r>
    </w:p>
    <w:p>
      <w:pPr>
        <w:pStyle w:val="ListBullet"/>
        <w:ind w:left="360"/>
      </w:pPr>
      <w:r>
        <w:t>Notify current public liability insurer of the new mechanical haulout activity before any operation.</w:t>
      </w:r>
    </w:p>
    <w:p>
      <w:pPr>
        <w:pStyle w:val="ListBullet"/>
        <w:ind w:left="360"/>
      </w:pPr>
      <w:r>
        <w:t>Confirm cover for tractor use and mechanical haulout; check employer's liability if any paid staff involved.</w:t>
      </w:r>
    </w:p>
    <w:p>
      <w:pPr>
        <w:pStyle w:val="ListBullet"/>
        <w:ind w:left="360"/>
      </w:pPr>
      <w:r>
        <w:t>Introduce a formal owner consent/indemnity form for all lifts (standard practice at most clubs).</w:t>
      </w:r>
    </w:p>
    <w:p>
      <w:pPr>
        <w:pStyle w:val="ListBullet"/>
        <w:ind w:left="360"/>
      </w:pPr>
      <w:r>
        <w:t>Anticipated premium uplift: £200–£600/year.</w:t>
      </w:r>
    </w:p>
    <w:p>
      <w:pPr>
        <w:pStyle w:val="Heading2"/>
      </w:pPr>
      <w:r>
        <w:rPr>
          <w:color w:val="1F3964"/>
          <w:sz w:val="28"/>
        </w:rPr>
        <w:t>Financial Structure</w:t>
      </w:r>
    </w:p>
    <w:p>
      <w:r>
        <w:t>Suggested fee schedule for individual haulouts:</w:t>
      </w:r>
    </w:p>
    <w:tbl>
      <w:tblPr>
        <w:tblStyle w:val="TableGrid"/>
        <w:tblW w:type="auto" w:w="0"/>
        <w:tblLook w:firstColumn="1" w:firstRow="1" w:lastColumn="0" w:lastRow="0" w:noHBand="0" w:noVBand="1" w:val="04A0"/>
      </w:tblPr>
      <w:tblGrid>
        <w:gridCol w:w="4421"/>
        <w:gridCol w:w="4421"/>
      </w:tblGrid>
      <w:tr>
        <w:tc>
          <w:tcPr>
            <w:tcW w:type="dxa" w:w="4421"/>
            <w:shd w:val="clear" w:color="auto" w:fill="1F3964"/>
          </w:tcPr>
          <w:p>
            <w:r>
              <w:rPr>
                <w:b/>
                <w:color w:val="FFFFFF"/>
              </w:rPr>
              <w:t>Service</w:t>
            </w:r>
          </w:p>
        </w:tc>
        <w:tc>
          <w:tcPr>
            <w:tcW w:type="dxa" w:w="4421"/>
            <w:shd w:val="clear" w:color="auto" w:fill="1F3964"/>
          </w:tcPr>
          <w:p>
            <w:r>
              <w:rPr>
                <w:b/>
                <w:color w:val="FFFFFF"/>
              </w:rPr>
              <w:t>Suggested Fee</w:t>
            </w:r>
          </w:p>
        </w:tc>
      </w:tr>
      <w:tr>
        <w:tc>
          <w:tcPr>
            <w:tcW w:type="dxa" w:w="4421"/>
            <w:shd w:val="clear" w:color="auto" w:fill="E9EEF6"/>
          </w:tcPr>
          <w:p>
            <w:r>
              <w:t>Single haul (in or out)</w:t>
            </w:r>
          </w:p>
        </w:tc>
        <w:tc>
          <w:tcPr>
            <w:tcW w:type="dxa" w:w="4421"/>
            <w:shd w:val="clear" w:color="auto" w:fill="E9EEF6"/>
          </w:tcPr>
          <w:p>
            <w:r>
              <w:t>£80–£120</w:t>
            </w:r>
          </w:p>
        </w:tc>
      </w:tr>
      <w:tr>
        <w:tc>
          <w:tcPr>
            <w:tcW w:type="dxa" w:w="4421"/>
          </w:tcPr>
          <w:p>
            <w:r>
              <w:t>Combined in + out (e.g. week antifouling)</w:t>
            </w:r>
          </w:p>
        </w:tc>
        <w:tc>
          <w:tcPr>
            <w:tcW w:type="dxa" w:w="4421"/>
          </w:tcPr>
          <w:p>
            <w:r>
              <w:t>£150–£200</w:t>
            </w:r>
          </w:p>
        </w:tc>
      </w:tr>
      <w:tr>
        <w:tc>
          <w:tcPr>
            <w:tcW w:type="dxa" w:w="4421"/>
            <w:shd w:val="clear" w:color="auto" w:fill="E9EEF6"/>
          </w:tcPr>
          <w:p>
            <w:r>
              <w:t>Hardstanding storage (per day)</w:t>
            </w:r>
          </w:p>
        </w:tc>
        <w:tc>
          <w:tcPr>
            <w:tcW w:type="dxa" w:w="4421"/>
            <w:shd w:val="clear" w:color="auto" w:fill="E9EEF6"/>
          </w:tcPr>
          <w:p>
            <w:r>
              <w:t>£8–£15</w:t>
            </w:r>
          </w:p>
        </w:tc>
      </w:tr>
      <w:tr>
        <w:tc>
          <w:tcPr>
            <w:tcW w:type="dxa" w:w="4421"/>
          </w:tcPr>
          <w:p>
            <w:r>
              <w:t>Hardstanding storage (per month, seasonal)</w:t>
            </w:r>
          </w:p>
        </w:tc>
        <w:tc>
          <w:tcPr>
            <w:tcW w:type="dxa" w:w="4421"/>
          </w:tcPr>
          <w:p>
            <w:r>
              <w:t>£100–£200</w:t>
            </w:r>
          </w:p>
        </w:tc>
      </w:tr>
      <w:tr>
        <w:tc>
          <w:tcPr>
            <w:tcW w:type="dxa" w:w="4421"/>
            <w:shd w:val="clear" w:color="auto" w:fill="E9EEF6"/>
          </w:tcPr>
          <w:p>
            <w:r>
              <w:t>Jet wash (boat bottom)</w:t>
            </w:r>
          </w:p>
        </w:tc>
        <w:tc>
          <w:tcPr>
            <w:tcW w:type="dxa" w:w="4421"/>
            <w:shd w:val="clear" w:color="auto" w:fill="E9EEF6"/>
          </w:tcPr>
          <w:p>
            <w:r>
              <w:t>£25–£50</w:t>
            </w:r>
          </w:p>
        </w:tc>
      </w:tr>
      <w:tr>
        <w:tc>
          <w:tcPr>
            <w:tcW w:type="dxa" w:w="4421"/>
          </w:tcPr>
          <w:p>
            <w:r>
              <w:t>Mast stepping / unstepping</w:t>
            </w:r>
          </w:p>
        </w:tc>
        <w:tc>
          <w:tcPr>
            <w:tcW w:type="dxa" w:w="4421"/>
          </w:tcPr>
          <w:p>
            <w:r>
              <w:t>£30–£60</w:t>
            </w:r>
          </w:p>
        </w:tc>
      </w:tr>
    </w:tbl>
    <w:p/>
    <w:p>
      <w:r>
        <w:rPr>
          <w:b/>
        </w:rPr>
        <w:t>Break-even:</w:t>
      </w:r>
      <w:r>
        <w:t xml:space="preserve"> The club currently absorbs £8,000–£9,000/year in crane hire costs for 20–25 boats (2 events × £150–£175/boat). Self-operating eliminates this cost. At a capital cost of £25,000 (mid-range), the facility pays for itself in approximately 3–4 years from event savings alone. Individual on-demand haulouts at £150–£200 per boat generate additional income.</w:t>
      </w:r>
    </w:p>
    <w:p>
      <w:r>
        <w:br w:type="page"/>
      </w:r>
    </w:p>
    <w:p>
      <w:pPr>
        <w:pStyle w:val="Heading1"/>
      </w:pPr>
      <w:r>
        <w:rPr>
          <w:color w:val="1F3964"/>
          <w:sz w:val="36"/>
        </w:rPr>
        <w:t>Option 2: Marine Travel Lift (Self-Propelled Boat Hoist)</w:t>
      </w:r>
    </w:p>
    <w:p>
      <w:pPr>
        <w:pStyle w:val="Heading2"/>
      </w:pPr>
      <w:r>
        <w:rPr>
          <w:color w:val="1F3964"/>
          <w:sz w:val="28"/>
        </w:rPr>
        <w:t>Description</w:t>
      </w:r>
    </w:p>
    <w:p>
      <w:r>
        <w:t>A self-propelled straddle hoist ("travel lift") is the professional standard used by marinas and larger yacht clubs. It straddles the vessel on two parallel slings, lifts it clear of the water, and drives it to a hardstanding area. It operates from a dedicated concrete haulout bay or channel.</w:t>
      </w:r>
    </w:p>
    <w:p>
      <w:pPr>
        <w:pStyle w:val="Heading2"/>
      </w:pPr>
      <w:r>
        <w:rPr>
          <w:color w:val="1F3964"/>
          <w:sz w:val="28"/>
        </w:rPr>
        <w:t>Infrastructure Requirements</w:t>
      </w:r>
    </w:p>
    <w:p>
      <w:r>
        <w:t>This is the significant constraint at AYC. A travel lift requires either:</w:t>
      </w:r>
    </w:p>
    <w:p>
      <w:pPr>
        <w:pStyle w:val="ListBullet"/>
        <w:ind w:left="360"/>
      </w:pPr>
      <w:r>
        <w:t>A dedicated concrete haulout bay/channel dredged to sufficient depth (1.5m+ LAT), with reinforced concrete quay walls. Estimated civil engineering cost: £40,000–£120,000, plus Environment Agency / MHCLG permits, Harbour Commissioner consent, and potentially planning permission.</w:t>
      </w:r>
    </w:p>
    <w:p>
      <w:pPr>
        <w:pStyle w:val="ListBullet"/>
        <w:ind w:left="360"/>
      </w:pPr>
      <w:r>
        <w:t>Significant deepening and widening of the dinghy pen slipway using the club's existing dredger. The club would likely need Environment Agency consent and Harbour Commissioner approval. Timeline: 12–24 months for approvals, plus works costs.</w:t>
      </w:r>
    </w:p>
    <w:p>
      <w:pPr>
        <w:pStyle w:val="Heading2"/>
      </w:pPr>
      <w:r>
        <w:rPr>
          <w:color w:val="1F3964"/>
          <w:sz w:val="28"/>
        </w:rPr>
        <w:t>Equipment and Sourcing</w:t>
      </w:r>
    </w:p>
    <w:p>
      <w:r>
        <w:t>For 32ft yachts up to approximately 10–12 tonnes, a 15–20T capacity travel lift is appropriate.</w:t>
      </w:r>
    </w:p>
    <w:tbl>
      <w:tblPr>
        <w:tblStyle w:val="TableGrid"/>
        <w:tblW w:type="auto" w:w="0"/>
        <w:tblLook w:firstColumn="1" w:firstRow="1" w:lastColumn="0" w:lastRow="0" w:noHBand="0" w:noVBand="1" w:val="04A0"/>
      </w:tblPr>
      <w:tblGrid>
        <w:gridCol w:w="2947"/>
        <w:gridCol w:w="2947"/>
        <w:gridCol w:w="2947"/>
      </w:tblGrid>
      <w:tr>
        <w:tc>
          <w:tcPr>
            <w:tcW w:type="dxa" w:w="2947"/>
            <w:shd w:val="clear" w:color="auto" w:fill="1F3964"/>
          </w:tcPr>
          <w:p>
            <w:r>
              <w:rPr>
                <w:b/>
                <w:color w:val="FFFFFF"/>
              </w:rPr>
              <w:t>Route</w:t>
            </w:r>
          </w:p>
        </w:tc>
        <w:tc>
          <w:tcPr>
            <w:tcW w:type="dxa" w:w="2947"/>
            <w:shd w:val="clear" w:color="auto" w:fill="1F3964"/>
          </w:tcPr>
          <w:p>
            <w:r>
              <w:rPr>
                <w:b/>
                <w:color w:val="FFFFFF"/>
              </w:rPr>
              <w:t>Specification</w:t>
            </w:r>
          </w:p>
        </w:tc>
        <w:tc>
          <w:tcPr>
            <w:tcW w:type="dxa" w:w="2947"/>
            <w:shd w:val="clear" w:color="auto" w:fill="1F3964"/>
          </w:tcPr>
          <w:p>
            <w:r>
              <w:rPr>
                <w:b/>
                <w:color w:val="FFFFFF"/>
              </w:rPr>
              <w:t>Cost</w:t>
            </w:r>
          </w:p>
        </w:tc>
      </w:tr>
      <w:tr>
        <w:tc>
          <w:tcPr>
            <w:tcW w:type="dxa" w:w="2947"/>
            <w:shd w:val="clear" w:color="auto" w:fill="E9EEF6"/>
          </w:tcPr>
          <w:p>
            <w:r>
              <w:t>New 15T–20T</w:t>
            </w:r>
          </w:p>
        </w:tc>
        <w:tc>
          <w:tcPr>
            <w:tcW w:type="dxa" w:w="2947"/>
            <w:shd w:val="clear" w:color="auto" w:fill="E9EEF6"/>
          </w:tcPr>
          <w:p>
            <w:r>
              <w:t>Marine Travelift (USA), Wise (Italy), Ascom, Cimolai</w:t>
            </w:r>
          </w:p>
        </w:tc>
        <w:tc>
          <w:tcPr>
            <w:tcW w:type="dxa" w:w="2947"/>
            <w:shd w:val="clear" w:color="auto" w:fill="E9EEF6"/>
          </w:tcPr>
          <w:p>
            <w:r>
              <w:t>£90,000–£180,000 + VAT</w:t>
            </w:r>
          </w:p>
        </w:tc>
      </w:tr>
      <w:tr>
        <w:tc>
          <w:tcPr>
            <w:tcW w:type="dxa" w:w="2947"/>
          </w:tcPr>
          <w:p>
            <w:r>
              <w:t>Used 15T–20T</w:t>
            </w:r>
          </w:p>
        </w:tc>
        <w:tc>
          <w:tcPr>
            <w:tcW w:type="dxa" w:w="2947"/>
          </w:tcPr>
          <w:p>
            <w:r>
              <w:t>UK marina surplus, European brokerage</w:t>
            </w:r>
          </w:p>
        </w:tc>
        <w:tc>
          <w:tcPr>
            <w:tcW w:type="dxa" w:w="2947"/>
          </w:tcPr>
          <w:p>
            <w:r>
              <w:t>£20,000–£65,000</w:t>
            </w:r>
          </w:p>
        </w:tc>
      </w:tr>
    </w:tbl>
    <w:p/>
    <w:p>
      <w:r>
        <w:t>Sources for used lifts: Boats.net, YachtWorld, specialist marine equipment brokers.</w:t>
      </w:r>
    </w:p>
    <w:p>
      <w:r>
        <w:rPr>
          <w:b/>
        </w:rPr>
        <w:t>Total estimated cost including infrastructure:</w:t>
      </w:r>
      <w:r>
        <w:t xml:space="preserve"> £60,000–£300,000+</w:t>
      </w:r>
    </w:p>
    <w:p>
      <w:pPr>
        <w:pStyle w:val="Heading2"/>
      </w:pPr>
      <w:r>
        <w:rPr>
          <w:color w:val="1F3964"/>
          <w:sz w:val="28"/>
        </w:rPr>
        <w:t>Assessment</w:t>
      </w:r>
    </w:p>
    <w:p>
      <w:r>
        <w:t>A travel lift is the aspirational long-term solution and offers the greatest operational flexibility, including the potential to service boats from neighbouring clubs (additional revenue). However, the combination of civil engineering costs, permitting requirements, and capital outlay makes this disproportionate to AYC's current reserves and unfunded maintenance obligations. Recommended as a long-term Phase 2 investment once Option 1 is established and the club's financial position is stronger.</w:t>
      </w:r>
    </w:p>
    <w:p>
      <w:r>
        <w:br w:type="page"/>
      </w:r>
    </w:p>
    <w:p>
      <w:pPr>
        <w:pStyle w:val="Heading1"/>
      </w:pPr>
      <w:r>
        <w:rPr>
          <w:color w:val="1F3964"/>
          <w:sz w:val="36"/>
        </w:rPr>
        <w:t>Option 3: Enhanced Seasonal Crane Hire Programme</w:t>
      </w:r>
    </w:p>
    <w:p>
      <w:pPr>
        <w:pStyle w:val="Heading2"/>
      </w:pPr>
      <w:r>
        <w:rPr>
          <w:color w:val="1F3964"/>
          <w:sz w:val="28"/>
        </w:rPr>
        <w:t>Description</w:t>
      </w:r>
    </w:p>
    <w:p>
      <w:r>
        <w:t>Retain the current contracted crane hire arrangement but expand from one annual event to two or three events per year — adding a summer crane-out (June/July) for antifouling and light maintenance, with more structured booking and fee recovery.</w:t>
      </w:r>
    </w:p>
    <w:p>
      <w:pPr>
        <w:pStyle w:val="Heading2"/>
      </w:pPr>
      <w:r>
        <w:rPr>
          <w:color w:val="1F3964"/>
          <w:sz w:val="28"/>
        </w:rPr>
        <w:t>How it Works</w:t>
      </w:r>
    </w:p>
    <w:p>
      <w:pPr>
        <w:pStyle w:val="ListBullet"/>
        <w:ind w:left="360"/>
      </w:pPr>
      <w:r>
        <w:t>Negotiate a multi-year framework contract with the current crane hire contractor.</w:t>
      </w:r>
    </w:p>
    <w:p>
      <w:pPr>
        <w:pStyle w:val="ListBullet"/>
        <w:ind w:left="360"/>
      </w:pPr>
      <w:r>
        <w:t>Add a June/July event (approx. 15–25 boats) for antifouling.</w:t>
      </w:r>
    </w:p>
    <w:p>
      <w:pPr>
        <w:pStyle w:val="ListBullet"/>
        <w:ind w:left="360"/>
      </w:pPr>
      <w:r>
        <w:t>Introduce an optional express half-day lift for boats wanting 2–3 days out.</w:t>
      </w:r>
    </w:p>
    <w:p>
      <w:pPr>
        <w:pStyle w:val="ListBullet"/>
        <w:ind w:left="360"/>
      </w:pPr>
      <w:r>
        <w:t>Improve booking and pre-payment systems.</w:t>
      </w:r>
    </w:p>
    <w:p>
      <w:pPr>
        <w:pStyle w:val="Heading2"/>
      </w:pPr>
      <w:r>
        <w:rPr>
          <w:color w:val="1F3964"/>
          <w:sz w:val="28"/>
        </w:rPr>
        <w:t>Costs</w:t>
      </w:r>
    </w:p>
    <w:tbl>
      <w:tblPr>
        <w:tblStyle w:val="TableGrid"/>
        <w:tblW w:type="auto" w:w="0"/>
        <w:tblLook w:firstColumn="1" w:firstRow="1" w:lastColumn="0" w:lastRow="0" w:noHBand="0" w:noVBand="1" w:val="04A0"/>
      </w:tblPr>
      <w:tblGrid>
        <w:gridCol w:w="4421"/>
        <w:gridCol w:w="4421"/>
      </w:tblGrid>
      <w:tr>
        <w:tc>
          <w:tcPr>
            <w:tcW w:type="dxa" w:w="4421"/>
            <w:shd w:val="clear" w:color="auto" w:fill="1F3964"/>
          </w:tcPr>
          <w:p>
            <w:r>
              <w:rPr>
                <w:b/>
                <w:color w:val="FFFFFF"/>
              </w:rPr>
              <w:t>Item</w:t>
            </w:r>
          </w:p>
        </w:tc>
        <w:tc>
          <w:tcPr>
            <w:tcW w:type="dxa" w:w="4421"/>
            <w:shd w:val="clear" w:color="auto" w:fill="1F3964"/>
          </w:tcPr>
          <w:p>
            <w:r>
              <w:rPr>
                <w:b/>
                <w:color w:val="FFFFFF"/>
              </w:rPr>
              <w:t>Cost</w:t>
            </w:r>
          </w:p>
        </w:tc>
      </w:tr>
      <w:tr>
        <w:tc>
          <w:tcPr>
            <w:tcW w:type="dxa" w:w="4421"/>
            <w:shd w:val="clear" w:color="auto" w:fill="E9EEF6"/>
          </w:tcPr>
          <w:p>
            <w:r>
              <w:t>Additional summer crane event (gross)</w:t>
            </w:r>
          </w:p>
        </w:tc>
        <w:tc>
          <w:tcPr>
            <w:tcW w:type="dxa" w:w="4421"/>
            <w:shd w:val="clear" w:color="auto" w:fill="E9EEF6"/>
          </w:tcPr>
          <w:p>
            <w:r>
              <w:t>£3,000–£6,000</w:t>
            </w:r>
          </w:p>
        </w:tc>
      </w:tr>
      <w:tr>
        <w:tc>
          <w:tcPr>
            <w:tcW w:type="dxa" w:w="4421"/>
          </w:tcPr>
          <w:p>
            <w:r>
              <w:t>Owner cost per event</w:t>
            </w:r>
          </w:p>
        </w:tc>
        <w:tc>
          <w:tcPr>
            <w:tcW w:type="dxa" w:w="4421"/>
          </w:tcPr>
          <w:p>
            <w:r>
              <w:t>£150–£250/boat</w:t>
            </w:r>
          </w:p>
        </w:tc>
      </w:tr>
      <w:tr>
        <w:tc>
          <w:tcPr>
            <w:tcW w:type="dxa" w:w="4421"/>
            <w:shd w:val="clear" w:color="auto" w:fill="E9EEF6"/>
          </w:tcPr>
          <w:p>
            <w:r>
              <w:t>Capital equipment</w:t>
            </w:r>
          </w:p>
        </w:tc>
        <w:tc>
          <w:tcPr>
            <w:tcW w:type="dxa" w:w="4421"/>
            <w:shd w:val="clear" w:color="auto" w:fill="E9EEF6"/>
          </w:tcPr>
          <w:p>
            <w:r>
              <w:t>£0</w:t>
            </w:r>
          </w:p>
        </w:tc>
      </w:tr>
    </w:tbl>
    <w:p/>
    <w:p>
      <w:pPr>
        <w:pStyle w:val="Heading2"/>
      </w:pPr>
      <w:r>
        <w:rPr>
          <w:color w:val="1F3964"/>
          <w:sz w:val="28"/>
        </w:rPr>
        <w:t>Limitations</w:t>
      </w:r>
    </w:p>
    <w:p>
      <w:pPr>
        <w:pStyle w:val="ListBullet"/>
        <w:ind w:left="360"/>
      </w:pPr>
      <w:r>
        <w:t>Does not meet the stated goal of on-demand access for owners.</w:t>
      </w:r>
    </w:p>
    <w:p>
      <w:pPr>
        <w:pStyle w:val="ListBullet"/>
        <w:ind w:left="360"/>
      </w:pPr>
      <w:r>
        <w:t>Continues reliance on external contractor availability, scheduling, and pricing.</w:t>
      </w:r>
    </w:p>
    <w:p>
      <w:pPr>
        <w:pStyle w:val="ListBullet"/>
        <w:ind w:left="360"/>
      </w:pPr>
      <w:r>
        <w:t>No club asset created; no long-term cost reduction.</w:t>
      </w:r>
    </w:p>
    <w:p>
      <w:pPr>
        <w:pStyle w:val="ListBullet"/>
        <w:ind w:left="360"/>
      </w:pPr>
      <w:r>
        <w:t>Cannot accommodate urgent or ad-hoc individual requests.</w:t>
      </w:r>
    </w:p>
    <w:p>
      <w:pPr>
        <w:pStyle w:val="Heading2"/>
      </w:pPr>
      <w:r>
        <w:rPr>
          <w:color w:val="1F3964"/>
          <w:sz w:val="28"/>
        </w:rPr>
        <w:t>Assessment</w:t>
      </w:r>
    </w:p>
    <w:p>
      <w:r>
        <w:t>Lowest risk, lowest cost option but provides the least capability improvement. Best used as an interim measure for the current season while Option 1 is being planned and sourced, rather than as a permanent solution. Can be implemented immediately with a single call to the crane contractor.</w:t>
      </w:r>
    </w:p>
    <w:p>
      <w:r>
        <w:br w:type="page"/>
      </w:r>
    </w:p>
    <w:p>
      <w:pPr>
        <w:pStyle w:val="Heading1"/>
      </w:pPr>
      <w:r>
        <w:rPr>
          <w:color w:val="1F3964"/>
          <w:sz w:val="36"/>
        </w:rPr>
        <w:t>Risks and Opportunities</w:t>
      </w:r>
    </w:p>
    <w:p>
      <w:pPr>
        <w:pStyle w:val="Heading2"/>
      </w:pPr>
      <w:r>
        <w:rPr>
          <w:color w:val="1F3964"/>
          <w:sz w:val="28"/>
        </w:rPr>
        <w:t>Risks</w:t>
      </w:r>
    </w:p>
    <w:tbl>
      <w:tblPr>
        <w:tblStyle w:val="TableGrid"/>
        <w:tblW w:type="auto" w:w="0"/>
        <w:tblLook w:firstColumn="1" w:firstRow="1" w:lastColumn="0" w:lastRow="0" w:noHBand="0" w:noVBand="1" w:val="04A0"/>
      </w:tblPr>
      <w:tblGrid>
        <w:gridCol w:w="2210"/>
        <w:gridCol w:w="2210"/>
        <w:gridCol w:w="2210"/>
        <w:gridCol w:w="2210"/>
      </w:tblGrid>
      <w:tr>
        <w:tc>
          <w:tcPr>
            <w:tcW w:type="dxa" w:w="2210"/>
            <w:shd w:val="clear" w:color="auto" w:fill="1F3964"/>
          </w:tcPr>
          <w:p>
            <w:r>
              <w:rPr>
                <w:b/>
                <w:color w:val="FFFFFF"/>
              </w:rPr>
              <w:t>Risk</w:t>
            </w:r>
          </w:p>
        </w:tc>
        <w:tc>
          <w:tcPr>
            <w:tcW w:type="dxa" w:w="2210"/>
            <w:shd w:val="clear" w:color="auto" w:fill="1F3964"/>
          </w:tcPr>
          <w:p>
            <w:r>
              <w:rPr>
                <w:b/>
                <w:color w:val="FFFFFF"/>
              </w:rPr>
              <w:t>Likelihood</w:t>
            </w:r>
          </w:p>
        </w:tc>
        <w:tc>
          <w:tcPr>
            <w:tcW w:type="dxa" w:w="2210"/>
            <w:shd w:val="clear" w:color="auto" w:fill="1F3964"/>
          </w:tcPr>
          <w:p>
            <w:r>
              <w:rPr>
                <w:b/>
                <w:color w:val="FFFFFF"/>
              </w:rPr>
              <w:t>Impact</w:t>
            </w:r>
          </w:p>
        </w:tc>
        <w:tc>
          <w:tcPr>
            <w:tcW w:type="dxa" w:w="2210"/>
            <w:shd w:val="clear" w:color="auto" w:fill="1F3964"/>
          </w:tcPr>
          <w:p>
            <w:r>
              <w:rPr>
                <w:b/>
                <w:color w:val="FFFFFF"/>
              </w:rPr>
              <w:t>Mitigation</w:t>
            </w:r>
          </w:p>
        </w:tc>
      </w:tr>
      <w:tr>
        <w:tc>
          <w:tcPr>
            <w:tcW w:type="dxa" w:w="2210"/>
            <w:shd w:val="clear" w:color="auto" w:fill="E9EEF6"/>
          </w:tcPr>
          <w:p>
            <w:r>
              <w:t>H&amp;S incident during haul or launch</w:t>
            </w:r>
          </w:p>
        </w:tc>
        <w:tc>
          <w:tcPr>
            <w:tcW w:type="dxa" w:w="2210"/>
            <w:shd w:val="clear" w:color="auto" w:fill="E9EEF6"/>
          </w:tcPr>
          <w:p>
            <w:r>
              <w:t>Medium</w:t>
            </w:r>
          </w:p>
        </w:tc>
        <w:tc>
          <w:tcPr>
            <w:tcW w:type="dxa" w:w="2210"/>
            <w:shd w:val="clear" w:color="auto" w:fill="E9EEF6"/>
          </w:tcPr>
          <w:p>
            <w:r>
              <w:t>High</w:t>
            </w:r>
          </w:p>
        </w:tc>
        <w:tc>
          <w:tcPr>
            <w:tcW w:type="dxa" w:w="2210"/>
            <w:shd w:val="clear" w:color="auto" w:fill="E9EEF6"/>
          </w:tcPr>
          <w:p>
            <w:r>
              <w:t>Written SOP and risk assessment; trained operators only; spotter mandatory; owner indemnity form</w:t>
            </w:r>
          </w:p>
        </w:tc>
      </w:tr>
      <w:tr>
        <w:tc>
          <w:tcPr>
            <w:tcW w:type="dxa" w:w="2210"/>
          </w:tcPr>
          <w:p>
            <w:r>
              <w:t>Volunteer unavailability for lifts</w:t>
            </w:r>
          </w:p>
        </w:tc>
        <w:tc>
          <w:tcPr>
            <w:tcW w:type="dxa" w:w="2210"/>
          </w:tcPr>
          <w:p>
            <w:r>
              <w:t>Medium</w:t>
            </w:r>
          </w:p>
        </w:tc>
        <w:tc>
          <w:tcPr>
            <w:tcW w:type="dxa" w:w="2210"/>
          </w:tcPr>
          <w:p>
            <w:r>
              <w:t>Medium</w:t>
            </w:r>
          </w:p>
        </w:tc>
        <w:tc>
          <w:tcPr>
            <w:tcW w:type="dxa" w:w="2210"/>
          </w:tcPr>
          <w:p>
            <w:r>
              <w:t>Build a roster of 6+ trained volunteers; consider occasional paid cover for busy periods</w:t>
            </w:r>
          </w:p>
        </w:tc>
      </w:tr>
      <w:tr>
        <w:tc>
          <w:tcPr>
            <w:tcW w:type="dxa" w:w="2210"/>
            <w:shd w:val="clear" w:color="auto" w:fill="E9EEF6"/>
          </w:tcPr>
          <w:p>
            <w:r>
              <w:t>Insurance gap or claim</w:t>
            </w:r>
          </w:p>
        </w:tc>
        <w:tc>
          <w:tcPr>
            <w:tcW w:type="dxa" w:w="2210"/>
            <w:shd w:val="clear" w:color="auto" w:fill="E9EEF6"/>
          </w:tcPr>
          <w:p>
            <w:r>
              <w:t>Medium</w:t>
            </w:r>
          </w:p>
        </w:tc>
        <w:tc>
          <w:tcPr>
            <w:tcW w:type="dxa" w:w="2210"/>
            <w:shd w:val="clear" w:color="auto" w:fill="E9EEF6"/>
          </w:tcPr>
          <w:p>
            <w:r>
              <w:t>High</w:t>
            </w:r>
          </w:p>
        </w:tc>
        <w:tc>
          <w:tcPr>
            <w:tcW w:type="dxa" w:w="2210"/>
            <w:shd w:val="clear" w:color="auto" w:fill="E9EEF6"/>
          </w:tcPr>
          <w:p>
            <w:r>
              <w:t>Notify insurers before any operation; obtain written confirmation of cover</w:t>
            </w:r>
          </w:p>
        </w:tc>
      </w:tr>
      <w:tr>
        <w:tc>
          <w:tcPr>
            <w:tcW w:type="dxa" w:w="2210"/>
          </w:tcPr>
          <w:p>
            <w:r>
              <w:t>Trailer unsuitable for specific keel types</w:t>
            </w:r>
          </w:p>
        </w:tc>
        <w:tc>
          <w:tcPr>
            <w:tcW w:type="dxa" w:w="2210"/>
          </w:tcPr>
          <w:p>
            <w:r>
              <w:t>Low–Medium</w:t>
            </w:r>
          </w:p>
        </w:tc>
        <w:tc>
          <w:tcPr>
            <w:tcW w:type="dxa" w:w="2210"/>
          </w:tcPr>
          <w:p>
            <w:r>
              <w:t>Medium</w:t>
            </w:r>
          </w:p>
        </w:tc>
        <w:tc>
          <w:tcPr>
            <w:tcW w:type="dxa" w:w="2210"/>
          </w:tcPr>
          <w:p>
            <w:r>
              <w:t>Survey representative club keel types before purchase; request builder advice</w:t>
            </w:r>
          </w:p>
        </w:tc>
      </w:tr>
      <w:tr>
        <w:tc>
          <w:tcPr>
            <w:tcW w:type="dxa" w:w="2210"/>
            <w:shd w:val="clear" w:color="auto" w:fill="E9EEF6"/>
          </w:tcPr>
          <w:p>
            <w:r>
              <w:t>Slipway structural deficiency</w:t>
            </w:r>
          </w:p>
        </w:tc>
        <w:tc>
          <w:tcPr>
            <w:tcW w:type="dxa" w:w="2210"/>
            <w:shd w:val="clear" w:color="auto" w:fill="E9EEF6"/>
          </w:tcPr>
          <w:p>
            <w:r>
              <w:t>Low</w:t>
            </w:r>
          </w:p>
        </w:tc>
        <w:tc>
          <w:tcPr>
            <w:tcW w:type="dxa" w:w="2210"/>
            <w:shd w:val="clear" w:color="auto" w:fill="E9EEF6"/>
          </w:tcPr>
          <w:p>
            <w:r>
              <w:t>Medium</w:t>
            </w:r>
          </w:p>
        </w:tc>
        <w:tc>
          <w:tcPr>
            <w:tcW w:type="dxa" w:w="2210"/>
            <w:shd w:val="clear" w:color="auto" w:fill="E9EEF6"/>
          </w:tcPr>
          <w:p>
            <w:r>
              <w:t>Commission survey before committing to procurement</w:t>
            </w:r>
          </w:p>
        </w:tc>
      </w:tr>
      <w:tr>
        <w:tc>
          <w:tcPr>
            <w:tcW w:type="dxa" w:w="2210"/>
          </w:tcPr>
          <w:p>
            <w:r>
              <w:t>Planning or environmental consent needed</w:t>
            </w:r>
          </w:p>
        </w:tc>
        <w:tc>
          <w:tcPr>
            <w:tcW w:type="dxa" w:w="2210"/>
          </w:tcPr>
          <w:p>
            <w:r>
              <w:t>Low–Medium</w:t>
            </w:r>
          </w:p>
        </w:tc>
        <w:tc>
          <w:tcPr>
            <w:tcW w:type="dxa" w:w="2210"/>
          </w:tcPr>
          <w:p>
            <w:r>
              <w:t>High</w:t>
            </w:r>
          </w:p>
        </w:tc>
        <w:tc>
          <w:tcPr>
            <w:tcW w:type="dxa" w:w="2210"/>
          </w:tcPr>
          <w:p>
            <w:r>
              <w:t>Check with WSCC and Environment Agency before any permanent structure or dredging</w:t>
            </w:r>
          </w:p>
        </w:tc>
      </w:tr>
      <w:tr>
        <w:tc>
          <w:tcPr>
            <w:tcW w:type="dxa" w:w="2210"/>
            <w:shd w:val="clear" w:color="auto" w:fill="E9EEF6"/>
          </w:tcPr>
          <w:p>
            <w:r>
              <w:t>CASC compliance risk from fee income</w:t>
            </w:r>
          </w:p>
        </w:tc>
        <w:tc>
          <w:tcPr>
            <w:tcW w:type="dxa" w:w="2210"/>
            <w:shd w:val="clear" w:color="auto" w:fill="E9EEF6"/>
          </w:tcPr>
          <w:p>
            <w:r>
              <w:t>Low</w:t>
            </w:r>
          </w:p>
        </w:tc>
        <w:tc>
          <w:tcPr>
            <w:tcW w:type="dxa" w:w="2210"/>
            <w:shd w:val="clear" w:color="auto" w:fill="E9EEF6"/>
          </w:tcPr>
          <w:p>
            <w:r>
              <w:t>Medium</w:t>
            </w:r>
          </w:p>
        </w:tc>
        <w:tc>
          <w:tcPr>
            <w:tcW w:type="dxa" w:w="2210"/>
            <w:shd w:val="clear" w:color="auto" w:fill="E9EEF6"/>
          </w:tcPr>
          <w:p>
            <w:r>
              <w:t>Seek written HMRC/CASC adviser confirmation that haulout fee income is within CASC rules</w:t>
            </w:r>
          </w:p>
        </w:tc>
      </w:tr>
    </w:tbl>
    <w:p>
      <w:r>
        <w:rPr>
          <w:i/>
          <w:color w:val="606060"/>
          <w:sz w:val="18"/>
        </w:rPr>
        <w:t>Risk register for Option 1 (Tractor/Trailer).</w:t>
      </w:r>
    </w:p>
    <w:p/>
    <w:p>
      <w:pPr>
        <w:pStyle w:val="Heading2"/>
      </w:pPr>
      <w:r>
        <w:rPr>
          <w:color w:val="1F3964"/>
          <w:sz w:val="28"/>
        </w:rPr>
        <w:t>Opportunities</w:t>
      </w:r>
    </w:p>
    <w:tbl>
      <w:tblPr>
        <w:tblStyle w:val="TableGrid"/>
        <w:tblW w:type="auto" w:w="0"/>
        <w:tblLook w:firstColumn="1" w:firstRow="1" w:lastColumn="0" w:lastRow="0" w:noHBand="0" w:noVBand="1" w:val="04A0"/>
      </w:tblPr>
      <w:tblGrid>
        <w:gridCol w:w="4421"/>
        <w:gridCol w:w="4421"/>
      </w:tblGrid>
      <w:tr>
        <w:tc>
          <w:tcPr>
            <w:tcW w:type="dxa" w:w="4421"/>
            <w:shd w:val="clear" w:color="auto" w:fill="1F3964"/>
          </w:tcPr>
          <w:p>
            <w:r>
              <w:rPr>
                <w:b/>
                <w:color w:val="FFFFFF"/>
              </w:rPr>
              <w:t>Opportunity</w:t>
            </w:r>
          </w:p>
        </w:tc>
        <w:tc>
          <w:tcPr>
            <w:tcW w:type="dxa" w:w="4421"/>
            <w:shd w:val="clear" w:color="auto" w:fill="1F3964"/>
          </w:tcPr>
          <w:p>
            <w:r>
              <w:rPr>
                <w:b/>
                <w:color w:val="FFFFFF"/>
              </w:rPr>
              <w:t>Notes</w:t>
            </w:r>
          </w:p>
        </w:tc>
      </w:tr>
      <w:tr>
        <w:tc>
          <w:tcPr>
            <w:tcW w:type="dxa" w:w="4421"/>
            <w:shd w:val="clear" w:color="auto" w:fill="E9EEF6"/>
          </w:tcPr>
          <w:p>
            <w:r>
              <w:t>Additional income from non-members</w:t>
            </w:r>
          </w:p>
        </w:tc>
        <w:tc>
          <w:tcPr>
            <w:tcW w:type="dxa" w:w="4421"/>
            <w:shd w:val="clear" w:color="auto" w:fill="E9EEF6"/>
          </w:tcPr>
          <w:p>
            <w:r>
              <w:t>Offer haulout services to neighbouring clubs, visiting boats, and private owners on the Arun</w:t>
            </w:r>
          </w:p>
        </w:tc>
      </w:tr>
      <w:tr>
        <w:tc>
          <w:tcPr>
            <w:tcW w:type="dxa" w:w="4421"/>
          </w:tcPr>
          <w:p>
            <w:r>
              <w:t>Mast work and stepping facility</w:t>
            </w:r>
          </w:p>
        </w:tc>
        <w:tc>
          <w:tcPr>
            <w:tcW w:type="dxa" w:w="4421"/>
          </w:tcPr>
          <w:p>
            <w:r>
              <w:t>A simple A-frame gin pole (£1,000–£3,000) positioned on the hardstanding enables mast stepping/unstepping at minimal additional cost</w:t>
            </w:r>
          </w:p>
        </w:tc>
      </w:tr>
      <w:tr>
        <w:tc>
          <w:tcPr>
            <w:tcW w:type="dxa" w:w="4421"/>
            <w:shd w:val="clear" w:color="auto" w:fill="E9EEF6"/>
          </w:tcPr>
          <w:p>
            <w:r>
              <w:t>Jet washing facility</w:t>
            </w:r>
          </w:p>
        </w:tc>
        <w:tc>
          <w:tcPr>
            <w:tcW w:type="dxa" w:w="4421"/>
            <w:shd w:val="clear" w:color="auto" w:fill="E9EEF6"/>
          </w:tcPr>
          <w:p>
            <w:r>
              <w:t>Low cost, popular, and simple to operate; dedicated pressure washer on hardstanding</w:t>
            </w:r>
          </w:p>
        </w:tc>
      </w:tr>
      <w:tr>
        <w:tc>
          <w:tcPr>
            <w:tcW w:type="dxa" w:w="4421"/>
          </w:tcPr>
          <w:p>
            <w:r>
              <w:t>Dinghy pen rationalisation</w:t>
            </w:r>
          </w:p>
        </w:tc>
        <w:tc>
          <w:tcPr>
            <w:tcW w:type="dxa" w:w="4421"/>
          </w:tcPr>
          <w:p>
            <w:r>
              <w:t>Clear rarely-used dinghy storage; offer space as additional yacht hardstanding or dinghy storage for paying clubs</w:t>
            </w:r>
          </w:p>
        </w:tc>
      </w:tr>
      <w:tr>
        <w:tc>
          <w:tcPr>
            <w:tcW w:type="dxa" w:w="4421"/>
            <w:shd w:val="clear" w:color="auto" w:fill="E9EEF6"/>
          </w:tcPr>
          <w:p>
            <w:r>
              <w:t>Member retention and attraction</w:t>
            </w:r>
          </w:p>
        </w:tc>
        <w:tc>
          <w:tcPr>
            <w:tcW w:type="dxa" w:w="4421"/>
            <w:shd w:val="clear" w:color="auto" w:fill="E9EEF6"/>
          </w:tcPr>
          <w:p>
            <w:r>
              <w:t>On-demand haulout is a significant differentiator for yacht owners considering berths</w:t>
            </w:r>
          </w:p>
        </w:tc>
      </w:tr>
      <w:tr>
        <w:tc>
          <w:tcPr>
            <w:tcW w:type="dxa" w:w="4421"/>
          </w:tcPr>
          <w:p>
            <w:r>
              <w:t>Increased active sailing / CASC compliance</w:t>
            </w:r>
          </w:p>
        </w:tc>
        <w:tc>
          <w:tcPr>
            <w:tcW w:type="dxa" w:w="4421"/>
          </w:tcPr>
          <w:p>
            <w:r>
              <w:t>Easier maintenance access could encourage more boats to become seaworthy and participate in sailing, helping CASC eligibility</w:t>
            </w:r>
          </w:p>
        </w:tc>
      </w:tr>
      <w:tr>
        <w:tc>
          <w:tcPr>
            <w:tcW w:type="dxa" w:w="4421"/>
            <w:shd w:val="clear" w:color="auto" w:fill="E9EEF6"/>
          </w:tcPr>
          <w:p>
            <w:r>
              <w:t>Addresses poor-condition berths</w:t>
            </w:r>
          </w:p>
        </w:tc>
        <w:tc>
          <w:tcPr>
            <w:tcW w:type="dxa" w:w="4421"/>
            <w:shd w:val="clear" w:color="auto" w:fill="E9EEF6"/>
          </w:tcPr>
          <w:p>
            <w:r>
              <w:t>Structured haulout access, combined with a seaworthiness policy, gives the committee a practical tool to address 10+ unusable yachts</w:t>
            </w:r>
          </w:p>
        </w:tc>
      </w:tr>
    </w:tbl>
    <w:p/>
    <w:p>
      <w:r>
        <w:br w:type="page"/>
      </w:r>
    </w:p>
    <w:p>
      <w:pPr>
        <w:pStyle w:val="Heading1"/>
      </w:pPr>
      <w:r>
        <w:rPr>
          <w:color w:val="1F3964"/>
          <w:sz w:val="36"/>
        </w:rPr>
        <w:t>Option Comparison</w:t>
      </w:r>
    </w:p>
    <w:tbl>
      <w:tblPr>
        <w:tblStyle w:val="TableGrid"/>
        <w:tblW w:type="auto" w:w="0"/>
        <w:tblLook w:firstColumn="1" w:firstRow="1" w:lastColumn="0" w:lastRow="0" w:noHBand="0" w:noVBand="1" w:val="04A0"/>
      </w:tblPr>
      <w:tblGrid>
        <w:gridCol w:w="2210"/>
        <w:gridCol w:w="2210"/>
        <w:gridCol w:w="2210"/>
        <w:gridCol w:w="2210"/>
      </w:tblGrid>
      <w:tr>
        <w:tc>
          <w:tcPr>
            <w:tcW w:type="dxa" w:w="2210"/>
            <w:shd w:val="clear" w:color="auto" w:fill="1F3964"/>
          </w:tcPr>
          <w:p>
            <w:r>
              <w:rPr>
                <w:b/>
                <w:color w:val="FFFFFF"/>
              </w:rPr>
              <w:t>Criterion</w:t>
            </w:r>
          </w:p>
        </w:tc>
        <w:tc>
          <w:tcPr>
            <w:tcW w:type="dxa" w:w="2210"/>
            <w:shd w:val="clear" w:color="auto" w:fill="1F3964"/>
          </w:tcPr>
          <w:p>
            <w:r>
              <w:rPr>
                <w:b/>
                <w:color w:val="FFFFFF"/>
              </w:rPr>
              <w:t>Option 1: Tractor/Trailer</w:t>
            </w:r>
          </w:p>
        </w:tc>
        <w:tc>
          <w:tcPr>
            <w:tcW w:type="dxa" w:w="2210"/>
            <w:shd w:val="clear" w:color="auto" w:fill="1F3964"/>
          </w:tcPr>
          <w:p>
            <w:r>
              <w:rPr>
                <w:b/>
                <w:color w:val="FFFFFF"/>
              </w:rPr>
              <w:t>Option 2: Travel Lift</w:t>
            </w:r>
          </w:p>
        </w:tc>
        <w:tc>
          <w:tcPr>
            <w:tcW w:type="dxa" w:w="2210"/>
            <w:shd w:val="clear" w:color="auto" w:fill="1F3964"/>
          </w:tcPr>
          <w:p>
            <w:r>
              <w:rPr>
                <w:b/>
                <w:color w:val="FFFFFF"/>
              </w:rPr>
              <w:t>Option 3: Enhanced Crane Hire</w:t>
            </w:r>
          </w:p>
        </w:tc>
      </w:tr>
      <w:tr>
        <w:tc>
          <w:tcPr>
            <w:tcW w:type="dxa" w:w="2210"/>
            <w:shd w:val="clear" w:color="auto" w:fill="E9EEF6"/>
          </w:tcPr>
          <w:p>
            <w:r>
              <w:t>Capital cost</w:t>
            </w:r>
          </w:p>
        </w:tc>
        <w:tc>
          <w:tcPr>
            <w:tcW w:type="dxa" w:w="2210"/>
            <w:shd w:val="clear" w:color="auto" w:fill="E9EEF6"/>
          </w:tcPr>
          <w:p>
            <w:r>
              <w:t>£16,000–£45,000</w:t>
            </w:r>
          </w:p>
        </w:tc>
        <w:tc>
          <w:tcPr>
            <w:tcW w:type="dxa" w:w="2210"/>
            <w:shd w:val="clear" w:color="auto" w:fill="E9EEF6"/>
          </w:tcPr>
          <w:p>
            <w:r>
              <w:t>£60,000–£300,000+</w:t>
            </w:r>
          </w:p>
        </w:tc>
        <w:tc>
          <w:tcPr>
            <w:tcW w:type="dxa" w:w="2210"/>
            <w:shd w:val="clear" w:color="auto" w:fill="E9EEF6"/>
          </w:tcPr>
          <w:p>
            <w:r>
              <w:t>£0</w:t>
            </w:r>
          </w:p>
        </w:tc>
      </w:tr>
      <w:tr>
        <w:tc>
          <w:tcPr>
            <w:tcW w:type="dxa" w:w="2210"/>
          </w:tcPr>
          <w:p>
            <w:r>
              <w:t>Annual running cost</w:t>
            </w:r>
          </w:p>
        </w:tc>
        <w:tc>
          <w:tcPr>
            <w:tcW w:type="dxa" w:w="2210"/>
          </w:tcPr>
          <w:p>
            <w:r>
              <w:t>£500–£1,500</w:t>
            </w:r>
          </w:p>
        </w:tc>
        <w:tc>
          <w:tcPr>
            <w:tcW w:type="dxa" w:w="2210"/>
          </w:tcPr>
          <w:p>
            <w:r>
              <w:t>£2,000–£5,000</w:t>
            </w:r>
          </w:p>
        </w:tc>
        <w:tc>
          <w:tcPr>
            <w:tcW w:type="dxa" w:w="2210"/>
          </w:tcPr>
          <w:p>
            <w:r>
              <w:t>£0 (passed to owners)</w:t>
            </w:r>
          </w:p>
        </w:tc>
      </w:tr>
      <w:tr>
        <w:tc>
          <w:tcPr>
            <w:tcW w:type="dxa" w:w="2210"/>
            <w:shd w:val="clear" w:color="auto" w:fill="E9EEF6"/>
          </w:tcPr>
          <w:p>
            <w:r>
              <w:t>On-demand access</w:t>
            </w:r>
          </w:p>
        </w:tc>
        <w:tc>
          <w:tcPr>
            <w:tcW w:type="dxa" w:w="2210"/>
            <w:shd w:val="clear" w:color="auto" w:fill="E9EEF6"/>
          </w:tcPr>
          <w:p>
            <w:r>
              <w:t>Yes</w:t>
            </w:r>
          </w:p>
        </w:tc>
        <w:tc>
          <w:tcPr>
            <w:tcW w:type="dxa" w:w="2210"/>
            <w:shd w:val="clear" w:color="auto" w:fill="E9EEF6"/>
          </w:tcPr>
          <w:p>
            <w:r>
              <w:t>Yes</w:t>
            </w:r>
          </w:p>
        </w:tc>
        <w:tc>
          <w:tcPr>
            <w:tcW w:type="dxa" w:w="2210"/>
            <w:shd w:val="clear" w:color="auto" w:fill="E9EEF6"/>
          </w:tcPr>
          <w:p>
            <w:r>
              <w:t>No</w:t>
            </w:r>
          </w:p>
        </w:tc>
      </w:tr>
      <w:tr>
        <w:tc>
          <w:tcPr>
            <w:tcW w:type="dxa" w:w="2210"/>
          </w:tcPr>
          <w:p>
            <w:r>
              <w:t>Handles all keel types to 32ft</w:t>
            </w:r>
          </w:p>
        </w:tc>
        <w:tc>
          <w:tcPr>
            <w:tcW w:type="dxa" w:w="2210"/>
          </w:tcPr>
          <w:p>
            <w:r>
              <w:t>Yes (correct cradle)</w:t>
            </w:r>
          </w:p>
        </w:tc>
        <w:tc>
          <w:tcPr>
            <w:tcW w:type="dxa" w:w="2210"/>
          </w:tcPr>
          <w:p>
            <w:r>
              <w:t>Yes</w:t>
            </w:r>
          </w:p>
        </w:tc>
        <w:tc>
          <w:tcPr>
            <w:tcW w:type="dxa" w:w="2210"/>
          </w:tcPr>
          <w:p>
            <w:r>
              <w:t>Yes</w:t>
            </w:r>
          </w:p>
        </w:tc>
      </w:tr>
      <w:tr>
        <w:tc>
          <w:tcPr>
            <w:tcW w:type="dxa" w:w="2210"/>
            <w:shd w:val="clear" w:color="auto" w:fill="E9EEF6"/>
          </w:tcPr>
          <w:p>
            <w:r>
              <w:t>Operable by volunteers</w:t>
            </w:r>
          </w:p>
        </w:tc>
        <w:tc>
          <w:tcPr>
            <w:tcW w:type="dxa" w:w="2210"/>
            <w:shd w:val="clear" w:color="auto" w:fill="E9EEF6"/>
          </w:tcPr>
          <w:p>
            <w:r>
              <w:t>Yes (with training)</w:t>
            </w:r>
          </w:p>
        </w:tc>
        <w:tc>
          <w:tcPr>
            <w:tcW w:type="dxa" w:w="2210"/>
            <w:shd w:val="clear" w:color="auto" w:fill="E9EEF6"/>
          </w:tcPr>
          <w:p>
            <w:r>
              <w:t>Yes (with training)</w:t>
            </w:r>
          </w:p>
        </w:tc>
        <w:tc>
          <w:tcPr>
            <w:tcW w:type="dxa" w:w="2210"/>
            <w:shd w:val="clear" w:color="auto" w:fill="E9EEF6"/>
          </w:tcPr>
          <w:p>
            <w:r>
              <w:t>No — external contractor</w:t>
            </w:r>
          </w:p>
        </w:tc>
      </w:tr>
      <w:tr>
        <w:tc>
          <w:tcPr>
            <w:tcW w:type="dxa" w:w="2210"/>
          </w:tcPr>
          <w:p>
            <w:r>
              <w:t>Uses existing infrastructure</w:t>
            </w:r>
          </w:p>
        </w:tc>
        <w:tc>
          <w:tcPr>
            <w:tcW w:type="dxa" w:w="2210"/>
          </w:tcPr>
          <w:p>
            <w:r>
              <w:t>Mostly</w:t>
            </w:r>
          </w:p>
        </w:tc>
        <w:tc>
          <w:tcPr>
            <w:tcW w:type="dxa" w:w="2210"/>
          </w:tcPr>
          <w:p>
            <w:r>
              <w:t>No — new works required</w:t>
            </w:r>
          </w:p>
        </w:tc>
        <w:tc>
          <w:tcPr>
            <w:tcW w:type="dxa" w:w="2210"/>
          </w:tcPr>
          <w:p>
            <w:r>
              <w:t>Yes</w:t>
            </w:r>
          </w:p>
        </w:tc>
      </w:tr>
      <w:tr>
        <w:tc>
          <w:tcPr>
            <w:tcW w:type="dxa" w:w="2210"/>
            <w:shd w:val="clear" w:color="auto" w:fill="E9EEF6"/>
          </w:tcPr>
          <w:p>
            <w:r>
              <w:t>Infrastructure lead time</w:t>
            </w:r>
          </w:p>
        </w:tc>
        <w:tc>
          <w:tcPr>
            <w:tcW w:type="dxa" w:w="2210"/>
            <w:shd w:val="clear" w:color="auto" w:fill="E9EEF6"/>
          </w:tcPr>
          <w:p>
            <w:r>
              <w:t>2–4 months</w:t>
            </w:r>
          </w:p>
        </w:tc>
        <w:tc>
          <w:tcPr>
            <w:tcW w:type="dxa" w:w="2210"/>
            <w:shd w:val="clear" w:color="auto" w:fill="E9EEF6"/>
          </w:tcPr>
          <w:p>
            <w:r>
              <w:t>12–36 months</w:t>
            </w:r>
          </w:p>
        </w:tc>
        <w:tc>
          <w:tcPr>
            <w:tcW w:type="dxa" w:w="2210"/>
            <w:shd w:val="clear" w:color="auto" w:fill="E9EEF6"/>
          </w:tcPr>
          <w:p>
            <w:r>
              <w:t>Immediate</w:t>
            </w:r>
          </w:p>
        </w:tc>
      </w:tr>
      <w:tr>
        <w:tc>
          <w:tcPr>
            <w:tcW w:type="dxa" w:w="2210"/>
          </w:tcPr>
          <w:p>
            <w:r>
              <w:t>Payback (event savings)</w:t>
            </w:r>
          </w:p>
        </w:tc>
        <w:tc>
          <w:tcPr>
            <w:tcW w:type="dxa" w:w="2210"/>
          </w:tcPr>
          <w:p>
            <w:r>
              <w:t>3–6 years</w:t>
            </w:r>
          </w:p>
        </w:tc>
        <w:tc>
          <w:tcPr>
            <w:tcW w:type="dxa" w:w="2210"/>
          </w:tcPr>
          <w:p>
            <w:r>
              <w:t>15–30+ years</w:t>
            </w:r>
          </w:p>
        </w:tc>
        <w:tc>
          <w:tcPr>
            <w:tcW w:type="dxa" w:w="2210"/>
          </w:tcPr>
          <w:p>
            <w:r>
              <w:t>N/A</w:t>
            </w:r>
          </w:p>
        </w:tc>
      </w:tr>
      <w:tr>
        <w:tc>
          <w:tcPr>
            <w:tcW w:type="dxa" w:w="2210"/>
            <w:shd w:val="clear" w:color="auto" w:fill="E9EEF6"/>
          </w:tcPr>
          <w:p>
            <w:r>
              <w:t>Strain on reserves</w:t>
            </w:r>
          </w:p>
        </w:tc>
        <w:tc>
          <w:tcPr>
            <w:tcW w:type="dxa" w:w="2210"/>
            <w:shd w:val="clear" w:color="auto" w:fill="E9EEF6"/>
          </w:tcPr>
          <w:p>
            <w:r>
              <w:t>Low–Medium</w:t>
            </w:r>
          </w:p>
        </w:tc>
        <w:tc>
          <w:tcPr>
            <w:tcW w:type="dxa" w:w="2210"/>
            <w:shd w:val="clear" w:color="auto" w:fill="E9EEF6"/>
          </w:tcPr>
          <w:p>
            <w:r>
              <w:t>High</w:t>
            </w:r>
          </w:p>
        </w:tc>
        <w:tc>
          <w:tcPr>
            <w:tcW w:type="dxa" w:w="2210"/>
            <w:shd w:val="clear" w:color="auto" w:fill="E9EEF6"/>
          </w:tcPr>
          <w:p>
            <w:r>
              <w:t>None</w:t>
            </w:r>
          </w:p>
        </w:tc>
      </w:tr>
      <w:tr>
        <w:tc>
          <w:tcPr>
            <w:tcW w:type="dxa" w:w="2210"/>
          </w:tcPr>
          <w:p>
            <w:r>
              <w:t>Long-term asset created</w:t>
            </w:r>
          </w:p>
        </w:tc>
        <w:tc>
          <w:tcPr>
            <w:tcW w:type="dxa" w:w="2210"/>
          </w:tcPr>
          <w:p>
            <w:r>
              <w:t>Yes</w:t>
            </w:r>
          </w:p>
        </w:tc>
        <w:tc>
          <w:tcPr>
            <w:tcW w:type="dxa" w:w="2210"/>
          </w:tcPr>
          <w:p>
            <w:r>
              <w:t>Yes</w:t>
            </w:r>
          </w:p>
        </w:tc>
        <w:tc>
          <w:tcPr>
            <w:tcW w:type="dxa" w:w="2210"/>
          </w:tcPr>
          <w:p>
            <w:r>
              <w:t>No</w:t>
            </w:r>
          </w:p>
        </w:tc>
      </w:tr>
      <w:tr>
        <w:tc>
          <w:tcPr>
            <w:tcW w:type="dxa" w:w="2210"/>
            <w:shd w:val="clear" w:color="auto" w:fill="E9EEF6"/>
          </w:tcPr>
          <w:p>
            <w:r>
              <w:t>Overall recommendation</w:t>
            </w:r>
          </w:p>
        </w:tc>
        <w:tc>
          <w:tcPr>
            <w:tcW w:type="dxa" w:w="2210"/>
            <w:shd w:val="clear" w:color="auto" w:fill="E9EEF6"/>
          </w:tcPr>
          <w:p>
            <w:r>
              <w:t>RECOMMENDED</w:t>
            </w:r>
          </w:p>
        </w:tc>
        <w:tc>
          <w:tcPr>
            <w:tcW w:type="dxa" w:w="2210"/>
            <w:shd w:val="clear" w:color="auto" w:fill="E9EEF6"/>
          </w:tcPr>
          <w:p>
            <w:r>
              <w:t>Future Phase 2</w:t>
            </w:r>
          </w:p>
        </w:tc>
        <w:tc>
          <w:tcPr>
            <w:tcW w:type="dxa" w:w="2210"/>
            <w:shd w:val="clear" w:color="auto" w:fill="E9EEF6"/>
          </w:tcPr>
          <w:p>
            <w:r>
              <w:t>Interim only</w:t>
            </w:r>
          </w:p>
        </w:tc>
      </w:tr>
    </w:tbl>
    <w:p/>
    <w:p>
      <w:pPr>
        <w:pStyle w:val="Heading1"/>
      </w:pPr>
      <w:r>
        <w:rPr>
          <w:color w:val="1F3964"/>
          <w:sz w:val="36"/>
        </w:rPr>
        <w:t>Recommended Next Steps</w:t>
      </w:r>
    </w:p>
    <w:p>
      <w:pPr>
        <w:pStyle w:val="ListNumber"/>
      </w:pPr>
      <w:r>
        <w:rPr>
          <w:b/>
        </w:rPr>
        <w:t xml:space="preserve">Immediately: </w:t>
      </w:r>
      <w:r>
        <w:t>Add a summer crane event for this season (Option 3 as a bridge) — one call to the crane contractor.</w:t>
      </w:r>
    </w:p>
    <w:p>
      <w:pPr>
        <w:pStyle w:val="ListNumber"/>
      </w:pPr>
      <w:r>
        <w:rPr>
          <w:b/>
        </w:rPr>
        <w:t xml:space="preserve">Within 1 month: </w:t>
      </w:r>
      <w:r>
        <w:t>Appoint a working group of 2–3 members to take forward Option 1 (ideally including someone with farming/plant machinery experience).</w:t>
      </w:r>
    </w:p>
    <w:p>
      <w:pPr>
        <w:pStyle w:val="ListNumber"/>
      </w:pPr>
      <w:r>
        <w:rPr>
          <w:b/>
        </w:rPr>
        <w:t xml:space="preserve">Within 2 months: </w:t>
      </w:r>
      <w:r>
        <w:t>Commission a structural survey of the main slipway. Contact club insurers. Obtain written CASC/HMRC confirmation on fee income.</w:t>
      </w:r>
    </w:p>
    <w:p>
      <w:pPr>
        <w:pStyle w:val="ListNumber"/>
      </w:pPr>
      <w:r>
        <w:rPr>
          <w:b/>
        </w:rPr>
        <w:t xml:space="preserve">Within 3 months: </w:t>
      </w:r>
      <w:r>
        <w:t>Circulate sourcing enquiries to the RYA club network, Boats.net, and local agricultural dealers. Draft a club haulout SOP and risk assessment. Enrol 4–6 volunteers for Lantra tractor competency training.</w:t>
      </w:r>
    </w:p>
    <w:p>
      <w:pPr>
        <w:pStyle w:val="ListNumber"/>
      </w:pPr>
      <w:r>
        <w:rPr>
          <w:b/>
        </w:rPr>
        <w:t xml:space="preserve">Within 6 months: </w:t>
      </w:r>
      <w:r>
        <w:t>Take first haulout with the new equipment — target before October crane-in to demonstrate capability.</w:t>
      </w:r>
    </w:p>
    <w:p/>
    <w:p>
      <w:r>
        <w:rPr>
          <w:i/>
          <w:color w:val="808080"/>
          <w:sz w:val="18"/>
        </w:rPr>
        <w:t>Report prepared May 2026. Costs are estimates based on current UK market rates and should be verified by quotation before commitment.</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