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C38A8A" w14:textId="77777777" w:rsidR="00922E76" w:rsidRDefault="00922E76" w:rsidP="00613FB4">
      <w:pPr>
        <w:jc w:val="center"/>
        <w:rPr>
          <w:rFonts w:ascii="Arial" w:hAnsi="Arial" w:cs="Arial"/>
          <w:b/>
          <w:bCs/>
          <w:sz w:val="28"/>
          <w:szCs w:val="28"/>
          <w:lang w:val="es-PE"/>
        </w:rPr>
      </w:pPr>
    </w:p>
    <w:p w14:paraId="0001A799" w14:textId="12A3A37C" w:rsidR="00C61820" w:rsidRPr="00712E56" w:rsidRDefault="00613FB4" w:rsidP="00613FB4">
      <w:pPr>
        <w:jc w:val="center"/>
        <w:rPr>
          <w:rFonts w:ascii="Arial" w:hAnsi="Arial" w:cs="Arial"/>
          <w:b/>
          <w:bCs/>
          <w:sz w:val="28"/>
          <w:szCs w:val="28"/>
          <w:lang w:val="es-PE"/>
        </w:rPr>
      </w:pPr>
      <w:r w:rsidRPr="00712E56">
        <w:rPr>
          <w:rFonts w:ascii="Arial" w:hAnsi="Arial" w:cs="Arial"/>
          <w:b/>
          <w:bCs/>
          <w:sz w:val="28"/>
          <w:szCs w:val="28"/>
          <w:lang w:val="es-PE"/>
        </w:rPr>
        <w:t>CURSO:</w:t>
      </w:r>
      <w:r w:rsidR="00F73898" w:rsidRPr="00712E56">
        <w:rPr>
          <w:rFonts w:ascii="Arial" w:hAnsi="Arial" w:cs="Arial"/>
          <w:lang w:val="es-PE"/>
        </w:rPr>
        <w:t xml:space="preserve"> </w:t>
      </w:r>
      <w:r w:rsidR="00265352" w:rsidRPr="00265352">
        <w:rPr>
          <w:rFonts w:ascii="Arial" w:hAnsi="Arial" w:cs="Arial"/>
          <w:b/>
          <w:bCs/>
          <w:sz w:val="28"/>
          <w:szCs w:val="28"/>
          <w:lang w:val="es-PE"/>
        </w:rPr>
        <w:t>COMUNICACIONES CORPORATIVAS EN MINERÍA</w:t>
      </w:r>
    </w:p>
    <w:p w14:paraId="2A1E5CFE" w14:textId="0A6F3133" w:rsidR="009A7E03" w:rsidRPr="00265352" w:rsidRDefault="00265352" w:rsidP="00B61B44">
      <w:pPr>
        <w:jc w:val="center"/>
        <w:rPr>
          <w:rFonts w:ascii="Arial" w:hAnsi="Arial" w:cs="Arial"/>
          <w:b/>
          <w:bCs/>
          <w:sz w:val="24"/>
          <w:szCs w:val="24"/>
          <w:lang w:val="uk-UA"/>
        </w:rPr>
      </w:pPr>
      <w:r>
        <w:rPr>
          <w:rFonts w:ascii="Arial" w:hAnsi="Arial" w:cs="Arial"/>
          <w:b/>
          <w:bCs/>
          <w:noProof/>
          <w:sz w:val="24"/>
          <w:szCs w:val="24"/>
          <w:lang w:val="uk-UA"/>
        </w:rPr>
        <w:drawing>
          <wp:inline distT="0" distB="0" distL="0" distR="0" wp14:anchorId="75C2871E" wp14:editId="6F8BB6B4">
            <wp:extent cx="1650253" cy="89535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rotWithShape="1">
                    <a:blip r:embed="rId8" cstate="print">
                      <a:extLst>
                        <a:ext uri="{28A0092B-C50C-407E-A947-70E740481C1C}">
                          <a14:useLocalDpi xmlns:a14="http://schemas.microsoft.com/office/drawing/2010/main" val="0"/>
                        </a:ext>
                      </a:extLst>
                    </a:blip>
                    <a:srcRect l="17686" t="21088" r="18367" b="44218"/>
                    <a:stretch/>
                  </pic:blipFill>
                  <pic:spPr bwMode="auto">
                    <a:xfrm>
                      <a:off x="0" y="0"/>
                      <a:ext cx="1652771" cy="896716"/>
                    </a:xfrm>
                    <a:prstGeom prst="rect">
                      <a:avLst/>
                    </a:prstGeom>
                    <a:ln>
                      <a:noFill/>
                    </a:ln>
                    <a:extLst>
                      <a:ext uri="{53640926-AAD7-44D8-BBD7-CCE9431645EC}">
                        <a14:shadowObscured xmlns:a14="http://schemas.microsoft.com/office/drawing/2010/main"/>
                      </a:ext>
                    </a:extLst>
                  </pic:spPr>
                </pic:pic>
              </a:graphicData>
            </a:graphic>
          </wp:inline>
        </w:drawing>
      </w:r>
    </w:p>
    <w:p w14:paraId="4C215644" w14:textId="77777777" w:rsidR="00F73898" w:rsidRPr="00265352" w:rsidRDefault="00B955C7" w:rsidP="00F73898">
      <w:pPr>
        <w:pStyle w:val="Ttulo4"/>
        <w:rPr>
          <w:rFonts w:ascii="Helvetica" w:hAnsi="Helvetica" w:cs="Arial"/>
          <w:lang w:val="es-PE"/>
        </w:rPr>
      </w:pPr>
      <w:r w:rsidRPr="00265352">
        <w:rPr>
          <w:rFonts w:ascii="Helvetica" w:hAnsi="Helvetica" w:cs="Arial"/>
          <w:lang w:val="es-PE"/>
        </w:rPr>
        <w:t>CONTENIDO</w:t>
      </w:r>
    </w:p>
    <w:p w14:paraId="7770BF9C" w14:textId="77777777" w:rsidR="00265352" w:rsidRPr="00265352" w:rsidRDefault="00265352" w:rsidP="00265352">
      <w:pPr>
        <w:pStyle w:val="Ttulo3"/>
        <w:rPr>
          <w:rFonts w:ascii="Helvetica" w:hAnsi="Helvetica"/>
          <w:b/>
          <w:bCs/>
          <w:color w:val="auto"/>
          <w:lang w:val="es-PE"/>
        </w:rPr>
      </w:pPr>
      <w:r w:rsidRPr="00265352">
        <w:rPr>
          <w:rFonts w:ascii="Helvetica" w:hAnsi="Helvetica"/>
          <w:b/>
          <w:bCs/>
          <w:color w:val="auto"/>
          <w:lang w:val="es-PE"/>
        </w:rPr>
        <w:t>1. FUNDAMENTOS DE LA COMUNICACIÓN CORPORATIVA EN EL SECTOR MINERO</w:t>
      </w:r>
    </w:p>
    <w:p w14:paraId="3B73A860" w14:textId="77777777" w:rsidR="00265352" w:rsidRPr="00265352" w:rsidRDefault="00265352" w:rsidP="00265352">
      <w:pPr>
        <w:pStyle w:val="font-claude-response-body"/>
        <w:spacing w:before="0" w:beforeAutospacing="0"/>
        <w:rPr>
          <w:rFonts w:ascii="Helvetica" w:hAnsi="Helvetica"/>
          <w:lang w:val="es-PE"/>
        </w:rPr>
      </w:pPr>
      <w:r w:rsidRPr="00265352">
        <w:rPr>
          <w:rFonts w:ascii="Helvetica" w:hAnsi="Helvetica"/>
          <w:lang w:val="es-PE"/>
        </w:rPr>
        <w:t>1.1. Introducción a la comunicación corporativa</w:t>
      </w:r>
      <w:r w:rsidRPr="00265352">
        <w:rPr>
          <w:rFonts w:ascii="Helvetica" w:hAnsi="Helvetica"/>
          <w:lang w:val="es-PE"/>
        </w:rPr>
        <w:br/>
        <w:t>1.2. Características específicas del sector minero peruano</w:t>
      </w:r>
      <w:r w:rsidRPr="00265352">
        <w:rPr>
          <w:rFonts w:ascii="Helvetica" w:hAnsi="Helvetica"/>
          <w:lang w:val="es-PE"/>
        </w:rPr>
        <w:br/>
        <w:t xml:space="preserve">1.3. </w:t>
      </w:r>
      <w:proofErr w:type="spellStart"/>
      <w:r w:rsidRPr="00265352">
        <w:rPr>
          <w:rFonts w:ascii="Helvetica" w:hAnsi="Helvetica"/>
          <w:lang w:val="es-PE"/>
        </w:rPr>
        <w:t>Stakeholders</w:t>
      </w:r>
      <w:proofErr w:type="spellEnd"/>
      <w:r w:rsidRPr="00265352">
        <w:rPr>
          <w:rFonts w:ascii="Helvetica" w:hAnsi="Helvetica"/>
          <w:lang w:val="es-PE"/>
        </w:rPr>
        <w:t xml:space="preserve"> clave en la minería peruana</w:t>
      </w:r>
      <w:r w:rsidRPr="00265352">
        <w:rPr>
          <w:rFonts w:ascii="Helvetica" w:hAnsi="Helvetica"/>
          <w:lang w:val="es-PE"/>
        </w:rPr>
        <w:br/>
        <w:t>1.4. Reputación corporativa y gestión de imagen</w:t>
      </w:r>
    </w:p>
    <w:p w14:paraId="6883E9E0" w14:textId="77777777" w:rsidR="00265352" w:rsidRPr="00265352" w:rsidRDefault="00265352" w:rsidP="00265352">
      <w:pPr>
        <w:pStyle w:val="Ttulo3"/>
        <w:rPr>
          <w:rFonts w:ascii="Helvetica" w:hAnsi="Helvetica"/>
          <w:b/>
          <w:bCs/>
          <w:color w:val="auto"/>
          <w:lang w:val="es-PE"/>
        </w:rPr>
      </w:pPr>
      <w:r w:rsidRPr="00265352">
        <w:rPr>
          <w:rFonts w:ascii="Helvetica" w:hAnsi="Helvetica"/>
          <w:b/>
          <w:bCs/>
          <w:color w:val="auto"/>
          <w:lang w:val="es-PE"/>
        </w:rPr>
        <w:t>2. RELACIONES CON LA COMUNIDAD Y LICENCIA SOCIAL</w:t>
      </w:r>
    </w:p>
    <w:p w14:paraId="27B01490" w14:textId="77777777" w:rsidR="00265352" w:rsidRPr="00265352" w:rsidRDefault="00265352" w:rsidP="00265352">
      <w:pPr>
        <w:pStyle w:val="font-claude-response-body"/>
        <w:spacing w:before="0" w:beforeAutospacing="0"/>
        <w:rPr>
          <w:rFonts w:ascii="Helvetica" w:hAnsi="Helvetica"/>
          <w:lang w:val="es-PE"/>
        </w:rPr>
      </w:pPr>
      <w:r w:rsidRPr="00265352">
        <w:rPr>
          <w:rFonts w:ascii="Helvetica" w:hAnsi="Helvetica"/>
          <w:lang w:val="es-PE"/>
        </w:rPr>
        <w:t>2.1. Concepto de licencia social para operar</w:t>
      </w:r>
      <w:r w:rsidRPr="00265352">
        <w:rPr>
          <w:rFonts w:ascii="Helvetica" w:hAnsi="Helvetica"/>
          <w:lang w:val="es-PE"/>
        </w:rPr>
        <w:br/>
        <w:t>2.2. Diálogo y consulta previa con comunidades</w:t>
      </w:r>
      <w:r w:rsidRPr="00265352">
        <w:rPr>
          <w:rFonts w:ascii="Helvetica" w:hAnsi="Helvetica"/>
          <w:lang w:val="es-PE"/>
        </w:rPr>
        <w:br/>
        <w:t>2.3. Programas de relacionamiento comunitario</w:t>
      </w:r>
      <w:r w:rsidRPr="00265352">
        <w:rPr>
          <w:rFonts w:ascii="Helvetica" w:hAnsi="Helvetica"/>
          <w:lang w:val="es-PE"/>
        </w:rPr>
        <w:br/>
        <w:t>2.4. Gestión de conflictos socioambientales</w:t>
      </w:r>
    </w:p>
    <w:p w14:paraId="2306E0B8" w14:textId="77777777" w:rsidR="00265352" w:rsidRPr="00265352" w:rsidRDefault="00265352" w:rsidP="00265352">
      <w:pPr>
        <w:pStyle w:val="Ttulo3"/>
        <w:rPr>
          <w:rFonts w:ascii="Helvetica" w:hAnsi="Helvetica"/>
          <w:b/>
          <w:bCs/>
          <w:color w:val="auto"/>
          <w:lang w:val="es-PE"/>
        </w:rPr>
      </w:pPr>
      <w:r w:rsidRPr="00265352">
        <w:rPr>
          <w:rFonts w:ascii="Helvetica" w:hAnsi="Helvetica"/>
          <w:b/>
          <w:bCs/>
          <w:color w:val="auto"/>
          <w:lang w:val="es-PE"/>
        </w:rPr>
        <w:t>3. COMUNICACIÓN INTERNA Y GESTIÓN DE CRISIS</w:t>
      </w:r>
    </w:p>
    <w:p w14:paraId="59E7B06F" w14:textId="77777777" w:rsidR="00265352" w:rsidRPr="00265352" w:rsidRDefault="00265352" w:rsidP="00265352">
      <w:pPr>
        <w:pStyle w:val="font-claude-response-body"/>
        <w:spacing w:before="0" w:beforeAutospacing="0"/>
        <w:rPr>
          <w:rFonts w:ascii="Helvetica" w:hAnsi="Helvetica"/>
          <w:lang w:val="es-PE"/>
        </w:rPr>
      </w:pPr>
      <w:r w:rsidRPr="00265352">
        <w:rPr>
          <w:rFonts w:ascii="Helvetica" w:hAnsi="Helvetica"/>
          <w:lang w:val="es-PE"/>
        </w:rPr>
        <w:t>3.1. Comunicación interna en operaciones mineras</w:t>
      </w:r>
      <w:r w:rsidRPr="00265352">
        <w:rPr>
          <w:rFonts w:ascii="Helvetica" w:hAnsi="Helvetica"/>
          <w:lang w:val="es-PE"/>
        </w:rPr>
        <w:br/>
        <w:t>3.2. Comunicación de seguridad y prevención de riesgos</w:t>
      </w:r>
      <w:r w:rsidRPr="00265352">
        <w:rPr>
          <w:rFonts w:ascii="Helvetica" w:hAnsi="Helvetica"/>
          <w:lang w:val="es-PE"/>
        </w:rPr>
        <w:br/>
        <w:t>3.3. Protocolos de comunicación de crisis</w:t>
      </w:r>
      <w:r w:rsidRPr="00265352">
        <w:rPr>
          <w:rFonts w:ascii="Helvetica" w:hAnsi="Helvetica"/>
          <w:lang w:val="es-PE"/>
        </w:rPr>
        <w:br/>
        <w:t>3.4. Vocería y manejo de emergencias</w:t>
      </w:r>
    </w:p>
    <w:p w14:paraId="4AD0847F" w14:textId="77777777" w:rsidR="00265352" w:rsidRPr="00265352" w:rsidRDefault="00265352" w:rsidP="00265352">
      <w:pPr>
        <w:pStyle w:val="Ttulo3"/>
        <w:rPr>
          <w:rFonts w:ascii="Helvetica" w:hAnsi="Helvetica"/>
          <w:b/>
          <w:bCs/>
          <w:color w:val="auto"/>
          <w:lang w:val="es-PE"/>
        </w:rPr>
      </w:pPr>
      <w:r w:rsidRPr="00265352">
        <w:rPr>
          <w:rFonts w:ascii="Helvetica" w:hAnsi="Helvetica"/>
          <w:b/>
          <w:bCs/>
          <w:color w:val="auto"/>
          <w:lang w:val="es-PE"/>
        </w:rPr>
        <w:t>4. COMUNICACIÓN AMBIENTAL Y SOSTENIBILIDAD</w:t>
      </w:r>
    </w:p>
    <w:p w14:paraId="3C77D693" w14:textId="77777777" w:rsidR="00265352" w:rsidRPr="00265352" w:rsidRDefault="00265352" w:rsidP="00265352">
      <w:pPr>
        <w:pStyle w:val="font-claude-response-body"/>
        <w:spacing w:before="0" w:beforeAutospacing="0"/>
        <w:rPr>
          <w:rFonts w:ascii="Helvetica" w:hAnsi="Helvetica"/>
          <w:lang w:val="es-PE"/>
        </w:rPr>
      </w:pPr>
      <w:r w:rsidRPr="00265352">
        <w:rPr>
          <w:rFonts w:ascii="Helvetica" w:hAnsi="Helvetica"/>
          <w:lang w:val="es-PE"/>
        </w:rPr>
        <w:t>4.1. Comunicación de gestión ambiental</w:t>
      </w:r>
      <w:r w:rsidRPr="00265352">
        <w:rPr>
          <w:rFonts w:ascii="Helvetica" w:hAnsi="Helvetica"/>
          <w:lang w:val="es-PE"/>
        </w:rPr>
        <w:br/>
        <w:t>4.2. Reportes de sostenibilidad en minería</w:t>
      </w:r>
      <w:r w:rsidRPr="00265352">
        <w:rPr>
          <w:rFonts w:ascii="Helvetica" w:hAnsi="Helvetica"/>
          <w:lang w:val="es-PE"/>
        </w:rPr>
        <w:br/>
        <w:t>4.3. Estándares internacionales (GRI, ICMM)</w:t>
      </w:r>
      <w:r w:rsidRPr="00265352">
        <w:rPr>
          <w:rFonts w:ascii="Helvetica" w:hAnsi="Helvetica"/>
          <w:lang w:val="es-PE"/>
        </w:rPr>
        <w:br/>
        <w:t>4.4. Minería responsable y economía circular</w:t>
      </w:r>
    </w:p>
    <w:p w14:paraId="429E6F4A" w14:textId="77777777" w:rsidR="00265352" w:rsidRPr="00265352" w:rsidRDefault="00265352" w:rsidP="00265352">
      <w:pPr>
        <w:pStyle w:val="Ttulo3"/>
        <w:rPr>
          <w:rFonts w:ascii="Helvetica" w:hAnsi="Helvetica"/>
          <w:b/>
          <w:bCs/>
          <w:color w:val="auto"/>
          <w:lang w:val="es-PE"/>
        </w:rPr>
      </w:pPr>
      <w:r w:rsidRPr="00265352">
        <w:rPr>
          <w:rFonts w:ascii="Helvetica" w:hAnsi="Helvetica"/>
          <w:b/>
          <w:bCs/>
          <w:color w:val="auto"/>
          <w:lang w:val="es-PE"/>
        </w:rPr>
        <w:t>5. RELACIONES CON MEDIOS Y COMUNICACIÓN DIGITAL</w:t>
      </w:r>
    </w:p>
    <w:p w14:paraId="53203B1B" w14:textId="77777777" w:rsidR="00265352" w:rsidRPr="00265352" w:rsidRDefault="00265352" w:rsidP="00265352">
      <w:pPr>
        <w:pStyle w:val="font-claude-response-body"/>
        <w:spacing w:before="0" w:beforeAutospacing="0"/>
        <w:rPr>
          <w:rFonts w:ascii="Helvetica" w:hAnsi="Helvetica"/>
          <w:lang w:val="es-PE"/>
        </w:rPr>
      </w:pPr>
      <w:r w:rsidRPr="00265352">
        <w:rPr>
          <w:rFonts w:ascii="Helvetica" w:hAnsi="Helvetica"/>
          <w:lang w:val="es-PE"/>
        </w:rPr>
        <w:t>5.1. Estrategias de relaciones públicas</w:t>
      </w:r>
      <w:r w:rsidRPr="00265352">
        <w:rPr>
          <w:rFonts w:ascii="Helvetica" w:hAnsi="Helvetica"/>
          <w:lang w:val="es-PE"/>
        </w:rPr>
        <w:br/>
        <w:t>5.2. Gestión de redes sociales corporativas</w:t>
      </w:r>
      <w:r w:rsidRPr="00265352">
        <w:rPr>
          <w:rFonts w:ascii="Helvetica" w:hAnsi="Helvetica"/>
          <w:lang w:val="es-PE"/>
        </w:rPr>
        <w:br/>
        <w:t>5.3. Monitoreo de opinión pública</w:t>
      </w:r>
      <w:r w:rsidRPr="00265352">
        <w:rPr>
          <w:rFonts w:ascii="Helvetica" w:hAnsi="Helvetica"/>
          <w:lang w:val="es-PE"/>
        </w:rPr>
        <w:br/>
        <w:t>5.4. Manejo de desinformación y críticas online</w:t>
      </w:r>
    </w:p>
    <w:p w14:paraId="068EBCB5" w14:textId="77777777" w:rsidR="00265352" w:rsidRPr="00265352" w:rsidRDefault="00265352" w:rsidP="00265352">
      <w:pPr>
        <w:pStyle w:val="Ttulo3"/>
        <w:rPr>
          <w:rFonts w:ascii="Helvetica" w:hAnsi="Helvetica"/>
          <w:b/>
          <w:bCs/>
          <w:color w:val="auto"/>
          <w:lang w:val="es-PE"/>
        </w:rPr>
      </w:pPr>
      <w:r w:rsidRPr="00265352">
        <w:rPr>
          <w:rFonts w:ascii="Helvetica" w:hAnsi="Helvetica"/>
          <w:b/>
          <w:bCs/>
          <w:color w:val="auto"/>
          <w:lang w:val="es-PE"/>
        </w:rPr>
        <w:t>6. RELACIONES GUBERNAMENTALES Y TRANSPARENCIA</w:t>
      </w:r>
    </w:p>
    <w:p w14:paraId="0D0FB1D3" w14:textId="6F61401E" w:rsidR="007477F9" w:rsidRPr="00712E56" w:rsidRDefault="00265352" w:rsidP="00265352">
      <w:pPr>
        <w:pStyle w:val="font-claude-response-body"/>
        <w:spacing w:before="0" w:beforeAutospacing="0"/>
        <w:rPr>
          <w:rFonts w:ascii="Arial" w:hAnsi="Arial" w:cs="Arial"/>
          <w:lang w:val="es-PE"/>
        </w:rPr>
      </w:pPr>
      <w:r w:rsidRPr="00265352">
        <w:rPr>
          <w:rFonts w:ascii="Helvetica" w:hAnsi="Helvetica"/>
          <w:lang w:val="es-PE"/>
        </w:rPr>
        <w:t>6.1. Comunicación con autoridades peruanas (MINEM, OEFA)</w:t>
      </w:r>
      <w:r w:rsidRPr="00265352">
        <w:rPr>
          <w:rFonts w:ascii="Helvetica" w:hAnsi="Helvetica"/>
          <w:lang w:val="es-PE"/>
        </w:rPr>
        <w:br/>
        <w:t>6.2. Participación en política pública minera</w:t>
      </w:r>
      <w:r w:rsidRPr="00265352">
        <w:rPr>
          <w:rFonts w:ascii="Helvetica" w:hAnsi="Helvetica"/>
          <w:lang w:val="es-PE"/>
        </w:rPr>
        <w:br/>
        <w:t xml:space="preserve">6.3. </w:t>
      </w:r>
      <w:r w:rsidRPr="00962A8A">
        <w:rPr>
          <w:rFonts w:ascii="Helvetica" w:hAnsi="Helvetica"/>
          <w:lang w:val="es-PE"/>
        </w:rPr>
        <w:t>Transparencia y canon minero</w:t>
      </w:r>
      <w:r w:rsidRPr="00962A8A">
        <w:rPr>
          <w:rFonts w:ascii="Helvetica" w:hAnsi="Helvetica"/>
          <w:lang w:val="es-PE"/>
        </w:rPr>
        <w:br/>
        <w:t xml:space="preserve">6.4. </w:t>
      </w:r>
      <w:proofErr w:type="spellStart"/>
      <w:r w:rsidRPr="00962A8A">
        <w:rPr>
          <w:rFonts w:ascii="Helvetica" w:hAnsi="Helvetica"/>
          <w:lang w:val="es-PE"/>
        </w:rPr>
        <w:t>Compliance</w:t>
      </w:r>
      <w:proofErr w:type="spellEnd"/>
      <w:r w:rsidRPr="00962A8A">
        <w:rPr>
          <w:rFonts w:ascii="Helvetica" w:hAnsi="Helvetica"/>
          <w:lang w:val="es-PE"/>
        </w:rPr>
        <w:t xml:space="preserve"> y gobierno corporativo</w:t>
      </w:r>
    </w:p>
    <w:p w14:paraId="5A9D83CA" w14:textId="77777777" w:rsidR="00265352" w:rsidRPr="00265352" w:rsidRDefault="00265352" w:rsidP="00265352">
      <w:pPr>
        <w:spacing w:before="100" w:beforeAutospacing="1" w:after="100" w:afterAutospacing="1" w:line="360" w:lineRule="auto"/>
        <w:rPr>
          <w:rFonts w:ascii="Helvetica" w:eastAsia="Times New Roman" w:hAnsi="Helvetica" w:cs="Times New Roman"/>
          <w:sz w:val="28"/>
          <w:szCs w:val="28"/>
          <w:lang w:val="es-PE"/>
        </w:rPr>
      </w:pPr>
      <w:r w:rsidRPr="00265352">
        <w:rPr>
          <w:rFonts w:ascii="Helvetica" w:eastAsia="Times New Roman" w:hAnsi="Helvetica" w:cs="Times New Roman"/>
          <w:b/>
          <w:bCs/>
          <w:sz w:val="32"/>
          <w:szCs w:val="32"/>
          <w:lang w:val="es-PE"/>
        </w:rPr>
        <w:lastRenderedPageBreak/>
        <w:t>1. FUNDAMENTOS DE LA COMUNICACIÓN CORPORATIVA EN EL SECTOR MINERO</w:t>
      </w:r>
      <w:r w:rsidRPr="00265352">
        <w:rPr>
          <w:rFonts w:ascii="Helvetica" w:eastAsia="Times New Roman" w:hAnsi="Helvetica" w:cs="Times New Roman"/>
          <w:sz w:val="24"/>
          <w:szCs w:val="24"/>
          <w:lang w:val="es-PE"/>
        </w:rPr>
        <w:br/>
      </w:r>
      <w:r w:rsidRPr="00265352">
        <w:rPr>
          <w:rFonts w:ascii="Helvetica" w:eastAsia="Times New Roman" w:hAnsi="Helvetica" w:cs="Times New Roman"/>
          <w:b/>
          <w:bCs/>
          <w:sz w:val="28"/>
          <w:szCs w:val="28"/>
          <w:lang w:val="es-PE"/>
        </w:rPr>
        <w:t>1.1. Introducción a la comunicación corporativa</w:t>
      </w:r>
    </w:p>
    <w:p w14:paraId="67D5C2A8" w14:textId="77777777" w:rsidR="00265352" w:rsidRPr="00265352" w:rsidRDefault="00265352" w:rsidP="00265352">
      <w:pPr>
        <w:spacing w:before="100" w:beforeAutospacing="1" w:after="100" w:afterAutospacing="1" w:line="360" w:lineRule="auto"/>
        <w:ind w:firstLine="720"/>
        <w:rPr>
          <w:rFonts w:ascii="Helvetica" w:eastAsia="Times New Roman" w:hAnsi="Helvetica" w:cs="Times New Roman"/>
          <w:sz w:val="24"/>
          <w:szCs w:val="24"/>
          <w:lang w:val="es-PE"/>
        </w:rPr>
      </w:pPr>
      <w:r w:rsidRPr="00265352">
        <w:rPr>
          <w:rFonts w:ascii="Helvetica" w:eastAsia="Times New Roman" w:hAnsi="Helvetica" w:cs="Times New Roman"/>
          <w:sz w:val="24"/>
          <w:szCs w:val="24"/>
          <w:lang w:val="es-PE"/>
        </w:rPr>
        <w:t xml:space="preserve">La </w:t>
      </w:r>
      <w:r w:rsidRPr="00265352">
        <w:rPr>
          <w:rFonts w:ascii="Helvetica" w:eastAsia="Times New Roman" w:hAnsi="Helvetica" w:cs="Times New Roman"/>
          <w:i/>
          <w:iCs/>
          <w:sz w:val="24"/>
          <w:szCs w:val="24"/>
          <w:lang w:val="es-PE"/>
        </w:rPr>
        <w:t>comunicación corporativa</w:t>
      </w:r>
      <w:r w:rsidRPr="00265352">
        <w:rPr>
          <w:rFonts w:ascii="Helvetica" w:eastAsia="Times New Roman" w:hAnsi="Helvetica" w:cs="Times New Roman"/>
          <w:sz w:val="24"/>
          <w:szCs w:val="24"/>
          <w:lang w:val="es-PE"/>
        </w:rPr>
        <w:t xml:space="preserve"> es una disciplina estratégica dentro de cualquier organización que busca gestionar deliberadamente todos los procesos de comunicación que conectan a la empresa con sus públicos internos y externos. Se trata de una función integrada al corazón de la gestión empresarial, orientada a fortalecer las relaciones, proteger la reputación institucional y facilitar la consecución de objetivos organizacionales mediante mensajes coherentes, claros y alineados con la identidad y valores de la organización. La comunicación corporativa no se limita a emitir mensajes, sino que implica diseñar y ejecutar planes estructurados que integren la participación de diversas áreas de la empresa para asegurar un impacto positivo en su desempeño global. Por ello, requiere un enfoque estratégico que facilite la coordinación de todos los canales y formas de comunicación disponibles y responda a las dinámicas actuales de comunicación digital, social y mediática. La disciplina busca asegurar la consistencia en el discurso, adaptando los mensajes según las necesidades de los diferentes grupos de interés y garantizando que la información que se comparte sea relevante, comprensible y oportuna. </w:t>
      </w:r>
    </w:p>
    <w:p w14:paraId="0E99A4EA" w14:textId="7469B1FB" w:rsidR="00265352" w:rsidRPr="00265352" w:rsidRDefault="00265352" w:rsidP="00265352">
      <w:pPr>
        <w:spacing w:before="100" w:beforeAutospacing="1" w:after="100" w:afterAutospacing="1" w:line="360" w:lineRule="auto"/>
        <w:ind w:firstLine="720"/>
        <w:rPr>
          <w:rFonts w:ascii="Helvetica" w:eastAsia="Times New Roman" w:hAnsi="Helvetica" w:cs="Times New Roman"/>
          <w:sz w:val="24"/>
          <w:szCs w:val="24"/>
          <w:lang w:val="es-PE"/>
        </w:rPr>
      </w:pPr>
      <w:r w:rsidRPr="00265352">
        <w:rPr>
          <w:rFonts w:ascii="Helvetica" w:eastAsia="Times New Roman" w:hAnsi="Helvetica" w:cs="Times New Roman"/>
          <w:sz w:val="24"/>
          <w:szCs w:val="24"/>
          <w:lang w:val="es-PE"/>
        </w:rPr>
        <w:t xml:space="preserve">En el contexto del </w:t>
      </w:r>
      <w:r w:rsidRPr="00265352">
        <w:rPr>
          <w:rFonts w:ascii="Helvetica" w:eastAsia="Times New Roman" w:hAnsi="Helvetica" w:cs="Times New Roman"/>
          <w:b/>
          <w:bCs/>
          <w:sz w:val="24"/>
          <w:szCs w:val="24"/>
          <w:lang w:val="es-PE"/>
        </w:rPr>
        <w:t>sector minero</w:t>
      </w:r>
      <w:r w:rsidRPr="00265352">
        <w:rPr>
          <w:rFonts w:ascii="Helvetica" w:eastAsia="Times New Roman" w:hAnsi="Helvetica" w:cs="Times New Roman"/>
          <w:sz w:val="24"/>
          <w:szCs w:val="24"/>
          <w:lang w:val="es-PE"/>
        </w:rPr>
        <w:t xml:space="preserve">, la comunicación corporativa adquiere una importancia particular debido a la complejidad de operaciones, la diversidad de públicos interesados en las actividades mineras y las características socioambientales en las que se desarrollan estas actividades. La minería no solo opera procesos técnicos de exploración, extracción y procesamiento de minerales, sino que también interactúa con comunidades locales, autoridades gubernamentales, trabajadores, medios de comunicación y la sociedad en general. Cada uno de estos grupos denominados </w:t>
      </w:r>
      <w:proofErr w:type="spellStart"/>
      <w:r w:rsidRPr="00265352">
        <w:rPr>
          <w:rFonts w:ascii="Helvetica" w:eastAsia="Times New Roman" w:hAnsi="Helvetica" w:cs="Times New Roman"/>
          <w:i/>
          <w:iCs/>
          <w:sz w:val="24"/>
          <w:szCs w:val="24"/>
          <w:lang w:val="es-PE"/>
        </w:rPr>
        <w:t>stakeholders</w:t>
      </w:r>
      <w:proofErr w:type="spellEnd"/>
      <w:r w:rsidRPr="00265352">
        <w:rPr>
          <w:rFonts w:ascii="Helvetica" w:eastAsia="Times New Roman" w:hAnsi="Helvetica" w:cs="Times New Roman"/>
          <w:sz w:val="24"/>
          <w:szCs w:val="24"/>
          <w:lang w:val="es-PE"/>
        </w:rPr>
        <w:t xml:space="preserve"> o partes interesadas tiene expectativas, preocupaciones e intereses distintos sobre la actividad minera, lo que obliga a las empresas a establecer estrategias comunicativas que atiendan de manera eficaz estas múltiples perspectivas y fomenten relaciones de confianza a largo plazo. </w:t>
      </w:r>
    </w:p>
    <w:p w14:paraId="37585E7B" w14:textId="77777777" w:rsidR="00265352" w:rsidRPr="00265352" w:rsidRDefault="00265352" w:rsidP="00265352">
      <w:pPr>
        <w:spacing w:before="100" w:beforeAutospacing="1" w:after="100" w:afterAutospacing="1" w:line="360" w:lineRule="auto"/>
        <w:ind w:firstLine="720"/>
        <w:rPr>
          <w:rFonts w:ascii="Helvetica" w:eastAsia="Times New Roman" w:hAnsi="Helvetica" w:cs="Times New Roman"/>
          <w:sz w:val="24"/>
          <w:szCs w:val="24"/>
          <w:lang w:val="es-PE"/>
        </w:rPr>
      </w:pPr>
      <w:r w:rsidRPr="00265352">
        <w:rPr>
          <w:rFonts w:ascii="Helvetica" w:eastAsia="Times New Roman" w:hAnsi="Helvetica" w:cs="Times New Roman"/>
          <w:sz w:val="24"/>
          <w:szCs w:val="24"/>
          <w:lang w:val="es-PE"/>
        </w:rPr>
        <w:t xml:space="preserve">Dentro de este sector, la comunicación corporativa tiene un rol crítico en la gestión de la reputación empresarial y la construcción de una imagen positiva frente a sus públicos relevantes. La reputación corporativa es un activo intangible que influye directamente en la percepción del sector minero por parte de la sociedad, impactando la valoración de sus proyectos, la aceptación de sus operaciones y la legitimidad de su presencia en territorios donde se desarrollan sus actividades. Por ello, optimizar la comunicación corporativa implica no solo transmitir información sobre logros y resultados, sino también atender de forma transparente las inquietudes sociales, explicar procesos técnicos de forma accesible y promover el diálogo con las comunidades afectadas por la actividad minera. </w:t>
      </w:r>
    </w:p>
    <w:p w14:paraId="542D545F" w14:textId="77777777" w:rsidR="00265352" w:rsidRPr="00265352" w:rsidRDefault="00265352" w:rsidP="00265352">
      <w:pPr>
        <w:spacing w:before="100" w:beforeAutospacing="1" w:after="100" w:afterAutospacing="1" w:line="360" w:lineRule="auto"/>
        <w:ind w:firstLine="720"/>
        <w:rPr>
          <w:rFonts w:ascii="Helvetica" w:eastAsia="Times New Roman" w:hAnsi="Helvetica" w:cs="Times New Roman"/>
          <w:sz w:val="24"/>
          <w:szCs w:val="24"/>
          <w:lang w:val="es-PE"/>
        </w:rPr>
      </w:pPr>
      <w:r w:rsidRPr="00265352">
        <w:rPr>
          <w:rFonts w:ascii="Helvetica" w:eastAsia="Times New Roman" w:hAnsi="Helvetica" w:cs="Times New Roman"/>
          <w:sz w:val="24"/>
          <w:szCs w:val="24"/>
          <w:lang w:val="es-PE"/>
        </w:rPr>
        <w:t xml:space="preserve">Adicionalmente, la comunicación corporativa en minería debe responder a los desafíos de un entorno donde las expectativas sobre responsabilidad social, sostenibilidad ambiental y transparencia institucional son cada vez más altas. Los profesionales que lideran esta área deben contar con una comprensión profunda del contexto normativo, social y cultural del país donde opera la empresa minera, diseñando estrategias que no solo informen, sino que también favorezcan la comprensión mutua, reduzcan brechas de desconfianza y fortalezcan la licencia social para operar. En Perú, por ejemplo, esto es especialmente relevante debido a la diversidad de escenarios comunitarios y la histórica presencia de conflictos relacionados con la actividad extractiva, lo cual obliga a las empresas mineras a consolidar prácticas de comunicación que promuevan el diálogo y la participación entre todos los actores involucrados. </w:t>
      </w:r>
    </w:p>
    <w:p w14:paraId="6A0AA97C" w14:textId="77777777" w:rsidR="00265352" w:rsidRPr="00265352" w:rsidRDefault="00265352" w:rsidP="00265352">
      <w:pPr>
        <w:spacing w:before="100" w:beforeAutospacing="1" w:after="100" w:afterAutospacing="1" w:line="360" w:lineRule="auto"/>
        <w:ind w:firstLine="720"/>
        <w:rPr>
          <w:rFonts w:ascii="Helvetica" w:eastAsia="Times New Roman" w:hAnsi="Helvetica" w:cs="Times New Roman"/>
          <w:sz w:val="24"/>
          <w:szCs w:val="24"/>
          <w:lang w:val="es-PE"/>
        </w:rPr>
      </w:pPr>
      <w:r w:rsidRPr="00265352">
        <w:rPr>
          <w:rFonts w:ascii="Helvetica" w:eastAsia="Times New Roman" w:hAnsi="Helvetica" w:cs="Times New Roman"/>
          <w:sz w:val="24"/>
          <w:szCs w:val="24"/>
          <w:lang w:val="es-PE"/>
        </w:rPr>
        <w:t>En síntesis, la introducción a la comunicación corporativa en el sector minero se basa en reconocer a la comunicación como un elemento estratégico y transversal dentro de la gestión empresarial. Este enfoque permite construir relaciones sólidas y sostenibles con los diferentes públicos de interés, al mismo tiempo que apoya la gestión de riesgos reputacionales y contribuye al desarrollo responsable de la actividad minera dentro del país.</w:t>
      </w:r>
    </w:p>
    <w:p w14:paraId="7EB0E045" w14:textId="77777777" w:rsidR="00A7603B" w:rsidRPr="00A7603B" w:rsidRDefault="00A7603B" w:rsidP="00A7603B">
      <w:pPr>
        <w:spacing w:before="100" w:beforeAutospacing="1" w:after="100" w:afterAutospacing="1" w:line="360" w:lineRule="auto"/>
        <w:rPr>
          <w:rFonts w:ascii="Helvetica" w:eastAsia="Times New Roman" w:hAnsi="Helvetica" w:cs="Times New Roman"/>
          <w:sz w:val="28"/>
          <w:szCs w:val="28"/>
          <w:lang w:val="es-PE"/>
        </w:rPr>
      </w:pPr>
      <w:r w:rsidRPr="00A7603B">
        <w:rPr>
          <w:rFonts w:ascii="Helvetica" w:eastAsia="Times New Roman" w:hAnsi="Helvetica" w:cs="Times New Roman"/>
          <w:b/>
          <w:bCs/>
          <w:sz w:val="28"/>
          <w:szCs w:val="28"/>
          <w:lang w:val="es-PE"/>
        </w:rPr>
        <w:t>1.2. Características específicas del sector minero peruano</w:t>
      </w:r>
    </w:p>
    <w:p w14:paraId="6298BCE3"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El </w:t>
      </w:r>
      <w:r w:rsidRPr="00A7603B">
        <w:rPr>
          <w:rFonts w:ascii="Helvetica" w:eastAsia="Times New Roman" w:hAnsi="Helvetica" w:cs="Times New Roman"/>
          <w:b/>
          <w:bCs/>
          <w:sz w:val="24"/>
          <w:szCs w:val="24"/>
          <w:lang w:val="es-PE"/>
        </w:rPr>
        <w:t>sector minero peruano</w:t>
      </w:r>
      <w:r w:rsidRPr="00A7603B">
        <w:rPr>
          <w:rFonts w:ascii="Helvetica" w:eastAsia="Times New Roman" w:hAnsi="Helvetica" w:cs="Times New Roman"/>
          <w:sz w:val="24"/>
          <w:szCs w:val="24"/>
          <w:lang w:val="es-PE"/>
        </w:rPr>
        <w:t xml:space="preserve"> se caracteriza por su importancia estratégica en la economía nacional, su complejidad operativa y la diversidad de contextos sociales y geográficos en los que se desarrolla. Perú es uno de los principales productores de minerales en el mundo, destacándose especialmente en la extracción de cobre, oro, zinc, plata y plomo. Esta relevancia se traduce en que la minería no solo aporta de forma significativa al Producto Interno Bruto (PIB), sino que también constituye una fuente sustancial de ingresos fiscales, inversión extranjera y empleo, tanto directo como indirecto. La actividad minera está distribuida a lo largo de diversas regiones del país, principalmente en zonas altoandinas y costeras, con retos particulares para cada ubicación, incluyendo aspectos logísticos, ambientales y de infraestructura.</w:t>
      </w:r>
    </w:p>
    <w:p w14:paraId="18933A31"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Una característica esencial del sector minero peruano es su </w:t>
      </w:r>
      <w:r w:rsidRPr="00A7603B">
        <w:rPr>
          <w:rFonts w:ascii="Helvetica" w:eastAsia="Times New Roman" w:hAnsi="Helvetica" w:cs="Times New Roman"/>
          <w:b/>
          <w:bCs/>
          <w:sz w:val="24"/>
          <w:szCs w:val="24"/>
          <w:lang w:val="es-PE"/>
        </w:rPr>
        <w:t>marco regulatorio sólido y especializado</w:t>
      </w:r>
      <w:r w:rsidRPr="00A7603B">
        <w:rPr>
          <w:rFonts w:ascii="Helvetica" w:eastAsia="Times New Roman" w:hAnsi="Helvetica" w:cs="Times New Roman"/>
          <w:sz w:val="24"/>
          <w:szCs w:val="24"/>
          <w:lang w:val="es-PE"/>
        </w:rPr>
        <w:t>, orientado a garantizar la formalidad de las operaciones mineras, la protección del ambiente y la seguridad de las personas. Las empresas que operan en Perú deben cumplir con una serie de obligaciones legales que abarcan desde la obtención de concesiones y permisos ambientales hasta la implementación de programas de gestión social y ambiental. Este marco legal exige que las compañías mineras adopten estándares específicos de gestión que permitan mitigar los impactos ambientales y asegurar prácticas responsables. Además, la normativa peruana exige sistemas de monitoreo y reporte de aspectos como calidad del aire, uso de agua, gestión de residuos y rehabilitación de áreas intervenidas, lo que demanda una comunicación clara, verificable y que sea susceptible de ser comunicada con transparencias a los distintos públicos interesados.</w:t>
      </w:r>
    </w:p>
    <w:p w14:paraId="632C2897"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El </w:t>
      </w:r>
      <w:r w:rsidRPr="00A7603B">
        <w:rPr>
          <w:rFonts w:ascii="Helvetica" w:eastAsia="Times New Roman" w:hAnsi="Helvetica" w:cs="Times New Roman"/>
          <w:b/>
          <w:bCs/>
          <w:sz w:val="24"/>
          <w:szCs w:val="24"/>
          <w:lang w:val="es-PE"/>
        </w:rPr>
        <w:t>contexto social en el que opera la minería en Perú</w:t>
      </w:r>
      <w:r w:rsidRPr="00A7603B">
        <w:rPr>
          <w:rFonts w:ascii="Helvetica" w:eastAsia="Times New Roman" w:hAnsi="Helvetica" w:cs="Times New Roman"/>
          <w:sz w:val="24"/>
          <w:szCs w:val="24"/>
          <w:lang w:val="es-PE"/>
        </w:rPr>
        <w:t xml:space="preserve"> es otra característica definitoria. Las operaciones mineras se desarrollan en territorios habitados por comunidades campesinas, pueblos andinos y, en algunos casos, pueblos indígenas que tienen una cosmovisión particular sobre el uso de la tierra y los recursos naturales. Esto convierte a la minería en un sector altamente sensible desde la perspectiva social, al requerir diálogos continuos con las comunidades locales y la construcción de relaciones de confianza basadas en la información compartida y la participación. En muchos casos, los conflictos socioambientales en el país han tenido su origen en percepciones de falta de comunicación o de falta de claridad sobre los beneficios, riesgos o impactos asociados a los proyectos mineros. Por ello, las empresas mineras necesitan implementar estrategias de comunicación corporativa que consideren las expectativas, valores culturales y prioridades de los distintos grupos sociales con los cuales interactúan.</w:t>
      </w:r>
    </w:p>
    <w:p w14:paraId="301E0AF0"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La </w:t>
      </w:r>
      <w:r w:rsidRPr="00A7603B">
        <w:rPr>
          <w:rFonts w:ascii="Helvetica" w:eastAsia="Times New Roman" w:hAnsi="Helvetica" w:cs="Times New Roman"/>
          <w:b/>
          <w:bCs/>
          <w:sz w:val="24"/>
          <w:szCs w:val="24"/>
          <w:lang w:val="es-PE"/>
        </w:rPr>
        <w:t>infraestructura y las condiciones geográficas</w:t>
      </w:r>
      <w:r w:rsidRPr="00A7603B">
        <w:rPr>
          <w:rFonts w:ascii="Helvetica" w:eastAsia="Times New Roman" w:hAnsi="Helvetica" w:cs="Times New Roman"/>
          <w:sz w:val="24"/>
          <w:szCs w:val="24"/>
          <w:lang w:val="es-PE"/>
        </w:rPr>
        <w:t xml:space="preserve"> del territorio peruano hacen que las operaciones mineras requieran inversiones significativas en logística y desarrollo de infraestructura. Muchas minas se encuentran en zonas remotas, con acceso limitado a carreteras, energía eléctrica y servicios básicos, lo que impone desafíos adicionales tanto para la operación como para la implementación de programas de comunicación interna y externa. Estas condiciones geográficas requieren que las empresas desarrollen planes de comunicación adaptados a contextos con acceso restringido a medios de comunicación tradicionales o a internet, lo que implica diversificar canales y formas de interacción para asegurar que la información llegue a todos los públicos involucrados.</w:t>
      </w:r>
    </w:p>
    <w:p w14:paraId="0B966A1D"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Otra característica del sector minero peruano es su </w:t>
      </w:r>
      <w:r w:rsidRPr="00A7603B">
        <w:rPr>
          <w:rFonts w:ascii="Helvetica" w:eastAsia="Times New Roman" w:hAnsi="Helvetica" w:cs="Times New Roman"/>
          <w:b/>
          <w:bCs/>
          <w:sz w:val="24"/>
          <w:szCs w:val="24"/>
          <w:lang w:val="es-PE"/>
        </w:rPr>
        <w:t>interdependencia con los mercados internacionales</w:t>
      </w:r>
      <w:r w:rsidRPr="00A7603B">
        <w:rPr>
          <w:rFonts w:ascii="Helvetica" w:eastAsia="Times New Roman" w:hAnsi="Helvetica" w:cs="Times New Roman"/>
          <w:sz w:val="24"/>
          <w:szCs w:val="24"/>
          <w:lang w:val="es-PE"/>
        </w:rPr>
        <w:t xml:space="preserve">. La minería peruana está profundamente integrada a las cadenas globales de suministro de minerales, lo que significa que las fluctuaciones de los precios internacionales de </w:t>
      </w:r>
      <w:proofErr w:type="spellStart"/>
      <w:r w:rsidRPr="00A7603B">
        <w:rPr>
          <w:rFonts w:ascii="Helvetica" w:eastAsia="Times New Roman" w:hAnsi="Helvetica" w:cs="Times New Roman"/>
          <w:sz w:val="24"/>
          <w:szCs w:val="24"/>
          <w:lang w:val="es-PE"/>
        </w:rPr>
        <w:t>commodities</w:t>
      </w:r>
      <w:proofErr w:type="spellEnd"/>
      <w:r w:rsidRPr="00A7603B">
        <w:rPr>
          <w:rFonts w:ascii="Helvetica" w:eastAsia="Times New Roman" w:hAnsi="Helvetica" w:cs="Times New Roman"/>
          <w:sz w:val="24"/>
          <w:szCs w:val="24"/>
          <w:lang w:val="es-PE"/>
        </w:rPr>
        <w:t>, así como las políticas comerciales y ambientales de países compradores, tienen un impacto directo en la economía minera del país. Esta conexión global implica que los mensajes corporativos relacionados con el desempeño, la sostenibilidad y la gestión de riesgos deben ser elaborados pensando no solo en públicos locales, sino también en inversores, socios comerciales y audiencias internacionales, quienes prestan atención a indicadores financieros, estándares de sostenibilidad y prácticas de gobierno corporativo.</w:t>
      </w:r>
    </w:p>
    <w:p w14:paraId="2471949B"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Finalmente, el sector minero peruano enfrenta un entorno </w:t>
      </w:r>
      <w:r w:rsidRPr="00A7603B">
        <w:rPr>
          <w:rFonts w:ascii="Helvetica" w:eastAsia="Times New Roman" w:hAnsi="Helvetica" w:cs="Times New Roman"/>
          <w:b/>
          <w:bCs/>
          <w:sz w:val="24"/>
          <w:szCs w:val="24"/>
          <w:lang w:val="es-PE"/>
        </w:rPr>
        <w:t>cada vez más exigente en términos de sostenibilidad y responsabilidad social corporativa</w:t>
      </w:r>
      <w:r w:rsidRPr="00A7603B">
        <w:rPr>
          <w:rFonts w:ascii="Helvetica" w:eastAsia="Times New Roman" w:hAnsi="Helvetica" w:cs="Times New Roman"/>
          <w:sz w:val="24"/>
          <w:szCs w:val="24"/>
          <w:lang w:val="es-PE"/>
        </w:rPr>
        <w:t>. La presión de la sociedad civil, de organismos internacionales y de los propios consumidores ha llevado a que las empresas mineras adopten compromisos públicos con estándares ambientales responsables, prácticas de reducción de emisiones, gestión eficiente del agua y contribución al desarrollo local. Esto requiere que la comunicación corporativa no solo informe sobre actividades productivas, sino que también explique de forma transparente los esfuerzos de sostenibilidad, los indicadores de desempeño ambiental y social, y cómo estos se traducen en beneficios para la sociedad y el entorno donde se opera.</w:t>
      </w:r>
    </w:p>
    <w:p w14:paraId="345ECF62"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En conjunto, estas características hacen del sector minero peruano un entorno desafiante pero fundamental para el desarrollo económico del país, donde la comunicación corporativa se convierte en una herramienta clave para construir legitimidad, generar confianza y favorecer la convivencia armónica entre la actividad extractiva y los diversos públicos con los cuales las empresas interactúan.</w:t>
      </w:r>
    </w:p>
    <w:p w14:paraId="097AD383" w14:textId="77777777" w:rsidR="00A7603B" w:rsidRPr="00A7603B" w:rsidRDefault="00A7603B" w:rsidP="00A7603B">
      <w:pPr>
        <w:spacing w:before="100" w:beforeAutospacing="1" w:after="100" w:afterAutospacing="1" w:line="360" w:lineRule="auto"/>
        <w:rPr>
          <w:rFonts w:ascii="Helvetica" w:eastAsia="Times New Roman" w:hAnsi="Helvetica" w:cs="Arial"/>
          <w:sz w:val="28"/>
          <w:szCs w:val="28"/>
          <w:lang w:val="es-PE"/>
        </w:rPr>
      </w:pPr>
      <w:r w:rsidRPr="00A7603B">
        <w:rPr>
          <w:rFonts w:ascii="Helvetica" w:eastAsia="Times New Roman" w:hAnsi="Helvetica" w:cs="Arial"/>
          <w:b/>
          <w:bCs/>
          <w:sz w:val="28"/>
          <w:szCs w:val="28"/>
          <w:lang w:val="es-PE"/>
        </w:rPr>
        <w:t xml:space="preserve">1.3. </w:t>
      </w:r>
      <w:proofErr w:type="spellStart"/>
      <w:r w:rsidRPr="00A7603B">
        <w:rPr>
          <w:rFonts w:ascii="Helvetica" w:eastAsia="Times New Roman" w:hAnsi="Helvetica" w:cs="Arial"/>
          <w:b/>
          <w:bCs/>
          <w:sz w:val="28"/>
          <w:szCs w:val="28"/>
          <w:lang w:val="es-PE"/>
        </w:rPr>
        <w:t>Stakeholders</w:t>
      </w:r>
      <w:proofErr w:type="spellEnd"/>
      <w:r w:rsidRPr="00A7603B">
        <w:rPr>
          <w:rFonts w:ascii="Helvetica" w:eastAsia="Times New Roman" w:hAnsi="Helvetica" w:cs="Arial"/>
          <w:b/>
          <w:bCs/>
          <w:sz w:val="28"/>
          <w:szCs w:val="28"/>
          <w:lang w:val="es-PE"/>
        </w:rPr>
        <w:t xml:space="preserve"> clave en la minería peruana</w:t>
      </w:r>
    </w:p>
    <w:p w14:paraId="48110A4D" w14:textId="118AF6A4" w:rsidR="00A7603B" w:rsidRPr="00A7603B" w:rsidRDefault="00A7603B" w:rsidP="00A7603B">
      <w:pPr>
        <w:spacing w:before="100" w:beforeAutospacing="1" w:after="100" w:afterAutospacing="1" w:line="360" w:lineRule="auto"/>
        <w:ind w:firstLine="720"/>
        <w:rPr>
          <w:rFonts w:ascii="Helvetica" w:eastAsia="Times New Roman" w:hAnsi="Helvetica" w:cs="Arial"/>
          <w:sz w:val="24"/>
          <w:szCs w:val="24"/>
          <w:lang w:val="es-PE"/>
        </w:rPr>
      </w:pPr>
      <w:r w:rsidRPr="00A7603B">
        <w:rPr>
          <w:rFonts w:ascii="Helvetica" w:eastAsia="Times New Roman" w:hAnsi="Helvetica" w:cs="Arial"/>
          <w:sz w:val="24"/>
          <w:szCs w:val="24"/>
          <w:lang w:val="es-PE"/>
        </w:rPr>
        <w:t xml:space="preserve">En el contexto de la minería peruana, los </w:t>
      </w:r>
      <w:proofErr w:type="spellStart"/>
      <w:r w:rsidRPr="00A7603B">
        <w:rPr>
          <w:rFonts w:ascii="Helvetica" w:eastAsia="Times New Roman" w:hAnsi="Helvetica" w:cs="Arial"/>
          <w:b/>
          <w:bCs/>
          <w:sz w:val="24"/>
          <w:szCs w:val="24"/>
          <w:lang w:val="es-PE"/>
        </w:rPr>
        <w:t>stakeholders</w:t>
      </w:r>
      <w:proofErr w:type="spellEnd"/>
      <w:r w:rsidRPr="00A7603B">
        <w:rPr>
          <w:rFonts w:ascii="Helvetica" w:eastAsia="Times New Roman" w:hAnsi="Helvetica" w:cs="Arial"/>
          <w:sz w:val="24"/>
          <w:szCs w:val="24"/>
          <w:lang w:val="es-PE"/>
        </w:rPr>
        <w:t xml:space="preserve"> o </w:t>
      </w:r>
      <w:r w:rsidRPr="00A7603B">
        <w:rPr>
          <w:rFonts w:ascii="Helvetica" w:eastAsia="Times New Roman" w:hAnsi="Helvetica" w:cs="Arial"/>
          <w:i/>
          <w:iCs/>
          <w:sz w:val="24"/>
          <w:szCs w:val="24"/>
          <w:lang w:val="es-PE"/>
        </w:rPr>
        <w:t>grupos de interés</w:t>
      </w:r>
      <w:r w:rsidRPr="00A7603B">
        <w:rPr>
          <w:rFonts w:ascii="Helvetica" w:eastAsia="Times New Roman" w:hAnsi="Helvetica" w:cs="Arial"/>
          <w:sz w:val="24"/>
          <w:szCs w:val="24"/>
          <w:lang w:val="es-PE"/>
        </w:rPr>
        <w:t xml:space="preserve"> representan a todas aquellas personas, colectivos e instituciones que, de una u otra forma, están directamente afectadas por las operaciones mineras o ejercen influencia sobre estas. La identificación y gestión de estos </w:t>
      </w:r>
      <w:proofErr w:type="spellStart"/>
      <w:r w:rsidRPr="00A7603B">
        <w:rPr>
          <w:rFonts w:ascii="Helvetica" w:eastAsia="Times New Roman" w:hAnsi="Helvetica" w:cs="Arial"/>
          <w:sz w:val="24"/>
          <w:szCs w:val="24"/>
          <w:lang w:val="es-PE"/>
        </w:rPr>
        <w:t>stakeholders</w:t>
      </w:r>
      <w:proofErr w:type="spellEnd"/>
      <w:r w:rsidRPr="00A7603B">
        <w:rPr>
          <w:rFonts w:ascii="Helvetica" w:eastAsia="Times New Roman" w:hAnsi="Helvetica" w:cs="Arial"/>
          <w:sz w:val="24"/>
          <w:szCs w:val="24"/>
          <w:lang w:val="es-PE"/>
        </w:rPr>
        <w:t xml:space="preserve"> es un elemento fundamental de la comunicación corporativa estratégica, pues permite diseñar acciones y mensajes orientados a establecer relaciones de confianza, reducir riesgos de conflictos y fortalecer la licencia social para operar. La minería peruana presenta un entorno complejo y diverso, dado que sus operaciones tienen impacto en múltiples dimensiones sociales, económicas, ambientales y políticas, lo cual exige una comprensión profunda de quienes son los </w:t>
      </w:r>
      <w:proofErr w:type="spellStart"/>
      <w:r w:rsidRPr="00A7603B">
        <w:rPr>
          <w:rFonts w:ascii="Helvetica" w:eastAsia="Times New Roman" w:hAnsi="Helvetica" w:cs="Arial"/>
          <w:sz w:val="24"/>
          <w:szCs w:val="24"/>
          <w:lang w:val="es-PE"/>
        </w:rPr>
        <w:t>stakeholders</w:t>
      </w:r>
      <w:proofErr w:type="spellEnd"/>
      <w:r w:rsidRPr="00A7603B">
        <w:rPr>
          <w:rFonts w:ascii="Helvetica" w:eastAsia="Times New Roman" w:hAnsi="Helvetica" w:cs="Arial"/>
          <w:sz w:val="24"/>
          <w:szCs w:val="24"/>
          <w:lang w:val="es-PE"/>
        </w:rPr>
        <w:t xml:space="preserve"> clave y cuáles son sus expectativas.</w:t>
      </w:r>
    </w:p>
    <w:p w14:paraId="50C51146" w14:textId="77777777" w:rsidR="00A7603B" w:rsidRPr="00A7603B" w:rsidRDefault="00A7603B" w:rsidP="00A7603B">
      <w:pPr>
        <w:spacing w:before="100" w:beforeAutospacing="1" w:after="100" w:afterAutospacing="1" w:line="360" w:lineRule="auto"/>
        <w:ind w:firstLine="720"/>
        <w:rPr>
          <w:rFonts w:ascii="Helvetica" w:eastAsia="Times New Roman" w:hAnsi="Helvetica" w:cs="Arial"/>
          <w:sz w:val="24"/>
          <w:szCs w:val="24"/>
          <w:lang w:val="es-PE"/>
        </w:rPr>
      </w:pPr>
      <w:r w:rsidRPr="00A7603B">
        <w:rPr>
          <w:rFonts w:ascii="Helvetica" w:eastAsia="Times New Roman" w:hAnsi="Helvetica" w:cs="Arial"/>
          <w:sz w:val="24"/>
          <w:szCs w:val="24"/>
          <w:lang w:val="es-PE"/>
        </w:rPr>
        <w:t xml:space="preserve">Uno de los grupos de interés más importantes está conformado por </w:t>
      </w:r>
      <w:r w:rsidRPr="00A7603B">
        <w:rPr>
          <w:rFonts w:ascii="Helvetica" w:eastAsia="Times New Roman" w:hAnsi="Helvetica" w:cs="Arial"/>
          <w:b/>
          <w:bCs/>
          <w:sz w:val="24"/>
          <w:szCs w:val="24"/>
          <w:lang w:val="es-PE"/>
        </w:rPr>
        <w:t>las comunidades locales y pueblos indígenas</w:t>
      </w:r>
      <w:r w:rsidRPr="00A7603B">
        <w:rPr>
          <w:rFonts w:ascii="Helvetica" w:eastAsia="Times New Roman" w:hAnsi="Helvetica" w:cs="Arial"/>
          <w:sz w:val="24"/>
          <w:szCs w:val="24"/>
          <w:lang w:val="es-PE"/>
        </w:rPr>
        <w:t xml:space="preserve"> que se encuentran en las zonas de influencia de los proyectos mineros. Estas comunidades tienen un interés directo en la gestión del agua, el uso del territorio, la protección de sus recursos naturales y la generación de oportunidades económicas. Su percepción sobre la actividad minera puede variar significativamente dependiendo de factores históricos, culturales y experiencias previas con empresas extractivas. Por ello, establecer un diálogo respetuoso y continuo con estas comunidades es esencial para comprender sus preocupaciones, expectativas y valores, así como para construir mecanismos de participación que permitan incorporar sus visiones en la toma de decisiones. Una comunicación superficial o insuficiente con este grupo puede desencadenar desconfianza, malentendidos y conflictos que afecten negativamente tanto a la operación minera como a la convivencia social en la región.</w:t>
      </w:r>
    </w:p>
    <w:p w14:paraId="33349A73" w14:textId="77777777" w:rsidR="00A7603B" w:rsidRPr="00A7603B" w:rsidRDefault="00A7603B" w:rsidP="00A7603B">
      <w:pPr>
        <w:spacing w:before="100" w:beforeAutospacing="1" w:after="100" w:afterAutospacing="1" w:line="360" w:lineRule="auto"/>
        <w:ind w:firstLine="720"/>
        <w:rPr>
          <w:rFonts w:ascii="Helvetica" w:eastAsia="Times New Roman" w:hAnsi="Helvetica" w:cs="Arial"/>
          <w:sz w:val="24"/>
          <w:szCs w:val="24"/>
          <w:lang w:val="es-PE"/>
        </w:rPr>
      </w:pPr>
      <w:r w:rsidRPr="00A7603B">
        <w:rPr>
          <w:rFonts w:ascii="Helvetica" w:eastAsia="Times New Roman" w:hAnsi="Helvetica" w:cs="Arial"/>
          <w:sz w:val="24"/>
          <w:szCs w:val="24"/>
          <w:lang w:val="es-PE"/>
        </w:rPr>
        <w:t xml:space="preserve">Otro actor central en la minería peruana es </w:t>
      </w:r>
      <w:r w:rsidRPr="00A7603B">
        <w:rPr>
          <w:rFonts w:ascii="Helvetica" w:eastAsia="Times New Roman" w:hAnsi="Helvetica" w:cs="Arial"/>
          <w:b/>
          <w:bCs/>
          <w:sz w:val="24"/>
          <w:szCs w:val="24"/>
          <w:lang w:val="es-PE"/>
        </w:rPr>
        <w:t>el Estado a través de sus instituciones públicas</w:t>
      </w:r>
      <w:r w:rsidRPr="00A7603B">
        <w:rPr>
          <w:rFonts w:ascii="Helvetica" w:eastAsia="Times New Roman" w:hAnsi="Helvetica" w:cs="Arial"/>
          <w:sz w:val="24"/>
          <w:szCs w:val="24"/>
          <w:lang w:val="es-PE"/>
        </w:rPr>
        <w:t>, tales como los ministerios sectoriales, autoridades regionales y locales, así como organismos de regulación y fiscalización. En el caso del Perú, entidades como las autoridades ambientales, la entidad reguladora de energía y minas, y los gobiernos regionales y municipales tienen competencias que van desde la concesión de permisos, la supervisión del cumplimiento normativo, hasta la articulación de políticas públicas que regulan aspectos ambientales, laborales y sociales. La comunicación con las instituciones del Estado debe ser transparente, formal y basada en el cumplimiento de obligaciones legales, ya que de ello depende la legitimidad de las operaciones y la percepción de que la actividad extractiva contribuye al desarrollo sostenible del país.</w:t>
      </w:r>
    </w:p>
    <w:p w14:paraId="0415F676" w14:textId="77777777" w:rsidR="00A7603B" w:rsidRPr="00A7603B" w:rsidRDefault="00A7603B" w:rsidP="00A7603B">
      <w:pPr>
        <w:spacing w:before="100" w:beforeAutospacing="1" w:after="100" w:afterAutospacing="1" w:line="360" w:lineRule="auto"/>
        <w:ind w:firstLine="720"/>
        <w:rPr>
          <w:rFonts w:ascii="Helvetica" w:eastAsia="Times New Roman" w:hAnsi="Helvetica" w:cs="Arial"/>
          <w:sz w:val="24"/>
          <w:szCs w:val="24"/>
          <w:lang w:val="es-PE"/>
        </w:rPr>
      </w:pPr>
      <w:r w:rsidRPr="00A7603B">
        <w:rPr>
          <w:rFonts w:ascii="Helvetica" w:eastAsia="Times New Roman" w:hAnsi="Helvetica" w:cs="Arial"/>
          <w:b/>
          <w:bCs/>
          <w:sz w:val="24"/>
          <w:szCs w:val="24"/>
          <w:lang w:val="es-PE"/>
        </w:rPr>
        <w:t>Los trabajadores y sus organizaciones sindicales</w:t>
      </w:r>
      <w:r w:rsidRPr="00A7603B">
        <w:rPr>
          <w:rFonts w:ascii="Helvetica" w:eastAsia="Times New Roman" w:hAnsi="Helvetica" w:cs="Arial"/>
          <w:sz w:val="24"/>
          <w:szCs w:val="24"/>
          <w:lang w:val="es-PE"/>
        </w:rPr>
        <w:t xml:space="preserve"> constituyen otro grupo de interés clave, dado que la minería es una actividad intensiva en mano de obra que requiere condiciones óptimas de seguridad, salud ocupacional y bienestar laboral. Los trabajadores esperan que las empresas no solo garanticen condiciones seguras de trabajo, sino también oportunidades de capacitación, desarrollo profesional y estabilidad. Las organizaciones sindicales, por su parte, juegan un rol fundamental en representar las demandas laborales y negociar condiciones de trabajo. Una comunicación interna sólida que considere las necesidades y expectativas de los trabajadores ayuda a fortalecer la cohesión organizacional, mejorar la productividad y reducir posibles tensiones laborales.</w:t>
      </w:r>
    </w:p>
    <w:p w14:paraId="599CC7AF" w14:textId="77777777" w:rsidR="00A7603B" w:rsidRPr="00A7603B" w:rsidRDefault="00A7603B" w:rsidP="00A7603B">
      <w:pPr>
        <w:spacing w:before="100" w:beforeAutospacing="1" w:after="100" w:afterAutospacing="1" w:line="360" w:lineRule="auto"/>
        <w:ind w:firstLine="720"/>
        <w:rPr>
          <w:rFonts w:ascii="Helvetica" w:eastAsia="Times New Roman" w:hAnsi="Helvetica" w:cs="Arial"/>
          <w:sz w:val="24"/>
          <w:szCs w:val="24"/>
          <w:lang w:val="es-PE"/>
        </w:rPr>
      </w:pPr>
      <w:r w:rsidRPr="00A7603B">
        <w:rPr>
          <w:rFonts w:ascii="Helvetica" w:eastAsia="Times New Roman" w:hAnsi="Helvetica" w:cs="Arial"/>
          <w:b/>
          <w:bCs/>
          <w:sz w:val="24"/>
          <w:szCs w:val="24"/>
          <w:lang w:val="es-PE"/>
        </w:rPr>
        <w:t>Los inversionistas, accionistas y entidades financieras</w:t>
      </w:r>
      <w:r w:rsidRPr="00A7603B">
        <w:rPr>
          <w:rFonts w:ascii="Helvetica" w:eastAsia="Times New Roman" w:hAnsi="Helvetica" w:cs="Arial"/>
          <w:sz w:val="24"/>
          <w:szCs w:val="24"/>
          <w:lang w:val="es-PE"/>
        </w:rPr>
        <w:t xml:space="preserve"> representan otro grupo de </w:t>
      </w:r>
      <w:proofErr w:type="spellStart"/>
      <w:r w:rsidRPr="00A7603B">
        <w:rPr>
          <w:rFonts w:ascii="Helvetica" w:eastAsia="Times New Roman" w:hAnsi="Helvetica" w:cs="Arial"/>
          <w:sz w:val="24"/>
          <w:szCs w:val="24"/>
          <w:lang w:val="es-PE"/>
        </w:rPr>
        <w:t>stakeholders</w:t>
      </w:r>
      <w:proofErr w:type="spellEnd"/>
      <w:r w:rsidRPr="00A7603B">
        <w:rPr>
          <w:rFonts w:ascii="Helvetica" w:eastAsia="Times New Roman" w:hAnsi="Helvetica" w:cs="Arial"/>
          <w:sz w:val="24"/>
          <w:szCs w:val="24"/>
          <w:lang w:val="es-PE"/>
        </w:rPr>
        <w:t xml:space="preserve"> que tiene un interés significativo en la minería peruana, especialmente en lo que se refiere al desempeño económico, la gestión de riesgos y la sostenibilidad a largo plazo. Estos actores buscan recibir información clara, veraz y oportuna sobre los resultados financieros, los planes de inversión, los indicadores de sostenibilidad y los riesgos asociados a los proyectos mineros. Una comunicación transparente y basada en estándares internacionales de reporte contribuye a generar confianza entre los inversionistas y a facilitar el acceso a capital en los mercados financieros.</w:t>
      </w:r>
    </w:p>
    <w:p w14:paraId="6EA574F7" w14:textId="77777777" w:rsidR="00A7603B" w:rsidRPr="00A7603B" w:rsidRDefault="00A7603B" w:rsidP="00A7603B">
      <w:pPr>
        <w:spacing w:before="100" w:beforeAutospacing="1" w:after="100" w:afterAutospacing="1" w:line="360" w:lineRule="auto"/>
        <w:ind w:firstLine="720"/>
        <w:rPr>
          <w:rFonts w:ascii="Helvetica" w:eastAsia="Times New Roman" w:hAnsi="Helvetica" w:cs="Arial"/>
          <w:sz w:val="24"/>
          <w:szCs w:val="24"/>
          <w:lang w:val="es-PE"/>
        </w:rPr>
      </w:pPr>
      <w:r w:rsidRPr="00A7603B">
        <w:rPr>
          <w:rFonts w:ascii="Helvetica" w:eastAsia="Times New Roman" w:hAnsi="Helvetica" w:cs="Arial"/>
          <w:sz w:val="24"/>
          <w:szCs w:val="24"/>
          <w:lang w:val="es-PE"/>
        </w:rPr>
        <w:t xml:space="preserve">Los </w:t>
      </w:r>
      <w:r w:rsidRPr="00A7603B">
        <w:rPr>
          <w:rFonts w:ascii="Helvetica" w:eastAsia="Times New Roman" w:hAnsi="Helvetica" w:cs="Arial"/>
          <w:b/>
          <w:bCs/>
          <w:sz w:val="24"/>
          <w:szCs w:val="24"/>
          <w:lang w:val="es-PE"/>
        </w:rPr>
        <w:t>medios de comunicación</w:t>
      </w:r>
      <w:r w:rsidRPr="00A7603B">
        <w:rPr>
          <w:rFonts w:ascii="Helvetica" w:eastAsia="Times New Roman" w:hAnsi="Helvetica" w:cs="Arial"/>
          <w:sz w:val="24"/>
          <w:szCs w:val="24"/>
          <w:lang w:val="es-PE"/>
        </w:rPr>
        <w:t xml:space="preserve">, tanto a nivel local como nacional, también forman parte de los </w:t>
      </w:r>
      <w:proofErr w:type="spellStart"/>
      <w:r w:rsidRPr="00A7603B">
        <w:rPr>
          <w:rFonts w:ascii="Helvetica" w:eastAsia="Times New Roman" w:hAnsi="Helvetica" w:cs="Arial"/>
          <w:sz w:val="24"/>
          <w:szCs w:val="24"/>
          <w:lang w:val="es-PE"/>
        </w:rPr>
        <w:t>stakeholders</w:t>
      </w:r>
      <w:proofErr w:type="spellEnd"/>
      <w:r w:rsidRPr="00A7603B">
        <w:rPr>
          <w:rFonts w:ascii="Helvetica" w:eastAsia="Times New Roman" w:hAnsi="Helvetica" w:cs="Arial"/>
          <w:sz w:val="24"/>
          <w:szCs w:val="24"/>
          <w:lang w:val="es-PE"/>
        </w:rPr>
        <w:t xml:space="preserve"> clave. Los periodistas y medios informativos cumplen un papel de intermediación entre la empresa minera y la sociedad, ya que transmiten información, opinan sobre acontecimientos y construyen narrativas que influencian la percepción pública sobre la industria. La relación con los medios debe ser proactiva y estratégica, respondiendo con prontitud a consultas, facilitando información precisa y manteniendo un contacto constante para evitar malentendidos o noticias inexactas.</w:t>
      </w:r>
    </w:p>
    <w:p w14:paraId="5C851340" w14:textId="77777777" w:rsidR="00A7603B" w:rsidRPr="00A7603B" w:rsidRDefault="00A7603B" w:rsidP="00A7603B">
      <w:pPr>
        <w:spacing w:before="100" w:beforeAutospacing="1" w:after="100" w:afterAutospacing="1" w:line="360" w:lineRule="auto"/>
        <w:ind w:firstLine="720"/>
        <w:rPr>
          <w:rFonts w:ascii="Helvetica" w:eastAsia="Times New Roman" w:hAnsi="Helvetica" w:cs="Arial"/>
          <w:sz w:val="24"/>
          <w:szCs w:val="24"/>
          <w:lang w:val="es-PE"/>
        </w:rPr>
      </w:pPr>
      <w:r w:rsidRPr="00A7603B">
        <w:rPr>
          <w:rFonts w:ascii="Helvetica" w:eastAsia="Times New Roman" w:hAnsi="Helvetica" w:cs="Arial"/>
          <w:sz w:val="24"/>
          <w:szCs w:val="24"/>
          <w:lang w:val="es-PE"/>
        </w:rPr>
        <w:t xml:space="preserve">Adicionalmente, existen </w:t>
      </w:r>
      <w:r w:rsidRPr="00A7603B">
        <w:rPr>
          <w:rFonts w:ascii="Helvetica" w:eastAsia="Times New Roman" w:hAnsi="Helvetica" w:cs="Arial"/>
          <w:b/>
          <w:bCs/>
          <w:sz w:val="24"/>
          <w:szCs w:val="24"/>
          <w:lang w:val="es-PE"/>
        </w:rPr>
        <w:t>organizaciones de la sociedad civil, grupos ambientales y asociaciones ciudadanas</w:t>
      </w:r>
      <w:r w:rsidRPr="00A7603B">
        <w:rPr>
          <w:rFonts w:ascii="Helvetica" w:eastAsia="Times New Roman" w:hAnsi="Helvetica" w:cs="Arial"/>
          <w:sz w:val="24"/>
          <w:szCs w:val="24"/>
          <w:lang w:val="es-PE"/>
        </w:rPr>
        <w:t xml:space="preserve"> que velan por la protección del medio ambiente, los derechos humanos y el desarrollo sostenible. Estos grupos, aunque pueden no tener una relación directa con las operaciones, ejercen una influencia significativa en la opinión pública y en las decisiones de política pública. Sus demandas pueden estar orientadas hacia mayores estándares ambientales, políticas de responsabilidad social más robustas o mecanismos de desarrollo comunitario más participativos. Por ello, es importante que las empresas mineras mantengan canales de comunicación abiertos con estos grupos para poder comprender sus preocupaciones y responder de manera fundamentada.</w:t>
      </w:r>
    </w:p>
    <w:p w14:paraId="78407143" w14:textId="77777777" w:rsidR="00A7603B" w:rsidRPr="00A7603B" w:rsidRDefault="00A7603B" w:rsidP="00A7603B">
      <w:pPr>
        <w:spacing w:before="100" w:beforeAutospacing="1" w:after="100" w:afterAutospacing="1" w:line="360" w:lineRule="auto"/>
        <w:ind w:firstLine="720"/>
        <w:rPr>
          <w:rFonts w:ascii="Helvetica" w:eastAsia="Times New Roman" w:hAnsi="Helvetica" w:cs="Arial"/>
          <w:sz w:val="24"/>
          <w:szCs w:val="24"/>
          <w:lang w:val="es-PE"/>
        </w:rPr>
      </w:pPr>
      <w:r w:rsidRPr="00A7603B">
        <w:rPr>
          <w:rFonts w:ascii="Helvetica" w:eastAsia="Times New Roman" w:hAnsi="Helvetica" w:cs="Arial"/>
          <w:sz w:val="24"/>
          <w:szCs w:val="24"/>
          <w:lang w:val="es-PE"/>
        </w:rPr>
        <w:t xml:space="preserve">Finalmente, los </w:t>
      </w:r>
      <w:r w:rsidRPr="00A7603B">
        <w:rPr>
          <w:rFonts w:ascii="Helvetica" w:eastAsia="Times New Roman" w:hAnsi="Helvetica" w:cs="Arial"/>
          <w:b/>
          <w:bCs/>
          <w:sz w:val="24"/>
          <w:szCs w:val="24"/>
          <w:lang w:val="es-PE"/>
        </w:rPr>
        <w:t>consumidores finales y mercados internacionales</w:t>
      </w:r>
      <w:r w:rsidRPr="00A7603B">
        <w:rPr>
          <w:rFonts w:ascii="Helvetica" w:eastAsia="Times New Roman" w:hAnsi="Helvetica" w:cs="Arial"/>
          <w:sz w:val="24"/>
          <w:szCs w:val="24"/>
          <w:lang w:val="es-PE"/>
        </w:rPr>
        <w:t xml:space="preserve"> representan un conjunto de </w:t>
      </w:r>
      <w:proofErr w:type="spellStart"/>
      <w:r w:rsidRPr="00A7603B">
        <w:rPr>
          <w:rFonts w:ascii="Helvetica" w:eastAsia="Times New Roman" w:hAnsi="Helvetica" w:cs="Arial"/>
          <w:sz w:val="24"/>
          <w:szCs w:val="24"/>
          <w:lang w:val="es-PE"/>
        </w:rPr>
        <w:t>stakeholders</w:t>
      </w:r>
      <w:proofErr w:type="spellEnd"/>
      <w:r w:rsidRPr="00A7603B">
        <w:rPr>
          <w:rFonts w:ascii="Helvetica" w:eastAsia="Times New Roman" w:hAnsi="Helvetica" w:cs="Arial"/>
          <w:sz w:val="24"/>
          <w:szCs w:val="24"/>
          <w:lang w:val="es-PE"/>
        </w:rPr>
        <w:t xml:space="preserve"> que, aunque no interactúan directamente con las operaciones mineras en el Perú, tienen un interés creciente en la transparencia, trazabilidad y sostenibilidad de los minerales que se extraen. Las exigencias de estándares internacionales en temas de responsabilidad social y ambiental hacen que la comunicación corporativa de las empresas mineras deba incorporar prácticas y reportes que sean consistentes con las expectativas globales de sostenibilidad.</w:t>
      </w:r>
    </w:p>
    <w:p w14:paraId="5B461093" w14:textId="77777777" w:rsidR="00A7603B" w:rsidRPr="00A7603B" w:rsidRDefault="00A7603B" w:rsidP="00A7603B">
      <w:pPr>
        <w:spacing w:before="100" w:beforeAutospacing="1" w:after="100" w:afterAutospacing="1" w:line="360" w:lineRule="auto"/>
        <w:ind w:firstLine="720"/>
        <w:rPr>
          <w:rFonts w:ascii="Helvetica" w:eastAsia="Times New Roman" w:hAnsi="Helvetica" w:cs="Arial"/>
          <w:sz w:val="24"/>
          <w:szCs w:val="24"/>
          <w:lang w:val="es-PE"/>
        </w:rPr>
      </w:pPr>
      <w:r w:rsidRPr="00A7603B">
        <w:rPr>
          <w:rFonts w:ascii="Helvetica" w:eastAsia="Times New Roman" w:hAnsi="Helvetica" w:cs="Arial"/>
          <w:sz w:val="24"/>
          <w:szCs w:val="24"/>
          <w:lang w:val="es-PE"/>
        </w:rPr>
        <w:t xml:space="preserve">La adecuada gestión de estos </w:t>
      </w:r>
      <w:proofErr w:type="spellStart"/>
      <w:r w:rsidRPr="00A7603B">
        <w:rPr>
          <w:rFonts w:ascii="Helvetica" w:eastAsia="Times New Roman" w:hAnsi="Helvetica" w:cs="Arial"/>
          <w:sz w:val="24"/>
          <w:szCs w:val="24"/>
          <w:lang w:val="es-PE"/>
        </w:rPr>
        <w:t>stakeholders</w:t>
      </w:r>
      <w:proofErr w:type="spellEnd"/>
      <w:r w:rsidRPr="00A7603B">
        <w:rPr>
          <w:rFonts w:ascii="Helvetica" w:eastAsia="Times New Roman" w:hAnsi="Helvetica" w:cs="Arial"/>
          <w:sz w:val="24"/>
          <w:szCs w:val="24"/>
          <w:lang w:val="es-PE"/>
        </w:rPr>
        <w:t xml:space="preserve"> es un componente esencial de la comunicación corporativa en la minería peruana. Reconocer las características, intereses y niveles de influencia de cada grupo permite diseñar estrategias comunicativas efectivas, promover relaciones constructivas y asegurar un entorno más favorable para la operación responsable y sostenible de la actividad minera en el país.</w:t>
      </w:r>
    </w:p>
    <w:p w14:paraId="004EBA4E" w14:textId="77777777" w:rsidR="00A7603B" w:rsidRPr="00A7603B" w:rsidRDefault="00A7603B" w:rsidP="00A7603B">
      <w:pPr>
        <w:spacing w:before="100" w:beforeAutospacing="1" w:after="100" w:afterAutospacing="1" w:line="360" w:lineRule="auto"/>
        <w:rPr>
          <w:rFonts w:ascii="Helvetica" w:eastAsia="Times New Roman" w:hAnsi="Helvetica" w:cs="Times New Roman"/>
          <w:sz w:val="28"/>
          <w:szCs w:val="28"/>
          <w:lang w:val="es-PE"/>
        </w:rPr>
      </w:pPr>
      <w:r w:rsidRPr="00A7603B">
        <w:rPr>
          <w:rFonts w:ascii="Helvetica" w:eastAsia="Times New Roman" w:hAnsi="Helvetica" w:cs="Times New Roman"/>
          <w:b/>
          <w:bCs/>
          <w:sz w:val="28"/>
          <w:szCs w:val="28"/>
          <w:lang w:val="es-PE"/>
        </w:rPr>
        <w:t>1.4. Reputación corporativa y gestión de imagen</w:t>
      </w:r>
    </w:p>
    <w:p w14:paraId="674DF1B0"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La </w:t>
      </w:r>
      <w:r w:rsidRPr="00A7603B">
        <w:rPr>
          <w:rFonts w:ascii="Helvetica" w:eastAsia="Times New Roman" w:hAnsi="Helvetica" w:cs="Times New Roman"/>
          <w:b/>
          <w:bCs/>
          <w:sz w:val="24"/>
          <w:szCs w:val="24"/>
          <w:lang w:val="es-PE"/>
        </w:rPr>
        <w:t>reputación corporativa</w:t>
      </w:r>
      <w:r w:rsidRPr="00A7603B">
        <w:rPr>
          <w:rFonts w:ascii="Helvetica" w:eastAsia="Times New Roman" w:hAnsi="Helvetica" w:cs="Times New Roman"/>
          <w:sz w:val="24"/>
          <w:szCs w:val="24"/>
          <w:lang w:val="es-PE"/>
        </w:rPr>
        <w:t xml:space="preserve"> es uno de los activos más valiosos para una empresa, especialmente en el sector minero, donde las operaciones son visibles, complejas y pueden generar impactos sociales y ambientales significativos. La reputación no es solo la percepción que tienen los distintos públicos sobre una empresa, sino también el reflejo de cómo esta ha gestionado sus responsabilidades, cumplido sus compromisos y respondido ante crisis o expectativas colectivas. Para las empresas mineras, una reputación sólida está ligada directamente con la capacidad de operar de manera sostenida en el tiempo, asegurar inversiones, fortalecer relaciones con comunidades y autoridades, y proteger la licencia social para operar.</w:t>
      </w:r>
    </w:p>
    <w:p w14:paraId="343DE55A"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La </w:t>
      </w:r>
      <w:r w:rsidRPr="00A7603B">
        <w:rPr>
          <w:rFonts w:ascii="Helvetica" w:eastAsia="Times New Roman" w:hAnsi="Helvetica" w:cs="Times New Roman"/>
          <w:b/>
          <w:bCs/>
          <w:sz w:val="24"/>
          <w:szCs w:val="24"/>
          <w:lang w:val="es-PE"/>
        </w:rPr>
        <w:t>gestión de imagen</w:t>
      </w:r>
      <w:r w:rsidRPr="00A7603B">
        <w:rPr>
          <w:rFonts w:ascii="Helvetica" w:eastAsia="Times New Roman" w:hAnsi="Helvetica" w:cs="Times New Roman"/>
          <w:sz w:val="24"/>
          <w:szCs w:val="24"/>
          <w:lang w:val="es-PE"/>
        </w:rPr>
        <w:t>, por su parte, es el conjunto de acciones estratégicas que realiza una organización para influir positivamente en la forma en que es percibida por sus públicos de interés. Aunque la imagen y la reputación están relacionadas, no son sinónimos: la imagen se refiere a las impresiones inmediatas o particulares que los distintos públicos tienen sobre la empresa, mientras que la reputación es una evaluación más profunda y estable en el tiempo, construida sobre múltiples experiencias, comunicaciones y comportamientos demostrados por la empresa en diferentes contextos.</w:t>
      </w:r>
    </w:p>
    <w:p w14:paraId="45946B96"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En el ámbito de la minería peruana, la gestión de reputación corporativa adquiere una relevancia particular debido a la historia de confrontaciones, demandas sociales y debates públicos que han rodeado a la actividad extractiva. Esto hace que las empresas deban trabajar constantemente en construir una reputación positiva, demostrando no solo que cumplen con la normativa legal vigente, sino también que contribuyen activamente al desarrollo sostenible de las regiones donde operan. Este enfoque implica mostrar resultados tangibles en temas como el cuidado ambiental, la generación de empleo, el desarrollo de capacidades locales, la transparencia en la gestión y la participación efectiva de los diversos grupos de interés.</w:t>
      </w:r>
    </w:p>
    <w:p w14:paraId="69F034AD"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Un elemento central en la gestión de reputación es la </w:t>
      </w:r>
      <w:r w:rsidRPr="00A7603B">
        <w:rPr>
          <w:rFonts w:ascii="Helvetica" w:eastAsia="Times New Roman" w:hAnsi="Helvetica" w:cs="Times New Roman"/>
          <w:b/>
          <w:bCs/>
          <w:sz w:val="24"/>
          <w:szCs w:val="24"/>
          <w:lang w:val="es-PE"/>
        </w:rPr>
        <w:t>transparencia organizacional</w:t>
      </w:r>
      <w:r w:rsidRPr="00A7603B">
        <w:rPr>
          <w:rFonts w:ascii="Helvetica" w:eastAsia="Times New Roman" w:hAnsi="Helvetica" w:cs="Times New Roman"/>
          <w:sz w:val="24"/>
          <w:szCs w:val="24"/>
          <w:lang w:val="es-PE"/>
        </w:rPr>
        <w:t>. Ser transparente no implica solo compartir información, sino hacerlo de manera clara, verificada y accesible. Para ello, las empresas mineras han desarrollado mecanismos de rendición de cuentas, como la publicación de informes de sostenibilidad, la presentación de resultados ambientales, sociales y de gobernanza (ESG), así como la implementación de canales abiertos de comunicación con comunidades, autoridades y otros grupos clave. La transparencia contribuye a generar confianza, reduce rumores o percepciones erróneas y permite que los públicos interesados evalúen la gestión de la empresa con base en datos reales y verificables.</w:t>
      </w:r>
    </w:p>
    <w:p w14:paraId="3F21D339"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La </w:t>
      </w:r>
      <w:r w:rsidRPr="00A7603B">
        <w:rPr>
          <w:rFonts w:ascii="Helvetica" w:eastAsia="Times New Roman" w:hAnsi="Helvetica" w:cs="Times New Roman"/>
          <w:b/>
          <w:bCs/>
          <w:sz w:val="24"/>
          <w:szCs w:val="24"/>
          <w:lang w:val="es-PE"/>
        </w:rPr>
        <w:t>imagen corporativa</w:t>
      </w:r>
      <w:r w:rsidRPr="00A7603B">
        <w:rPr>
          <w:rFonts w:ascii="Helvetica" w:eastAsia="Times New Roman" w:hAnsi="Helvetica" w:cs="Times New Roman"/>
          <w:sz w:val="24"/>
          <w:szCs w:val="24"/>
          <w:lang w:val="es-PE"/>
        </w:rPr>
        <w:t xml:space="preserve"> se construye a partir de los mensajes que la empresa emite al exterior, la manera en que se posiciona frente a temas sensibles y la coherencia entre lo que se comunica y lo que realmente se hace. En este sentido, la comunicación corporativa desempeña un papel central, ya que debe garantizar que las narrativas promovidas por la empresa sean consistentes con sus acciones. Una campaña de comunicación efectivamente alineada con las acciones operativas y las políticas internas de responsabilidad social puede fortalecer la imagen, mientras que la falta de coherencia entre lo que se dice y lo que se hace puede deteriorar rápidamente la confianza y, por ende, la reputación.</w:t>
      </w:r>
    </w:p>
    <w:p w14:paraId="0FB10DA6" w14:textId="7F21C442"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La </w:t>
      </w:r>
      <w:r w:rsidRPr="00A7603B">
        <w:rPr>
          <w:rFonts w:ascii="Helvetica" w:eastAsia="Times New Roman" w:hAnsi="Helvetica" w:cs="Times New Roman"/>
          <w:b/>
          <w:bCs/>
          <w:sz w:val="24"/>
          <w:szCs w:val="24"/>
          <w:lang w:val="es-PE"/>
        </w:rPr>
        <w:t>gestión de crisis</w:t>
      </w:r>
      <w:r w:rsidRPr="00A7603B">
        <w:rPr>
          <w:rFonts w:ascii="Helvetica" w:eastAsia="Times New Roman" w:hAnsi="Helvetica" w:cs="Times New Roman"/>
          <w:sz w:val="24"/>
          <w:szCs w:val="24"/>
          <w:lang w:val="es-PE"/>
        </w:rPr>
        <w:t xml:space="preserve"> es otro aspecto fundamental de la reputación corporativa. Dado que la actividad minera puede enfrentarse a eventos imprevistos, como accidentes, derrames, conflictos sociales o críticas mediáticas, las empresas deben contar con protocolos y estrategias de comunicación de crisis que les permitan responder de manera eficiente y responsable. Una respuesta oportuna, basada en hechos, con empatía y respeto hacia los afectados, puede mitigar los impactos negativos y ayudar a restaurar la confianza de los públicos. La inexistencia de un plan de comunicación de crisis o la gestión inadecuada de una situación crítica puede generar daños que tarden años en ser recuperados y que afecten la percepción general del sector minero.</w:t>
      </w:r>
    </w:p>
    <w:p w14:paraId="166547EA"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Asimismo, la reputación corporativa está influenciada por </w:t>
      </w:r>
      <w:r w:rsidRPr="00A7603B">
        <w:rPr>
          <w:rFonts w:ascii="Helvetica" w:eastAsia="Times New Roman" w:hAnsi="Helvetica" w:cs="Times New Roman"/>
          <w:b/>
          <w:bCs/>
          <w:sz w:val="24"/>
          <w:szCs w:val="24"/>
          <w:lang w:val="es-PE"/>
        </w:rPr>
        <w:t>las prácticas de sostenibilidad</w:t>
      </w:r>
      <w:r w:rsidRPr="00A7603B">
        <w:rPr>
          <w:rFonts w:ascii="Helvetica" w:eastAsia="Times New Roman" w:hAnsi="Helvetica" w:cs="Times New Roman"/>
          <w:sz w:val="24"/>
          <w:szCs w:val="24"/>
          <w:lang w:val="es-PE"/>
        </w:rPr>
        <w:t xml:space="preserve"> que la empresa implementa y comunica. En un entorno donde la sociedad exige mayor responsabilidad ambiental y social, las empresas mineras han tenido que adoptar estándares internacionales de gestión, como los relacionados con el manejo del agua, la rehabilitación de espacios, la reducción de emisiones de gases de efecto invernadero y el respeto de los derechos humanos. Comunicar estos esfuerzos de manera efectiva, sin caer en discursos vacíos o superficiales, permite que los grupos de interés reconozcan los compromisos asumidos y evalúen la empresa desde una perspectiva holística.</w:t>
      </w:r>
    </w:p>
    <w:p w14:paraId="46848EBC"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 xml:space="preserve">Finalmente, la reputación corporativa y la gestión de imagen requieren de una </w:t>
      </w:r>
      <w:r w:rsidRPr="00A7603B">
        <w:rPr>
          <w:rFonts w:ascii="Helvetica" w:eastAsia="Times New Roman" w:hAnsi="Helvetica" w:cs="Times New Roman"/>
          <w:b/>
          <w:bCs/>
          <w:sz w:val="24"/>
          <w:szCs w:val="24"/>
          <w:lang w:val="es-PE"/>
        </w:rPr>
        <w:t>evaluación continua</w:t>
      </w:r>
      <w:r w:rsidRPr="00A7603B">
        <w:rPr>
          <w:rFonts w:ascii="Helvetica" w:eastAsia="Times New Roman" w:hAnsi="Helvetica" w:cs="Times New Roman"/>
          <w:sz w:val="24"/>
          <w:szCs w:val="24"/>
          <w:lang w:val="es-PE"/>
        </w:rPr>
        <w:t>, apoyada en mecanismos de monitoreo y retroalimentación que permitan a la empresa conocer cómo es percibida y qué factores determinan esas evaluaciones. Herramientas como encuestas de opinión, análisis de medios, estudios de percepción comunitaria y seguimiento de indicadores reputacionales son esenciales para identificar áreas de mejora y ajustar las estrategias comunicativas de manera proactiva. Esta evaluación continua permite que la empresa minera no solo reaccione ante expectativas cambiantes, sino que también anticipe tendencias y adapte su comunicación y acciones a los contextos sociales y económicos que enfrenta.</w:t>
      </w:r>
    </w:p>
    <w:p w14:paraId="66649B03" w14:textId="77777777" w:rsidR="00A7603B" w:rsidRPr="00A7603B" w:rsidRDefault="00A7603B" w:rsidP="00A7603B">
      <w:pPr>
        <w:spacing w:before="100" w:beforeAutospacing="1" w:after="100" w:afterAutospacing="1" w:line="360" w:lineRule="auto"/>
        <w:ind w:firstLine="720"/>
        <w:rPr>
          <w:rFonts w:ascii="Helvetica" w:eastAsia="Times New Roman" w:hAnsi="Helvetica" w:cs="Times New Roman"/>
          <w:sz w:val="24"/>
          <w:szCs w:val="24"/>
          <w:lang w:val="es-PE"/>
        </w:rPr>
      </w:pPr>
      <w:r w:rsidRPr="00A7603B">
        <w:rPr>
          <w:rFonts w:ascii="Helvetica" w:eastAsia="Times New Roman" w:hAnsi="Helvetica" w:cs="Times New Roman"/>
          <w:sz w:val="24"/>
          <w:szCs w:val="24"/>
          <w:lang w:val="es-PE"/>
        </w:rPr>
        <w:t>En síntesis, la reputación corporativa y la gestión de imagen en el sector minero peruano son procesos estratégicos, interrelacionados y dinámicos que requieren una comunicación consistente, transparente y coherente con las acciones de la empresa. Su adecuada gestión fortalece la legitimidad organizacional, favorece relaciones constructivas con los grupos de interés y contribuye al desarrollo sostenible y responsable de la actividad minera en el país.</w:t>
      </w:r>
    </w:p>
    <w:p w14:paraId="72C8AD7A" w14:textId="4D7318A1" w:rsidR="00AC724A" w:rsidRDefault="00AC724A" w:rsidP="00265352">
      <w:pPr>
        <w:pStyle w:val="NormalWeb"/>
        <w:rPr>
          <w:rFonts w:ascii="Arial" w:hAnsi="Arial" w:cs="Arial"/>
          <w:lang w:val="es-PE"/>
        </w:rPr>
      </w:pPr>
    </w:p>
    <w:p w14:paraId="5384ADAE" w14:textId="2407DA35" w:rsidR="00A7603B" w:rsidRDefault="00A7603B" w:rsidP="00265352">
      <w:pPr>
        <w:pStyle w:val="NormalWeb"/>
        <w:rPr>
          <w:rFonts w:ascii="Arial" w:hAnsi="Arial" w:cs="Arial"/>
          <w:lang w:val="es-PE"/>
        </w:rPr>
      </w:pPr>
    </w:p>
    <w:p w14:paraId="5C4AEF9B" w14:textId="41D6EAAB" w:rsidR="00A7603B" w:rsidRDefault="00A7603B" w:rsidP="00265352">
      <w:pPr>
        <w:pStyle w:val="NormalWeb"/>
        <w:rPr>
          <w:rFonts w:ascii="Arial" w:hAnsi="Arial" w:cs="Arial"/>
          <w:lang w:val="es-PE"/>
        </w:rPr>
      </w:pPr>
    </w:p>
    <w:p w14:paraId="6CF58865" w14:textId="227E8893" w:rsidR="00A7603B" w:rsidRDefault="00A7603B" w:rsidP="00265352">
      <w:pPr>
        <w:pStyle w:val="NormalWeb"/>
        <w:rPr>
          <w:rFonts w:ascii="Arial" w:hAnsi="Arial" w:cs="Arial"/>
          <w:lang w:val="es-PE"/>
        </w:rPr>
      </w:pPr>
    </w:p>
    <w:p w14:paraId="6B4A28DF" w14:textId="170ED911" w:rsidR="00A7603B" w:rsidRDefault="00A7603B" w:rsidP="00265352">
      <w:pPr>
        <w:pStyle w:val="NormalWeb"/>
        <w:rPr>
          <w:rFonts w:ascii="Arial" w:hAnsi="Arial" w:cs="Arial"/>
          <w:lang w:val="es-PE"/>
        </w:rPr>
      </w:pPr>
    </w:p>
    <w:p w14:paraId="2FAA23F0" w14:textId="2D3181F5" w:rsidR="00A7603B" w:rsidRDefault="00A7603B" w:rsidP="00265352">
      <w:pPr>
        <w:pStyle w:val="NormalWeb"/>
        <w:rPr>
          <w:rFonts w:ascii="Arial" w:hAnsi="Arial" w:cs="Arial"/>
          <w:lang w:val="es-PE"/>
        </w:rPr>
      </w:pPr>
    </w:p>
    <w:p w14:paraId="5F5370B0" w14:textId="1F17043B" w:rsidR="00A7603B" w:rsidRDefault="00A7603B" w:rsidP="00265352">
      <w:pPr>
        <w:pStyle w:val="NormalWeb"/>
        <w:rPr>
          <w:rFonts w:ascii="Arial" w:hAnsi="Arial" w:cs="Arial"/>
          <w:lang w:val="es-PE"/>
        </w:rPr>
      </w:pPr>
    </w:p>
    <w:p w14:paraId="5109FB50" w14:textId="06FB0887" w:rsidR="00A7603B" w:rsidRDefault="00A7603B" w:rsidP="00265352">
      <w:pPr>
        <w:pStyle w:val="NormalWeb"/>
        <w:rPr>
          <w:rFonts w:ascii="Arial" w:hAnsi="Arial" w:cs="Arial"/>
          <w:lang w:val="es-PE"/>
        </w:rPr>
      </w:pPr>
    </w:p>
    <w:p w14:paraId="6782DC10" w14:textId="2241346C" w:rsidR="00A7603B" w:rsidRDefault="00A7603B" w:rsidP="00265352">
      <w:pPr>
        <w:pStyle w:val="NormalWeb"/>
        <w:rPr>
          <w:rFonts w:ascii="Arial" w:hAnsi="Arial" w:cs="Arial"/>
          <w:lang w:val="es-PE"/>
        </w:rPr>
      </w:pPr>
    </w:p>
    <w:p w14:paraId="3A84C836" w14:textId="13018335" w:rsidR="00A7603B" w:rsidRDefault="00A7603B" w:rsidP="00265352">
      <w:pPr>
        <w:pStyle w:val="NormalWeb"/>
        <w:rPr>
          <w:rFonts w:ascii="Arial" w:hAnsi="Arial" w:cs="Arial"/>
          <w:lang w:val="es-PE"/>
        </w:rPr>
      </w:pPr>
    </w:p>
    <w:p w14:paraId="3C133596" w14:textId="47FB9136" w:rsidR="00A7603B" w:rsidRDefault="00A7603B" w:rsidP="00265352">
      <w:pPr>
        <w:pStyle w:val="NormalWeb"/>
        <w:rPr>
          <w:rFonts w:ascii="Arial" w:hAnsi="Arial" w:cs="Arial"/>
          <w:lang w:val="es-PE"/>
        </w:rPr>
      </w:pPr>
    </w:p>
    <w:p w14:paraId="18FE96AB" w14:textId="79E6CD9F" w:rsidR="00A7603B" w:rsidRDefault="00A7603B" w:rsidP="00265352">
      <w:pPr>
        <w:pStyle w:val="NormalWeb"/>
        <w:rPr>
          <w:rFonts w:ascii="Arial" w:hAnsi="Arial" w:cs="Arial"/>
          <w:lang w:val="es-PE"/>
        </w:rPr>
      </w:pPr>
    </w:p>
    <w:p w14:paraId="266B531C" w14:textId="7E6026DE" w:rsidR="00A7603B" w:rsidRDefault="00A7603B" w:rsidP="00265352">
      <w:pPr>
        <w:pStyle w:val="NormalWeb"/>
        <w:rPr>
          <w:rFonts w:ascii="Arial" w:hAnsi="Arial" w:cs="Arial"/>
          <w:lang w:val="es-PE"/>
        </w:rPr>
      </w:pPr>
    </w:p>
    <w:p w14:paraId="49C020B6" w14:textId="6AB3CEF1" w:rsidR="00A7603B" w:rsidRDefault="00A7603B" w:rsidP="00265352">
      <w:pPr>
        <w:pStyle w:val="NormalWeb"/>
        <w:rPr>
          <w:rFonts w:ascii="Arial" w:hAnsi="Arial" w:cs="Arial"/>
          <w:lang w:val="es-PE"/>
        </w:rPr>
      </w:pPr>
    </w:p>
    <w:p w14:paraId="0F16D1D0" w14:textId="797BDF5E" w:rsidR="00A7603B" w:rsidRDefault="00A7603B" w:rsidP="00265352">
      <w:pPr>
        <w:pStyle w:val="NormalWeb"/>
        <w:rPr>
          <w:rFonts w:ascii="Arial" w:hAnsi="Arial" w:cs="Arial"/>
          <w:lang w:val="es-PE"/>
        </w:rPr>
      </w:pPr>
    </w:p>
    <w:p w14:paraId="20350BF1" w14:textId="462CF3B7" w:rsidR="00A7603B" w:rsidRDefault="00A7603B" w:rsidP="00265352">
      <w:pPr>
        <w:pStyle w:val="NormalWeb"/>
        <w:rPr>
          <w:rFonts w:ascii="Arial" w:hAnsi="Arial" w:cs="Arial"/>
          <w:lang w:val="uk-UA"/>
        </w:rPr>
      </w:pPr>
    </w:p>
    <w:p w14:paraId="458E9FC0" w14:textId="77777777" w:rsidR="00C923EF" w:rsidRPr="00C923EF" w:rsidRDefault="00C923EF" w:rsidP="00265352">
      <w:pPr>
        <w:pStyle w:val="NormalWeb"/>
        <w:rPr>
          <w:rFonts w:ascii="Arial" w:hAnsi="Arial" w:cs="Arial"/>
          <w:lang w:val="uk-UA"/>
        </w:rPr>
      </w:pPr>
    </w:p>
    <w:p w14:paraId="04137CCE" w14:textId="77777777" w:rsidR="00A7603B" w:rsidRPr="001A38F5" w:rsidRDefault="00A7603B" w:rsidP="001A38F5">
      <w:pPr>
        <w:pStyle w:val="NormalWeb"/>
        <w:spacing w:after="0" w:afterAutospacing="0" w:line="360" w:lineRule="auto"/>
        <w:rPr>
          <w:rFonts w:ascii="Helvetica" w:hAnsi="Helvetica" w:cs="Arial"/>
          <w:b/>
          <w:bCs/>
          <w:sz w:val="32"/>
          <w:szCs w:val="32"/>
          <w:lang w:val="es-PE"/>
        </w:rPr>
      </w:pPr>
      <w:r w:rsidRPr="001A38F5">
        <w:rPr>
          <w:rFonts w:ascii="Helvetica" w:hAnsi="Helvetica" w:cs="Arial"/>
          <w:b/>
          <w:bCs/>
          <w:sz w:val="32"/>
          <w:szCs w:val="32"/>
          <w:lang w:val="es-PE"/>
        </w:rPr>
        <w:t>2. RELACIONES CON LA COMUNIDAD Y LICENCIA SOCIAL</w:t>
      </w:r>
    </w:p>
    <w:p w14:paraId="49DB4676" w14:textId="7AA799E3" w:rsidR="00A7603B" w:rsidRPr="001A38F5" w:rsidRDefault="00A7603B" w:rsidP="001A38F5">
      <w:pPr>
        <w:pStyle w:val="NormalWeb"/>
        <w:spacing w:before="0" w:beforeAutospacing="0" w:line="360" w:lineRule="auto"/>
        <w:rPr>
          <w:rFonts w:ascii="Helvetica" w:hAnsi="Helvetica" w:cs="Arial"/>
          <w:b/>
          <w:bCs/>
          <w:sz w:val="28"/>
          <w:szCs w:val="28"/>
          <w:lang w:val="es-PE"/>
        </w:rPr>
      </w:pPr>
      <w:r w:rsidRPr="001A38F5">
        <w:rPr>
          <w:rFonts w:ascii="Helvetica" w:hAnsi="Helvetica" w:cs="Arial"/>
          <w:b/>
          <w:bCs/>
          <w:sz w:val="28"/>
          <w:szCs w:val="28"/>
          <w:lang w:val="es-PE"/>
        </w:rPr>
        <w:t>2.1. Concepto de licencia social para operar</w:t>
      </w:r>
    </w:p>
    <w:p w14:paraId="5C62F1DB"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licencia social para operar (LSO)</w:t>
      </w:r>
      <w:r w:rsidRPr="001A38F5">
        <w:rPr>
          <w:rFonts w:ascii="Helvetica" w:eastAsia="Times New Roman" w:hAnsi="Helvetica" w:cs="Times New Roman"/>
          <w:sz w:val="24"/>
          <w:szCs w:val="24"/>
          <w:lang w:val="es-PE"/>
        </w:rPr>
        <w:t xml:space="preserve"> es un concepto central dentro de la dinámica de las relaciones entre las empresas mineras y las comunidades en las zonas de influencia de los proyectos extractivos. A diferencia de los permisos legales o las autorizaciones formales que otorgan las instituciones del Estado para desarrollar una actividad económica, la licencia social es un </w:t>
      </w:r>
      <w:r w:rsidRPr="001A38F5">
        <w:rPr>
          <w:rFonts w:ascii="Helvetica" w:eastAsia="Times New Roman" w:hAnsi="Helvetica" w:cs="Times New Roman"/>
          <w:b/>
          <w:bCs/>
          <w:sz w:val="24"/>
          <w:szCs w:val="24"/>
          <w:lang w:val="es-PE"/>
        </w:rPr>
        <w:t>acuerdo no escrito de aceptación, confianza y legitimidad otorgado por las comunidades y otros grupos de interés</w:t>
      </w:r>
      <w:r w:rsidRPr="001A38F5">
        <w:rPr>
          <w:rFonts w:ascii="Helvetica" w:eastAsia="Times New Roman" w:hAnsi="Helvetica" w:cs="Times New Roman"/>
          <w:sz w:val="24"/>
          <w:szCs w:val="24"/>
          <w:lang w:val="es-PE"/>
        </w:rPr>
        <w:t>. Este acuerdo se basa en percepciones, expectativas y relaciones construidas durante el tiempo, y no depende exclusivamente de normas formales o requisitos legales.</w:t>
      </w:r>
    </w:p>
    <w:p w14:paraId="5AE54236"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importancia de la licencia social radica en que </w:t>
      </w:r>
      <w:r w:rsidRPr="001A38F5">
        <w:rPr>
          <w:rFonts w:ascii="Helvetica" w:eastAsia="Times New Roman" w:hAnsi="Helvetica" w:cs="Times New Roman"/>
          <w:b/>
          <w:bCs/>
          <w:sz w:val="24"/>
          <w:szCs w:val="24"/>
          <w:lang w:val="es-PE"/>
        </w:rPr>
        <w:t>garantiza la continuidad operativa de un proyecto minero más allá del cumplimiento de la ley</w:t>
      </w:r>
      <w:r w:rsidRPr="001A38F5">
        <w:rPr>
          <w:rFonts w:ascii="Helvetica" w:eastAsia="Times New Roman" w:hAnsi="Helvetica" w:cs="Times New Roman"/>
          <w:sz w:val="24"/>
          <w:szCs w:val="24"/>
          <w:lang w:val="es-PE"/>
        </w:rPr>
        <w:t>. Una empresa puede tener todas las autorizaciones ambientales, laborales y técnicas necesarias para operar, pero si no cuenta con el respaldo y la aceptación de la población local, puede enfrentar resistencias, protestas, bloqueos de vías y conflictos sociales que detengan o dificulten sus actividades. La minería en el Perú ha sido históricamente un sector con presencia de tensiones socioambientales, lo que ha llevado a que el concepto de licencia social se convierta en una pieza clave de la gestión estratégica y de comunicaciones de cualquier proyecto minero.</w:t>
      </w:r>
    </w:p>
    <w:p w14:paraId="282A01C9"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De forma práctica, la licencia social para operar se construye a partir de </w:t>
      </w:r>
      <w:r w:rsidRPr="001A38F5">
        <w:rPr>
          <w:rFonts w:ascii="Helvetica" w:eastAsia="Times New Roman" w:hAnsi="Helvetica" w:cs="Times New Roman"/>
          <w:b/>
          <w:bCs/>
          <w:sz w:val="24"/>
          <w:szCs w:val="24"/>
          <w:lang w:val="es-PE"/>
        </w:rPr>
        <w:t>relaciones basadas en la confianza</w:t>
      </w:r>
      <w:r w:rsidRPr="001A38F5">
        <w:rPr>
          <w:rFonts w:ascii="Helvetica" w:eastAsia="Times New Roman" w:hAnsi="Helvetica" w:cs="Times New Roman"/>
          <w:sz w:val="24"/>
          <w:szCs w:val="24"/>
          <w:lang w:val="es-PE"/>
        </w:rPr>
        <w:t>, la transparencia y el diálogo permanente con los actores sociales que tienen algún tipo de interés o afectación por las operaciones mineras. Estas relaciones no se establecen de manera inmediata ni automática; requieren de procesos sostenidos en el tiempo, donde la empresa demuestre con acciones concretas que respeta los derechos de las comunidades, atiende sus preocupaciones y genera beneficios tangibles para ellas. Esto implica ir más allá de la comunicación informativa e implementar mecanismos de participación, consulta y retroalimentación que permitan a las comunidades expresar sus expectativas, dudas o demandas respecto al proyecto.</w:t>
      </w:r>
    </w:p>
    <w:p w14:paraId="6E9352A2" w14:textId="77824920"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 elemento clave en la construcción de la LSO es la </w:t>
      </w:r>
      <w:r w:rsidRPr="001A38F5">
        <w:rPr>
          <w:rFonts w:ascii="Helvetica" w:eastAsia="Times New Roman" w:hAnsi="Helvetica" w:cs="Times New Roman"/>
          <w:b/>
          <w:bCs/>
          <w:sz w:val="24"/>
          <w:szCs w:val="24"/>
          <w:lang w:val="es-PE"/>
        </w:rPr>
        <w:t>comprensión del contexto cultural, social y económico</w:t>
      </w:r>
      <w:r w:rsidRPr="001A38F5">
        <w:rPr>
          <w:rFonts w:ascii="Helvetica" w:eastAsia="Times New Roman" w:hAnsi="Helvetica" w:cs="Times New Roman"/>
          <w:sz w:val="24"/>
          <w:szCs w:val="24"/>
          <w:lang w:val="es-PE"/>
        </w:rPr>
        <w:t xml:space="preserve"> de las comunidades afectadas. Cada comunidad tiene valores, formas de organización, prioridades y percepciones propias, influenciadas por su historia, sus tradiciones y su relación con el entorno natural. Por ello, la empresa minera debe realizar diagnósticos sociales rigurosos y diseñar estrategias de comunicación y relacionamiento que respeten esta diversidad, evitando enfoques estandarizados que no tomen en cuenta las particularidades locales. Entender las prioridades de la comunidad como el acceso al agua, la preservación de los recursos naturales, oportunidades de empleo o proyectos de desarrollo comunal fortalece las bases para un diálogo más genuino y constructivo.</w:t>
      </w:r>
    </w:p>
    <w:p w14:paraId="24D61028"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transparencia</w:t>
      </w:r>
      <w:r w:rsidRPr="001A38F5">
        <w:rPr>
          <w:rFonts w:ascii="Helvetica" w:eastAsia="Times New Roman" w:hAnsi="Helvetica" w:cs="Times New Roman"/>
          <w:sz w:val="24"/>
          <w:szCs w:val="24"/>
          <w:lang w:val="es-PE"/>
        </w:rPr>
        <w:t xml:space="preserve"> es otro pilar fundamental para consolidar la licencia social. Las comunidades esperan acceso a información clara, veraz y oportuna sobre los impactos ambientales y sociales de los proyectos, los planes de mitigación, los beneficios económicos esperados y los mecanismos de seguimiento. La falta de transparencia, ya sea por omisión o por ofrecer información técnica incomprensible, puede generar desconfianza y malentendidos, erosionando progresivamente el apoyo comunitario. Por ello, las empresas mineras deben diseñar estrategias comunicativas adaptadas a los distintos públicos, utilizando lenguaje accesible y medios adecuados para garantizar que la información relevante llegue y sea comprendida por todos.</w:t>
      </w:r>
    </w:p>
    <w:p w14:paraId="43369962"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Además, la licencia social para operar no es un estado estático, sino </w:t>
      </w:r>
      <w:r w:rsidRPr="001A38F5">
        <w:rPr>
          <w:rFonts w:ascii="Helvetica" w:eastAsia="Times New Roman" w:hAnsi="Helvetica" w:cs="Times New Roman"/>
          <w:b/>
          <w:bCs/>
          <w:sz w:val="24"/>
          <w:szCs w:val="24"/>
          <w:lang w:val="es-PE"/>
        </w:rPr>
        <w:t>dinámico y evolutivo</w:t>
      </w:r>
      <w:r w:rsidRPr="001A38F5">
        <w:rPr>
          <w:rFonts w:ascii="Helvetica" w:eastAsia="Times New Roman" w:hAnsi="Helvetica" w:cs="Times New Roman"/>
          <w:sz w:val="24"/>
          <w:szCs w:val="24"/>
          <w:lang w:val="es-PE"/>
        </w:rPr>
        <w:t>. Las expectativas y percepciones de las comunidades pueden cambiar a medida que avanzan las operaciones mineras, que surgen nuevos impactos o que se perciben resultados socioeconómicos distintos a los esperados. Por esta razón, mantener la LSO implica un esfuerzo continuo de evaluación, escucha activa, ajuste de estrategias y respuestas frente a inquietudes emergentes. La empresa debe invertir en sistemas de monitoreo social y en mecanismos de retroalimentación que permitan medir el nivel de confianza y percepción comunitaria en diferentes momentos del ciclo de vida del proyecto.</w:t>
      </w:r>
    </w:p>
    <w:p w14:paraId="20A7300D"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falta de una licencia social sólida puede traducirse en </w:t>
      </w:r>
      <w:r w:rsidRPr="001A38F5">
        <w:rPr>
          <w:rFonts w:ascii="Helvetica" w:eastAsia="Times New Roman" w:hAnsi="Helvetica" w:cs="Times New Roman"/>
          <w:b/>
          <w:bCs/>
          <w:sz w:val="24"/>
          <w:szCs w:val="24"/>
          <w:lang w:val="es-PE"/>
        </w:rPr>
        <w:t>conflictos socioambientales</w:t>
      </w:r>
      <w:r w:rsidRPr="001A38F5">
        <w:rPr>
          <w:rFonts w:ascii="Helvetica" w:eastAsia="Times New Roman" w:hAnsi="Helvetica" w:cs="Times New Roman"/>
          <w:sz w:val="24"/>
          <w:szCs w:val="24"/>
          <w:lang w:val="es-PE"/>
        </w:rPr>
        <w:t xml:space="preserve">, que no solo generan costos económicos significativos para la empresa, sino que también afectan la cohesión social, la gobernanza local y la imagen del sector minero en general. Por el contrario, contar con una licencia social robusta contribuye a </w:t>
      </w:r>
      <w:r w:rsidRPr="001A38F5">
        <w:rPr>
          <w:rFonts w:ascii="Helvetica" w:eastAsia="Times New Roman" w:hAnsi="Helvetica" w:cs="Times New Roman"/>
          <w:b/>
          <w:bCs/>
          <w:sz w:val="24"/>
          <w:szCs w:val="24"/>
          <w:lang w:val="es-PE"/>
        </w:rPr>
        <w:t>minimizar riesgos operativos</w:t>
      </w:r>
      <w:r w:rsidRPr="001A38F5">
        <w:rPr>
          <w:rFonts w:ascii="Helvetica" w:eastAsia="Times New Roman" w:hAnsi="Helvetica" w:cs="Times New Roman"/>
          <w:sz w:val="24"/>
          <w:szCs w:val="24"/>
          <w:lang w:val="es-PE"/>
        </w:rPr>
        <w:t>, facilitar procesos de consulta y participación ciudadana, fortalecer alianzas colaborativas con las comunidades y promover un entorno más favorable para la inversión responsable y sostenible.</w:t>
      </w:r>
    </w:p>
    <w:p w14:paraId="48EB2855" w14:textId="77777777" w:rsidR="001A38F5" w:rsidRPr="001A38F5" w:rsidRDefault="001A38F5" w:rsidP="001A38F5">
      <w:pPr>
        <w:spacing w:before="100" w:beforeAutospacing="1" w:after="100" w:afterAutospacing="1" w:line="360" w:lineRule="auto"/>
        <w:ind w:firstLine="720"/>
        <w:rPr>
          <w:rFonts w:ascii="Times New Roman" w:eastAsia="Times New Roman" w:hAnsi="Times New Roman" w:cs="Times New Roman"/>
          <w:sz w:val="24"/>
          <w:szCs w:val="24"/>
          <w:lang w:val="es-PE"/>
        </w:rPr>
      </w:pPr>
      <w:r w:rsidRPr="001A38F5">
        <w:rPr>
          <w:rFonts w:ascii="Helvetica" w:eastAsia="Times New Roman" w:hAnsi="Helvetica" w:cs="Times New Roman"/>
          <w:sz w:val="24"/>
          <w:szCs w:val="24"/>
          <w:lang w:val="es-PE"/>
        </w:rPr>
        <w:t>En síntesis, la licencia social para operar representa la aceptación voluntaria, el respaldo y el nivel de confianza que las comunidades y otros grupos de interés conceden a una empresa minera. Su construcción requiere compromiso, diálogo permanente, respeto por los derechos y valores locales, transparencia en la información y la capacidad de responder efectivamente a las expectativas sociales. En el marco de la comunicación corporativa, la gestión de la LSO se convierte en una función estratégica que influye directamente en la viabilidad, legitimidad y sostenibilidad de los proyectos mineros en el Perú.</w:t>
      </w:r>
    </w:p>
    <w:p w14:paraId="09F7338E" w14:textId="77777777" w:rsidR="001A38F5" w:rsidRPr="001A38F5" w:rsidRDefault="001A38F5" w:rsidP="001A38F5">
      <w:pPr>
        <w:spacing w:before="100" w:beforeAutospacing="1" w:after="100" w:afterAutospacing="1" w:line="360" w:lineRule="auto"/>
        <w:rPr>
          <w:rFonts w:ascii="Helvetica" w:eastAsia="Times New Roman" w:hAnsi="Helvetica" w:cs="Times New Roman"/>
          <w:sz w:val="28"/>
          <w:szCs w:val="28"/>
          <w:lang w:val="es-PE"/>
        </w:rPr>
      </w:pPr>
      <w:r w:rsidRPr="001A38F5">
        <w:rPr>
          <w:rFonts w:ascii="Helvetica" w:eastAsia="Times New Roman" w:hAnsi="Helvetica" w:cs="Times New Roman"/>
          <w:b/>
          <w:bCs/>
          <w:sz w:val="28"/>
          <w:szCs w:val="28"/>
          <w:lang w:val="es-PE"/>
        </w:rPr>
        <w:t>2.2. Diálogo y consulta previa con comunidades</w:t>
      </w:r>
    </w:p>
    <w:p w14:paraId="6B81911F"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En el marco de las relaciones entre las empresas mineras y las comunidades locales en el Perú, el </w:t>
      </w:r>
      <w:r w:rsidRPr="001A38F5">
        <w:rPr>
          <w:rFonts w:ascii="Helvetica" w:eastAsia="Times New Roman" w:hAnsi="Helvetica" w:cs="Times New Roman"/>
          <w:b/>
          <w:bCs/>
          <w:sz w:val="24"/>
          <w:szCs w:val="24"/>
          <w:lang w:val="es-PE"/>
        </w:rPr>
        <w:t>diálogo y la consulta previa</w:t>
      </w:r>
      <w:r w:rsidRPr="001A38F5">
        <w:rPr>
          <w:rFonts w:ascii="Helvetica" w:eastAsia="Times New Roman" w:hAnsi="Helvetica" w:cs="Times New Roman"/>
          <w:sz w:val="24"/>
          <w:szCs w:val="24"/>
          <w:lang w:val="es-PE"/>
        </w:rPr>
        <w:t xml:space="preserve"> constituyen mecanismos fundamentales para el establecimiento de una comunicación respetuosa, participativa y orientada a la gestión responsable de los impactos sociales y culturales que pueden generar los proyectos extractivos. Mientras que el diálogo se refiere a un proceso continuo de intercambio de información, opiniones y expectativas entre las partes involucradas, la consulta previa es un derecho constitucional y un procedimiento formal que reconoce la necesidad de escuchar y considerar de manera específica a los pueblos indígenas u originarios antes de adoptar decisiones o ejecutar proyectos que puedan afectar sus territorios, culturas y formas de vida.</w:t>
      </w:r>
    </w:p>
    <w:p w14:paraId="64A9377D"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El </w:t>
      </w:r>
      <w:r w:rsidRPr="001A38F5">
        <w:rPr>
          <w:rFonts w:ascii="Helvetica" w:eastAsia="Times New Roman" w:hAnsi="Helvetica" w:cs="Times New Roman"/>
          <w:b/>
          <w:bCs/>
          <w:sz w:val="24"/>
          <w:szCs w:val="24"/>
          <w:lang w:val="es-PE"/>
        </w:rPr>
        <w:t>diálogo con las comunidades</w:t>
      </w:r>
      <w:r w:rsidRPr="001A38F5">
        <w:rPr>
          <w:rFonts w:ascii="Helvetica" w:eastAsia="Times New Roman" w:hAnsi="Helvetica" w:cs="Times New Roman"/>
          <w:sz w:val="24"/>
          <w:szCs w:val="24"/>
          <w:lang w:val="es-PE"/>
        </w:rPr>
        <w:t xml:space="preserve"> es un proceso estratégico que debe desarrollarse de manera anticipada, constante y transparente. Este proceso implica no solo compartir información sobre los planes, etapas y posibles impactos de un proyecto minero, sino también generar espacios donde los representantes comunitarios puedan expresar sus inquietudes, expectativas y propuestas. El diálogo no puede ser unidireccional; es decir, no se trata únicamente de transmitir datos o comunicar decisiones tomadas, sino de establecer una conversación genuina en la que se escuchen las voces de las comunidades y se busquen acuerdos mutuamente beneficiosos. El diálogo efectivo fomenta la comprensión mutua, ayuda a identificar intereses compartidos y permite construir confianza, factores esenciales para el desarrollo de relaciones sostenibles entre la empresa y la comunidad.</w:t>
      </w:r>
    </w:p>
    <w:p w14:paraId="4AC29F89"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consulta previa</w:t>
      </w:r>
      <w:r w:rsidRPr="001A38F5">
        <w:rPr>
          <w:rFonts w:ascii="Helvetica" w:eastAsia="Times New Roman" w:hAnsi="Helvetica" w:cs="Times New Roman"/>
          <w:sz w:val="24"/>
          <w:szCs w:val="24"/>
          <w:lang w:val="es-PE"/>
        </w:rPr>
        <w:t xml:space="preserve">, por su parte, es un mecanismo formalizado en la legislación peruana que se aplica especialmente cuando se trata de pueblos indígenas u originarios cuyos territorios podrían verse afectados por actividades mineras u otras inversiones. La consulta previa no es simplemente una recomendación, sino un </w:t>
      </w:r>
      <w:r w:rsidRPr="001A38F5">
        <w:rPr>
          <w:rFonts w:ascii="Helvetica" w:eastAsia="Times New Roman" w:hAnsi="Helvetica" w:cs="Times New Roman"/>
          <w:i/>
          <w:iCs/>
          <w:sz w:val="24"/>
          <w:szCs w:val="24"/>
          <w:lang w:val="es-PE"/>
        </w:rPr>
        <w:t>derecho colectivo</w:t>
      </w:r>
      <w:r w:rsidRPr="001A38F5">
        <w:rPr>
          <w:rFonts w:ascii="Helvetica" w:eastAsia="Times New Roman" w:hAnsi="Helvetica" w:cs="Times New Roman"/>
          <w:sz w:val="24"/>
          <w:szCs w:val="24"/>
          <w:lang w:val="es-PE"/>
        </w:rPr>
        <w:t xml:space="preserve"> que tiene por objeto garantizar que ciertos grupos sociales sean parte activa del proceso de toma de decisiones, con pleno respeto de sus costumbres, costumbres y comprensión cultural. Esta consulta debe realizarse antes de otorgar o autorizar un proyecto que pueda tener impactos significativos en los derechos colectivos, y su objetivo es obtener el consentimiento, la aceptación o, por lo menos, una respuesta informada que refleje las preocupaciones y condiciones que los grupos consultados deseen plantear.</w:t>
      </w:r>
    </w:p>
    <w:p w14:paraId="276F1E8B"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Para que la consulta previa sea legítima y eficaz, se requiere que sea </w:t>
      </w:r>
      <w:r w:rsidRPr="001A38F5">
        <w:rPr>
          <w:rFonts w:ascii="Helvetica" w:eastAsia="Times New Roman" w:hAnsi="Helvetica" w:cs="Times New Roman"/>
          <w:b/>
          <w:bCs/>
          <w:sz w:val="24"/>
          <w:szCs w:val="24"/>
          <w:lang w:val="es-PE"/>
        </w:rPr>
        <w:t>previa, libre, informada y culturalmente adecuada</w:t>
      </w:r>
      <w:r w:rsidRPr="001A38F5">
        <w:rPr>
          <w:rFonts w:ascii="Helvetica" w:eastAsia="Times New Roman" w:hAnsi="Helvetica" w:cs="Times New Roman"/>
          <w:sz w:val="24"/>
          <w:szCs w:val="24"/>
          <w:lang w:val="es-PE"/>
        </w:rPr>
        <w:t>. Previas significa que debe efectuarse lo suficientemente antes de la implementación de cualquier proyecto o medida que pueda afectar los derechos y territorios de las comunidades. Libres implica que los representantes comunitarios puedan participar sin coacción, presiones externas o condicionamientos. Informadas significa que se proporcione toda la información relevante de manera comprensible para los representantes comunitarios, evitando tecnicismos innecesarios y asegurando que se comprenda el alcance real de los impactos potenciales. Finalmente, culturalmente adecuadas significa que el proceso debe respetar los modos de comunicación, organización social y tradiciones propias de las comunidades involucradas, reconociendo la diversidad cultural y lingüística dentro del Perú.</w:t>
      </w:r>
    </w:p>
    <w:p w14:paraId="6CF370D1"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El proceso de diálogo y consulta previa exige la </w:t>
      </w:r>
      <w:r w:rsidRPr="001A38F5">
        <w:rPr>
          <w:rFonts w:ascii="Helvetica" w:eastAsia="Times New Roman" w:hAnsi="Helvetica" w:cs="Times New Roman"/>
          <w:b/>
          <w:bCs/>
          <w:sz w:val="24"/>
          <w:szCs w:val="24"/>
          <w:lang w:val="es-PE"/>
        </w:rPr>
        <w:t>participación activa de facilitadores, mediadores y equipos técnicos</w:t>
      </w:r>
      <w:r w:rsidRPr="001A38F5">
        <w:rPr>
          <w:rFonts w:ascii="Helvetica" w:eastAsia="Times New Roman" w:hAnsi="Helvetica" w:cs="Times New Roman"/>
          <w:sz w:val="24"/>
          <w:szCs w:val="24"/>
          <w:lang w:val="es-PE"/>
        </w:rPr>
        <w:t xml:space="preserve"> que sean competentes para explicar los aspectos técnicos, sociales y ambientales del proyecto. Estos profesionales no solo deben poseer conocimientos técnicos sino también habilidades comunicativas que les permitan traducir información compleja en términos accesibles para el entendimiento comunitario. Asimismo, es esencial contar con espacios y tiempos adecuados donde las comunidades puedan deliberar con sus propios representantes, consultar internamente y construir una posición colectiva antes de formular una respuesta o solicitar condiciones específicas.</w:t>
      </w:r>
    </w:p>
    <w:p w14:paraId="523BF637"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 elemento clave del diálogo y la consulta previa es la generación de </w:t>
      </w:r>
      <w:r w:rsidRPr="001A38F5">
        <w:rPr>
          <w:rFonts w:ascii="Helvetica" w:eastAsia="Times New Roman" w:hAnsi="Helvetica" w:cs="Times New Roman"/>
          <w:b/>
          <w:bCs/>
          <w:sz w:val="24"/>
          <w:szCs w:val="24"/>
          <w:lang w:val="es-PE"/>
        </w:rPr>
        <w:t>espacios de retroalimentación y seguimiento</w:t>
      </w:r>
      <w:r w:rsidRPr="001A38F5">
        <w:rPr>
          <w:rFonts w:ascii="Helvetica" w:eastAsia="Times New Roman" w:hAnsi="Helvetica" w:cs="Times New Roman"/>
          <w:sz w:val="24"/>
          <w:szCs w:val="24"/>
          <w:lang w:val="es-PE"/>
        </w:rPr>
        <w:t>. No basta con realizar reuniones ceremoniales o encuentros aislados; estos procesos deben articularse en un esquema de interacción sostenida que permita dar cuenta del cumplimiento de compromisos, atender dudas surgidas en etapas posteriores del proyecto, y ajustar acuerdos según las necesidades y prioridades que se vayan identificando a lo largo del tiempo. La existencia de mecanismos claros para registrar acuerdos, compromisos y expectativas contribuye a evitar malentendidos y a establecer responsabilidad compartida entre la empresa y las comunidades.</w:t>
      </w:r>
    </w:p>
    <w:p w14:paraId="61617239" w14:textId="553082EC"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consulta previa, cuando se desarrolla de forma adecuada, puede </w:t>
      </w:r>
      <w:r w:rsidRPr="001A38F5">
        <w:rPr>
          <w:rFonts w:ascii="Helvetica" w:eastAsia="Times New Roman" w:hAnsi="Helvetica" w:cs="Times New Roman"/>
          <w:b/>
          <w:bCs/>
          <w:sz w:val="24"/>
          <w:szCs w:val="24"/>
          <w:lang w:val="es-PE"/>
        </w:rPr>
        <w:t>fortalecer la confianza y legitimar las decisiones</w:t>
      </w:r>
      <w:r w:rsidRPr="001A38F5">
        <w:rPr>
          <w:rFonts w:ascii="Helvetica" w:eastAsia="Times New Roman" w:hAnsi="Helvetica" w:cs="Times New Roman"/>
          <w:sz w:val="24"/>
          <w:szCs w:val="24"/>
          <w:lang w:val="es-PE"/>
        </w:rPr>
        <w:t>, generando acuerdos que consideren salvaguardas, medidas de mitigación de impactos, beneficios compartidos y mecanismos de participación continua. Sin embargo, cuando este proceso se percibe como una formalidad o carece de transparencia y conocimiento real por parte de las comunidades, puede desencadenar desconfianza, rechazo y mayores tensiones sociales. Por ello, la calidad del proceso consultivo más allá de su cumplimiento formal es determinante para la percepción que las comunidades tengan de la empresa minera y para el desarrollo sostenible de la actividad extractiva.</w:t>
      </w:r>
    </w:p>
    <w:p w14:paraId="7267D12A"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En resumen, el diálogo y la consulta previa con comunidades son procesos complementarios y articulados que permiten establecer relaciones más justas, participativas y respetuosas entre las empresas mineras y los grupos sociales afectados. Su implementación eficaz contribuye no solo al cumplimiento de obligaciones legales, sino también a la construcción de confianza, la reducción de tensiones, la identificación de soluciones conjuntas y, en última instancia, a la consolidación de un relacionamiento que favorezca la sostenibilidad social y operativa de los proyectos mineros en el Perú.</w:t>
      </w:r>
    </w:p>
    <w:p w14:paraId="18C91E00" w14:textId="77777777" w:rsidR="001A38F5" w:rsidRPr="00962A8A" w:rsidRDefault="001A38F5" w:rsidP="001A38F5">
      <w:pPr>
        <w:spacing w:before="100" w:beforeAutospacing="1" w:after="100" w:afterAutospacing="1" w:line="360" w:lineRule="auto"/>
        <w:rPr>
          <w:rFonts w:ascii="Helvetica" w:eastAsia="Times New Roman" w:hAnsi="Helvetica" w:cs="Times New Roman"/>
          <w:sz w:val="28"/>
          <w:szCs w:val="28"/>
          <w:lang w:val="es-PE"/>
        </w:rPr>
      </w:pPr>
      <w:r w:rsidRPr="00962A8A">
        <w:rPr>
          <w:rFonts w:ascii="Helvetica" w:eastAsia="Times New Roman" w:hAnsi="Helvetica" w:cs="Times New Roman"/>
          <w:b/>
          <w:bCs/>
          <w:sz w:val="28"/>
          <w:szCs w:val="28"/>
          <w:lang w:val="es-PE"/>
        </w:rPr>
        <w:t>2.3. Programas de relacionamiento comunitario</w:t>
      </w:r>
    </w:p>
    <w:p w14:paraId="76909EA5"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Los </w:t>
      </w:r>
      <w:r w:rsidRPr="001A38F5">
        <w:rPr>
          <w:rFonts w:ascii="Helvetica" w:eastAsia="Times New Roman" w:hAnsi="Helvetica" w:cs="Times New Roman"/>
          <w:b/>
          <w:bCs/>
          <w:sz w:val="24"/>
          <w:szCs w:val="24"/>
          <w:lang w:val="es-PE"/>
        </w:rPr>
        <w:t>programas de relacionamiento comunitario</w:t>
      </w:r>
      <w:r w:rsidRPr="001A38F5">
        <w:rPr>
          <w:rFonts w:ascii="Helvetica" w:eastAsia="Times New Roman" w:hAnsi="Helvetica" w:cs="Times New Roman"/>
          <w:sz w:val="24"/>
          <w:szCs w:val="24"/>
          <w:lang w:val="es-PE"/>
        </w:rPr>
        <w:t xml:space="preserve"> son componentes fundamentales dentro de la gestión social de una empresa minera, orientados a fomentar vínculos positivos, colaborativos y sostenibles con las comunidades que se encuentran en el área de influencia de un proyecto extractivo. Estos programas buscan construir relaciones basadas en la confianza, la participación activa y la generación de beneficios mutuos, entendiendo que la sostenibilidad de las operaciones mineras no solo depende del cumplimiento de normas técnicas y ambientales, sino también de la calidad de las relaciones con los actores sociales que interactúan con la empresa en distintos niveles.</w:t>
      </w:r>
    </w:p>
    <w:p w14:paraId="25230612"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 programa de relacionamiento comunitario bien diseñado se concibe como un </w:t>
      </w:r>
      <w:r w:rsidRPr="001A38F5">
        <w:rPr>
          <w:rFonts w:ascii="Helvetica" w:eastAsia="Times New Roman" w:hAnsi="Helvetica" w:cs="Times New Roman"/>
          <w:b/>
          <w:bCs/>
          <w:sz w:val="24"/>
          <w:szCs w:val="24"/>
          <w:lang w:val="es-PE"/>
        </w:rPr>
        <w:t>proceso continuo y articulado</w:t>
      </w:r>
      <w:r w:rsidRPr="001A38F5">
        <w:rPr>
          <w:rFonts w:ascii="Helvetica" w:eastAsia="Times New Roman" w:hAnsi="Helvetica" w:cs="Times New Roman"/>
          <w:sz w:val="24"/>
          <w:szCs w:val="24"/>
          <w:lang w:val="es-PE"/>
        </w:rPr>
        <w:t>, y no como una serie de acciones aisladas o reactivas. Su propósito principal es promover la comprensión mutua entre la empresa y las comunidades, asegurar que las expectativas y preocupaciones de estas últimas sean escuchadas y consideradas, y favorecer la construcción de escenarios de cooperación donde se identifiquen soluciones conjuntas a problemas comunes. Este tipo de programas involucra tanto actividades comunicativas como estrategias de participación y desarrollo local, que permiten a las comunidades conocer, evaluar y opinar sobre las decisiones que pueden afectar sus vidas, su entorno y sus oportunidades de desarrollo.</w:t>
      </w:r>
    </w:p>
    <w:p w14:paraId="4BACAA31"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Uno de los pilares de los programas de relacionamiento comunitario es la </w:t>
      </w:r>
      <w:r w:rsidRPr="001A38F5">
        <w:rPr>
          <w:rFonts w:ascii="Helvetica" w:eastAsia="Times New Roman" w:hAnsi="Helvetica" w:cs="Times New Roman"/>
          <w:b/>
          <w:bCs/>
          <w:sz w:val="24"/>
          <w:szCs w:val="24"/>
          <w:lang w:val="es-PE"/>
        </w:rPr>
        <w:t>identificación y priorización de las necesidades comunitarias reales</w:t>
      </w:r>
      <w:r w:rsidRPr="001A38F5">
        <w:rPr>
          <w:rFonts w:ascii="Helvetica" w:eastAsia="Times New Roman" w:hAnsi="Helvetica" w:cs="Times New Roman"/>
          <w:sz w:val="24"/>
          <w:szCs w:val="24"/>
          <w:lang w:val="es-PE"/>
        </w:rPr>
        <w:t>. Para ello, las empresas mineras deben realizar diagnósticos sociales participativos que permitan comprender las expectativas, prioridades y preocupaciones de los distintos grupos dentro de la comunidad, incluyendo autoridades locales, organizaciones sociales, líderes comunitarios, mujeres, jóvenes y otros colectivos relevantes. Esta identificación inicial contribuye a diseñar programas de relacionamiento que respondan a las necesidades reales de la población, evitando así la implementación de iniciativas que carezcan de pertinencia o no generen un impacto significativo.</w:t>
      </w:r>
    </w:p>
    <w:p w14:paraId="3A0A08D8"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Los programas de relacionamiento pueden incluir </w:t>
      </w:r>
      <w:r w:rsidRPr="001A38F5">
        <w:rPr>
          <w:rFonts w:ascii="Helvetica" w:eastAsia="Times New Roman" w:hAnsi="Helvetica" w:cs="Times New Roman"/>
          <w:b/>
          <w:bCs/>
          <w:sz w:val="24"/>
          <w:szCs w:val="24"/>
          <w:lang w:val="es-PE"/>
        </w:rPr>
        <w:t>actividades de comunicación y diálogo constante</w:t>
      </w:r>
      <w:r w:rsidRPr="001A38F5">
        <w:rPr>
          <w:rFonts w:ascii="Helvetica" w:eastAsia="Times New Roman" w:hAnsi="Helvetica" w:cs="Times New Roman"/>
          <w:sz w:val="24"/>
          <w:szCs w:val="24"/>
          <w:lang w:val="es-PE"/>
        </w:rPr>
        <w:t xml:space="preserve"> entre la empresa y las comunidades. Esto implica mantener canales abiertos y accesibles para informar sobre los avances del proyecto, los posibles impactos, las medidas de mitigación, los beneficios esperados y cualquier cambio relevante en las operaciones. La transparencia y la oportunidad en la provisión de información son esenciales para mitigar rumores, reducir incertidumbres y generar confianza. Estos canales de comunicación pueden adoptar diversas formas, tales como reuniones comunitarias regulares, mesas de diálogo temáticas, boletines informativos en lenguaje accesible y el uso de medios locales de comunicación.</w:t>
      </w:r>
    </w:p>
    <w:p w14:paraId="2E0227A7"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Otro componente fundamental de estos programas es la </w:t>
      </w:r>
      <w:r w:rsidRPr="001A38F5">
        <w:rPr>
          <w:rFonts w:ascii="Helvetica" w:eastAsia="Times New Roman" w:hAnsi="Helvetica" w:cs="Times New Roman"/>
          <w:b/>
          <w:bCs/>
          <w:sz w:val="24"/>
          <w:szCs w:val="24"/>
          <w:lang w:val="es-PE"/>
        </w:rPr>
        <w:t>participación activa de la comunidad en actividades de planificación y monitoreo</w:t>
      </w:r>
      <w:r w:rsidRPr="001A38F5">
        <w:rPr>
          <w:rFonts w:ascii="Helvetica" w:eastAsia="Times New Roman" w:hAnsi="Helvetica" w:cs="Times New Roman"/>
          <w:sz w:val="24"/>
          <w:szCs w:val="24"/>
          <w:lang w:val="es-PE"/>
        </w:rPr>
        <w:t>. La participación no debe limitarse a una fase inicial, sino integrarse a lo largo del ciclo de vida del proyecto. Esto puede implicar la conformación de comités comunitarios que trabajen conjuntamente con representantes de la empresa en la supervisión de compromisos, la evaluación de impactos, el seguimiento de indicadores sociales o ambientales y la identificación de acciones de mejora. La participación activa fortalece el sentido de corresponsabilidad y permite que las decisiones se tomen con una comprensión más amplia de las realidades locales.</w:t>
      </w:r>
    </w:p>
    <w:p w14:paraId="23B7FBB3"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Los programas de relacionamiento comunitario también pueden contemplar </w:t>
      </w:r>
      <w:r w:rsidRPr="001A38F5">
        <w:rPr>
          <w:rFonts w:ascii="Helvetica" w:eastAsia="Times New Roman" w:hAnsi="Helvetica" w:cs="Times New Roman"/>
          <w:b/>
          <w:bCs/>
          <w:sz w:val="24"/>
          <w:szCs w:val="24"/>
          <w:lang w:val="es-PE"/>
        </w:rPr>
        <w:t>iniciativas de desarrollo local y fortalecimiento de capacidades</w:t>
      </w:r>
      <w:r w:rsidRPr="001A38F5">
        <w:rPr>
          <w:rFonts w:ascii="Helvetica" w:eastAsia="Times New Roman" w:hAnsi="Helvetica" w:cs="Times New Roman"/>
          <w:sz w:val="24"/>
          <w:szCs w:val="24"/>
          <w:lang w:val="es-PE"/>
        </w:rPr>
        <w:t>. Estas iniciativas buscan generar beneficios tangibles para las comunidades, tales como capacitación técnica y profesional, apoyo a emprendimientos productivos, mejoras en infraestructura comunitaria, programas de educación o salud, y acciones orientadas al desarrollo económico local. El propósito no es sustituir las funciones del Estado, sino articular esfuerzos con las instituciones públicas, organizaciones comunitarias y otros actores para promover un desarrollo más equitativo y sostenible, alineado con las prioridades de la población local.</w:t>
      </w:r>
    </w:p>
    <w:p w14:paraId="643FC72F"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gestión participativa de los </w:t>
      </w:r>
      <w:r w:rsidRPr="001A38F5">
        <w:rPr>
          <w:rFonts w:ascii="Helvetica" w:eastAsia="Times New Roman" w:hAnsi="Helvetica" w:cs="Times New Roman"/>
          <w:b/>
          <w:bCs/>
          <w:sz w:val="24"/>
          <w:szCs w:val="24"/>
          <w:lang w:val="es-PE"/>
        </w:rPr>
        <w:t>beneficios compartidos</w:t>
      </w:r>
      <w:r w:rsidRPr="001A38F5">
        <w:rPr>
          <w:rFonts w:ascii="Helvetica" w:eastAsia="Times New Roman" w:hAnsi="Helvetica" w:cs="Times New Roman"/>
          <w:sz w:val="24"/>
          <w:szCs w:val="24"/>
          <w:lang w:val="es-PE"/>
        </w:rPr>
        <w:t xml:space="preserve"> es otro elemento clave de los programas de relacionamiento. Las comunidades esperan que los proyectos mineros no solo generen empleo, sino que también contribuyan al bienestar general de la población, por ejemplo, a través de oportunidades laborales, programas de contratación local, inversiones sociales estratégicas y mecanismos de apoyo a iniciativas productivas comunitarias. La transparencia en cómo se gestionan estos beneficios y la participación comunitaria en su definición ayuda a evitar percepciones de inequidad o favoritismos que puedan generar tensiones sociales.</w:t>
      </w:r>
    </w:p>
    <w:p w14:paraId="7DC94903"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Además, estos programas deben incluir </w:t>
      </w:r>
      <w:r w:rsidRPr="001A38F5">
        <w:rPr>
          <w:rFonts w:ascii="Helvetica" w:eastAsia="Times New Roman" w:hAnsi="Helvetica" w:cs="Times New Roman"/>
          <w:b/>
          <w:bCs/>
          <w:sz w:val="24"/>
          <w:szCs w:val="24"/>
          <w:lang w:val="es-PE"/>
        </w:rPr>
        <w:t>mecanismos de retroalimentación y evaluación continua</w:t>
      </w:r>
      <w:r w:rsidRPr="001A38F5">
        <w:rPr>
          <w:rFonts w:ascii="Helvetica" w:eastAsia="Times New Roman" w:hAnsi="Helvetica" w:cs="Times New Roman"/>
          <w:sz w:val="24"/>
          <w:szCs w:val="24"/>
          <w:lang w:val="es-PE"/>
        </w:rPr>
        <w:t>, que permitan a la empresa medir la eficacia de sus acciones, identificar áreas de mejora y ajustar las estrategias según la evolución de las necesidades y expectativas de la comunidad. Esto puede lograrse mediante encuestas de percepción comunitaria, reuniones de seguimiento, auditorías sociales y espacios de evaluación conjunta, donde se analicen resultados, se discutan desafíos y se propongan ajustes a las iniciativas existentes.</w:t>
      </w:r>
    </w:p>
    <w:p w14:paraId="2E02EA5B"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Finalmente, los programas de relacionamiento comunitario deben implementarse con un enfoque de </w:t>
      </w:r>
      <w:r w:rsidRPr="001A38F5">
        <w:rPr>
          <w:rFonts w:ascii="Helvetica" w:eastAsia="Times New Roman" w:hAnsi="Helvetica" w:cs="Times New Roman"/>
          <w:b/>
          <w:bCs/>
          <w:sz w:val="24"/>
          <w:szCs w:val="24"/>
          <w:lang w:val="es-PE"/>
        </w:rPr>
        <w:t>respeto por los derechos humanos, la diversidad cultural y las formas de organización social de las comunidades</w:t>
      </w:r>
      <w:r w:rsidRPr="001A38F5">
        <w:rPr>
          <w:rFonts w:ascii="Helvetica" w:eastAsia="Times New Roman" w:hAnsi="Helvetica" w:cs="Times New Roman"/>
          <w:sz w:val="24"/>
          <w:szCs w:val="24"/>
          <w:lang w:val="es-PE"/>
        </w:rPr>
        <w:t>. El reconocimiento de estas dimensiones refuerza la legitimidad de las acciones emprendidas, promueve la inclusión y contribuye a establecer relaciones más equitativas y respetuosas. Un relacionamiento comunitario eficaz no solo mejora la convivencia entre la empresa y la comunidad, sino que también fortalece la sostenibilidad operativa del proyecto, reduce riesgos de conflictos y contribuye al desarrollo integral de las zonas donde se realiza la actividad minera.</w:t>
      </w:r>
    </w:p>
    <w:p w14:paraId="56B5ECF2" w14:textId="77777777" w:rsidR="001A38F5" w:rsidRPr="001A38F5" w:rsidRDefault="001A38F5" w:rsidP="001A38F5">
      <w:pPr>
        <w:spacing w:before="100" w:beforeAutospacing="1" w:after="100" w:afterAutospacing="1" w:line="360" w:lineRule="auto"/>
        <w:rPr>
          <w:rFonts w:ascii="Helvetica" w:eastAsia="Times New Roman" w:hAnsi="Helvetica" w:cs="Times New Roman"/>
          <w:sz w:val="28"/>
          <w:szCs w:val="28"/>
          <w:lang w:val="es-PE"/>
        </w:rPr>
      </w:pPr>
      <w:r w:rsidRPr="001A38F5">
        <w:rPr>
          <w:rFonts w:ascii="Helvetica" w:eastAsia="Times New Roman" w:hAnsi="Helvetica" w:cs="Times New Roman"/>
          <w:b/>
          <w:bCs/>
          <w:sz w:val="28"/>
          <w:szCs w:val="28"/>
          <w:lang w:val="es-PE"/>
        </w:rPr>
        <w:t>2.4. Gestión de conflictos socioambientales</w:t>
      </w:r>
    </w:p>
    <w:p w14:paraId="1C4FDCD4" w14:textId="37D89D2A"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gestión de conflictos socioambientales</w:t>
      </w:r>
      <w:r w:rsidRPr="001A38F5">
        <w:rPr>
          <w:rFonts w:ascii="Helvetica" w:eastAsia="Times New Roman" w:hAnsi="Helvetica" w:cs="Times New Roman"/>
          <w:sz w:val="24"/>
          <w:szCs w:val="24"/>
          <w:lang w:val="es-PE"/>
        </w:rPr>
        <w:t xml:space="preserve"> es un componente esencial de la comunicación corporativa estratégica en el sector minero, especialmente en países como el Perú donde las actividades extractivas se desarrollan en territorios habitados por comunidades diversas con intereses, valores y expectativas distintas. Un conflicto socioambiental surge cuando existe una percepción de incompatibilidad entre los intereses, necesidades o valores de las comunidades y los impactos reales o percibidos de una operación minera. Estos conflictos pueden manifestarse de múltiples formas, como protestas sociales, bloqueos de carreteras, demandas judiciales, manifestaciones públicas o rechazo explícito a los proyectos, afectando no solo la dinámica comunitaria sino también la continuidad operativa, la reputación y la sostenibilidad de la empresa minera.</w:t>
      </w:r>
    </w:p>
    <w:p w14:paraId="3ED76D7C" w14:textId="3F7A1A85"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gestión efectiva de estos conflictos empieza con la </w:t>
      </w:r>
      <w:r w:rsidRPr="001A38F5">
        <w:rPr>
          <w:rFonts w:ascii="Helvetica" w:eastAsia="Times New Roman" w:hAnsi="Helvetica" w:cs="Times New Roman"/>
          <w:b/>
          <w:bCs/>
          <w:sz w:val="24"/>
          <w:szCs w:val="24"/>
          <w:lang w:val="es-PE"/>
        </w:rPr>
        <w:t>identificación temprana de los factores de riesgo social</w:t>
      </w:r>
      <w:r w:rsidRPr="001A38F5">
        <w:rPr>
          <w:rFonts w:ascii="Helvetica" w:eastAsia="Times New Roman" w:hAnsi="Helvetica" w:cs="Times New Roman"/>
          <w:sz w:val="24"/>
          <w:szCs w:val="24"/>
          <w:lang w:val="es-PE"/>
        </w:rPr>
        <w:t xml:space="preserve"> que pueden desencadenarlos. Esta identificación requiere monitoreo continuo de las percepciones comunitarias, análisis de tono en medios de comunicación locales, seguimiento de líderes de opinión y evaluación de cambios en las condiciones económicas o ambientales en las zonas de influencia. Comprender los factores que generan tensiones, como preocupaciones sobre el acceso y la calidad del agua, impactos sobre la agricultura o la fauna, la distribución de beneficios, o la percepción de falta de participación permite anticipar posibles puntos de conflicto y abordarlos antes de que se intensifiquen.</w:t>
      </w:r>
    </w:p>
    <w:p w14:paraId="698FF7ED"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comunicación transparente y continua</w:t>
      </w:r>
      <w:r w:rsidRPr="001A38F5">
        <w:rPr>
          <w:rFonts w:ascii="Helvetica" w:eastAsia="Times New Roman" w:hAnsi="Helvetica" w:cs="Times New Roman"/>
          <w:sz w:val="24"/>
          <w:szCs w:val="24"/>
          <w:lang w:val="es-PE"/>
        </w:rPr>
        <w:t xml:space="preserve"> es uno de los pilares de la gestión de conflictos socioambientales. Las empresas mineras deben proporcionar información veraz y comprensible sobre temas sensibles, incluidos los impactos ambientales previstos y reales, los programas de mitigación, las medidas de seguimiento y los resultados alcanzados. Esta información debe ser compartida de manera oportuna y adaptada a las características culturales y lingüísticas de las comunidades, evitando tecnicismos que dificulten la comprensión y generen desconfianza. La transparencia no solo contribuye a reducir incertidumbres, sino que también fortalece la credibilidad de la empresa al mostrar compromiso con la rendición de cuentas.</w:t>
      </w:r>
    </w:p>
    <w:p w14:paraId="53271CAF"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El establecimiento de </w:t>
      </w:r>
      <w:r w:rsidRPr="001A38F5">
        <w:rPr>
          <w:rFonts w:ascii="Helvetica" w:eastAsia="Times New Roman" w:hAnsi="Helvetica" w:cs="Times New Roman"/>
          <w:b/>
          <w:bCs/>
          <w:sz w:val="24"/>
          <w:szCs w:val="24"/>
          <w:lang w:val="es-PE"/>
        </w:rPr>
        <w:t>espacios de diálogo permanente</w:t>
      </w:r>
      <w:r w:rsidRPr="001A38F5">
        <w:rPr>
          <w:rFonts w:ascii="Helvetica" w:eastAsia="Times New Roman" w:hAnsi="Helvetica" w:cs="Times New Roman"/>
          <w:sz w:val="24"/>
          <w:szCs w:val="24"/>
          <w:lang w:val="es-PE"/>
        </w:rPr>
        <w:t xml:space="preserve"> es otra estrategia clave en la gestión de conflictos. Estos espacios, que pueden tomar la forma de mesas de diálogo, comités de gestión conjunta o encuentros periódicos entre representantes de la empresa y líderes comunitarios, permiten que las partes involucradas expresen sus preocupaciones, evalúen alternativas y construyan acuerdos. El diálogo no debe ser reactivo ni puntual, sino continuo y estructurado, con mecanismos claros para la toma de decisiones y el seguimiento de compromisos. Además, estos espacios deben ser inclusivos, garantizando la participación de mujeres, jóvenes y otros grupos que en ocasiones pueden quedar excluidos de las conversaciones formales.</w:t>
      </w:r>
    </w:p>
    <w:p w14:paraId="1E843A65"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resolución de conflictos</w:t>
      </w:r>
      <w:r w:rsidRPr="001A38F5">
        <w:rPr>
          <w:rFonts w:ascii="Helvetica" w:eastAsia="Times New Roman" w:hAnsi="Helvetica" w:cs="Times New Roman"/>
          <w:sz w:val="24"/>
          <w:szCs w:val="24"/>
          <w:lang w:val="es-PE"/>
        </w:rPr>
        <w:t xml:space="preserve"> también implica aplicar mecanismos de mediación y facilitación que permitan canalizar discrepancias de manera pacífica y constructiva. Estos mecanismos pueden involucrar a actores externos reconocidos por su imparcialidad, como instituciones académicas, organizaciones de la sociedad civil o especialistas en gestión de conflictos, que actúen como facilitadores en procesos de negociación. La presencia de mediadores puede ayudar a crear condiciones más equitativas de diálogo, especialmente cuando las posiciones entre la empresa y las comunidades están polarizadas o cuando existe desconfianza acumulada por experiencias pasadas.</w:t>
      </w:r>
    </w:p>
    <w:p w14:paraId="51C0FFD8"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gestión de conflictos socioambientales está estrechamente vinculada a la </w:t>
      </w:r>
      <w:r w:rsidRPr="001A38F5">
        <w:rPr>
          <w:rFonts w:ascii="Helvetica" w:eastAsia="Times New Roman" w:hAnsi="Helvetica" w:cs="Times New Roman"/>
          <w:b/>
          <w:bCs/>
          <w:sz w:val="24"/>
          <w:szCs w:val="24"/>
          <w:lang w:val="es-PE"/>
        </w:rPr>
        <w:t>evaluación de cumplimiento de compromisos</w:t>
      </w:r>
      <w:r w:rsidRPr="001A38F5">
        <w:rPr>
          <w:rFonts w:ascii="Helvetica" w:eastAsia="Times New Roman" w:hAnsi="Helvetica" w:cs="Times New Roman"/>
          <w:sz w:val="24"/>
          <w:szCs w:val="24"/>
          <w:lang w:val="es-PE"/>
        </w:rPr>
        <w:t xml:space="preserve"> adquiridos por la empresa. Cuando las expectativas generadas por propuestas de beneficios comunitarios, programas de desarrollo local o acuerdos previos no se cumplen en tiempo y forma, la percepción de inequidad o injusticia puede intensificarse y transformarse en conflicto. Por ello, es fundamental contar con sistemas de seguimiento, indicadores claros y reportes accesibles que permitan medir el cumplimiento de acuerdos y mostrar avances de manera objetiva. La participación comunitaria en estos procesos de evaluación fortalece la legitimidad de los resultados y contribuye a que las partes confíen en la gestión conjunta.</w:t>
      </w:r>
    </w:p>
    <w:p w14:paraId="7423E26C"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 enfoque eficaz de la gestión de conflictos socioambientales también considera </w:t>
      </w:r>
      <w:r w:rsidRPr="001A38F5">
        <w:rPr>
          <w:rFonts w:ascii="Helvetica" w:eastAsia="Times New Roman" w:hAnsi="Helvetica" w:cs="Times New Roman"/>
          <w:b/>
          <w:bCs/>
          <w:sz w:val="24"/>
          <w:szCs w:val="24"/>
          <w:lang w:val="es-PE"/>
        </w:rPr>
        <w:t>estrategias preventivas</w:t>
      </w:r>
      <w:r w:rsidRPr="001A38F5">
        <w:rPr>
          <w:rFonts w:ascii="Helvetica" w:eastAsia="Times New Roman" w:hAnsi="Helvetica" w:cs="Times New Roman"/>
          <w:sz w:val="24"/>
          <w:szCs w:val="24"/>
          <w:lang w:val="es-PE"/>
        </w:rPr>
        <w:t xml:space="preserve"> orientadas a reducir las condiciones que suelen generar tensiones. Estas estrategias incluyen programas de fortalecimiento de capacidades en las comunidades para participar con mayor conocimiento en los procesos, la implementación de mecanismos de retroalimentación continua, la coordinación con autoridades locales y regionales para articular esfuerzos, y la incorporación de criterios de equidad en la distribución de beneficios. La prevención de conflictos es más sostenible que su resolución, pues reduce la probabilidad de confrontaciones y favorece un ambiente de cooperación y entendimiento.</w:t>
      </w:r>
    </w:p>
    <w:p w14:paraId="1FB24B16"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Además, la gestión de conflictos requiere una </w:t>
      </w:r>
      <w:r w:rsidRPr="001A38F5">
        <w:rPr>
          <w:rFonts w:ascii="Helvetica" w:eastAsia="Times New Roman" w:hAnsi="Helvetica" w:cs="Times New Roman"/>
          <w:b/>
          <w:bCs/>
          <w:sz w:val="24"/>
          <w:szCs w:val="24"/>
          <w:lang w:val="es-PE"/>
        </w:rPr>
        <w:t>visión de largo plazo</w:t>
      </w:r>
      <w:r w:rsidRPr="001A38F5">
        <w:rPr>
          <w:rFonts w:ascii="Helvetica" w:eastAsia="Times New Roman" w:hAnsi="Helvetica" w:cs="Times New Roman"/>
          <w:sz w:val="24"/>
          <w:szCs w:val="24"/>
          <w:lang w:val="es-PE"/>
        </w:rPr>
        <w:t xml:space="preserve"> que trascienda los ciclos inmediatos de operación. Los conflictos socioambientales no siempre se limitan a impactos actuales, sino que pueden emerger por preocupaciones relacionadas con el futuro del territorio, la sostenibilidad de recursos naturales clave o la percepción de inequidad intergeneracional. Por ello, las estrategias de gestión deben incorporar planificación prospectiva, escenarios de impacto futuro y mecanismos de participación que permitan a las comunidades expresar sus expectativas a largo plazo.</w:t>
      </w:r>
    </w:p>
    <w:p w14:paraId="15F75C98"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En resumen, la gestión de conflictos socioambientales en el contexto de la minería peruana es un proceso estratégico, multidimensional y continuo que exige comunicación transparente, diálogo permanente, mecanismos efectivos de participación, cumplimiento responsable de compromisos y estrategias preventivas orientadas a reducir riesgos sociales. Su adecuada implementación no solo mitiga impactos negativos, sino que también contribuye a fortalecer relaciones de confianza, promover la convivencia pacífica y consolidar condiciones favorables para el desarrollo sostenible y legítimo de las operaciones mineras.</w:t>
      </w:r>
    </w:p>
    <w:p w14:paraId="66566983" w14:textId="4A5827F3" w:rsidR="00265352" w:rsidRDefault="00265352" w:rsidP="00A7603B">
      <w:pPr>
        <w:pStyle w:val="NormalWeb"/>
        <w:rPr>
          <w:rFonts w:ascii="Arial" w:hAnsi="Arial" w:cs="Arial"/>
          <w:lang w:val="es-PE"/>
        </w:rPr>
      </w:pPr>
    </w:p>
    <w:p w14:paraId="330161A1" w14:textId="570B3AD9" w:rsidR="001A38F5" w:rsidRDefault="001A38F5" w:rsidP="00A7603B">
      <w:pPr>
        <w:pStyle w:val="NormalWeb"/>
        <w:rPr>
          <w:rFonts w:ascii="Arial" w:hAnsi="Arial" w:cs="Arial"/>
          <w:lang w:val="es-PE"/>
        </w:rPr>
      </w:pPr>
    </w:p>
    <w:p w14:paraId="64DD7D1B" w14:textId="201572B1" w:rsidR="001A38F5" w:rsidRDefault="001A38F5" w:rsidP="00A7603B">
      <w:pPr>
        <w:pStyle w:val="NormalWeb"/>
        <w:rPr>
          <w:rFonts w:ascii="Arial" w:hAnsi="Arial" w:cs="Arial"/>
          <w:lang w:val="es-PE"/>
        </w:rPr>
      </w:pPr>
    </w:p>
    <w:p w14:paraId="71DDA9C5" w14:textId="5FC6D09E" w:rsidR="001A38F5" w:rsidRDefault="001A38F5" w:rsidP="00A7603B">
      <w:pPr>
        <w:pStyle w:val="NormalWeb"/>
        <w:rPr>
          <w:rFonts w:ascii="Arial" w:hAnsi="Arial" w:cs="Arial"/>
          <w:lang w:val="es-PE"/>
        </w:rPr>
      </w:pPr>
    </w:p>
    <w:p w14:paraId="693E2685" w14:textId="1058B674" w:rsidR="001A38F5" w:rsidRDefault="001A38F5" w:rsidP="00A7603B">
      <w:pPr>
        <w:pStyle w:val="NormalWeb"/>
        <w:rPr>
          <w:rFonts w:ascii="Arial" w:hAnsi="Arial" w:cs="Arial"/>
          <w:lang w:val="es-PE"/>
        </w:rPr>
      </w:pPr>
    </w:p>
    <w:p w14:paraId="365C3677" w14:textId="0AA24129" w:rsidR="001A38F5" w:rsidRDefault="001A38F5" w:rsidP="00A7603B">
      <w:pPr>
        <w:pStyle w:val="NormalWeb"/>
        <w:rPr>
          <w:rFonts w:ascii="Arial" w:hAnsi="Arial" w:cs="Arial"/>
          <w:lang w:val="es-PE"/>
        </w:rPr>
      </w:pPr>
    </w:p>
    <w:p w14:paraId="0DAA71C7" w14:textId="5EDB9564" w:rsidR="001A38F5" w:rsidRDefault="001A38F5" w:rsidP="00A7603B">
      <w:pPr>
        <w:pStyle w:val="NormalWeb"/>
        <w:rPr>
          <w:rFonts w:ascii="Arial" w:hAnsi="Arial" w:cs="Arial"/>
          <w:lang w:val="es-PE"/>
        </w:rPr>
      </w:pPr>
    </w:p>
    <w:p w14:paraId="28FEFCB7" w14:textId="5931B4B9" w:rsidR="001A38F5" w:rsidRDefault="001A38F5" w:rsidP="00A7603B">
      <w:pPr>
        <w:pStyle w:val="NormalWeb"/>
        <w:rPr>
          <w:rFonts w:ascii="Arial" w:hAnsi="Arial" w:cs="Arial"/>
          <w:lang w:val="es-PE"/>
        </w:rPr>
      </w:pPr>
    </w:p>
    <w:p w14:paraId="62EEF88B" w14:textId="04C1D673" w:rsidR="001A38F5" w:rsidRDefault="001A38F5" w:rsidP="00A7603B">
      <w:pPr>
        <w:pStyle w:val="NormalWeb"/>
        <w:rPr>
          <w:rFonts w:ascii="Arial" w:hAnsi="Arial" w:cs="Arial"/>
          <w:lang w:val="es-PE"/>
        </w:rPr>
      </w:pPr>
    </w:p>
    <w:p w14:paraId="1B4CA71D" w14:textId="66B3B2E3" w:rsidR="001A38F5" w:rsidRDefault="001A38F5" w:rsidP="00A7603B">
      <w:pPr>
        <w:pStyle w:val="NormalWeb"/>
        <w:rPr>
          <w:rFonts w:ascii="Arial" w:hAnsi="Arial" w:cs="Arial"/>
          <w:lang w:val="es-PE"/>
        </w:rPr>
      </w:pPr>
    </w:p>
    <w:p w14:paraId="16E2A6E1" w14:textId="1028B53F" w:rsidR="001A38F5" w:rsidRDefault="001A38F5" w:rsidP="00A7603B">
      <w:pPr>
        <w:pStyle w:val="NormalWeb"/>
        <w:rPr>
          <w:rFonts w:ascii="Arial" w:hAnsi="Arial" w:cs="Arial"/>
          <w:lang w:val="es-PE"/>
        </w:rPr>
      </w:pPr>
    </w:p>
    <w:p w14:paraId="04BDEB83" w14:textId="0500A7DB" w:rsidR="001A38F5" w:rsidRDefault="001A38F5" w:rsidP="00A7603B">
      <w:pPr>
        <w:pStyle w:val="NormalWeb"/>
        <w:rPr>
          <w:rFonts w:ascii="Arial" w:hAnsi="Arial" w:cs="Arial"/>
          <w:lang w:val="es-PE"/>
        </w:rPr>
      </w:pPr>
    </w:p>
    <w:p w14:paraId="053436EF" w14:textId="3F2C0F0B" w:rsidR="001A38F5" w:rsidRDefault="001A38F5" w:rsidP="00A7603B">
      <w:pPr>
        <w:pStyle w:val="NormalWeb"/>
        <w:rPr>
          <w:rFonts w:ascii="Arial" w:hAnsi="Arial" w:cs="Arial"/>
          <w:lang w:val="es-PE"/>
        </w:rPr>
      </w:pPr>
    </w:p>
    <w:p w14:paraId="1849F6E2" w14:textId="6891066E" w:rsidR="001A38F5" w:rsidRDefault="001A38F5" w:rsidP="00A7603B">
      <w:pPr>
        <w:pStyle w:val="NormalWeb"/>
        <w:rPr>
          <w:rFonts w:ascii="Arial" w:hAnsi="Arial" w:cs="Arial"/>
          <w:lang w:val="es-PE"/>
        </w:rPr>
      </w:pPr>
    </w:p>
    <w:p w14:paraId="1EB08AFF" w14:textId="75D114BA" w:rsidR="001A38F5" w:rsidRDefault="001A38F5" w:rsidP="00A7603B">
      <w:pPr>
        <w:pStyle w:val="NormalWeb"/>
        <w:rPr>
          <w:rFonts w:ascii="Arial" w:hAnsi="Arial" w:cs="Arial"/>
          <w:lang w:val="es-PE"/>
        </w:rPr>
      </w:pPr>
    </w:p>
    <w:p w14:paraId="71151755" w14:textId="512D0A25" w:rsidR="001A38F5" w:rsidRDefault="001A38F5" w:rsidP="00A7603B">
      <w:pPr>
        <w:pStyle w:val="NormalWeb"/>
        <w:rPr>
          <w:rFonts w:ascii="Arial" w:hAnsi="Arial" w:cs="Arial"/>
          <w:lang w:val="es-PE"/>
        </w:rPr>
      </w:pPr>
    </w:p>
    <w:p w14:paraId="47EB076E" w14:textId="1E88E692" w:rsidR="001A38F5" w:rsidRDefault="001A38F5" w:rsidP="00A7603B">
      <w:pPr>
        <w:pStyle w:val="NormalWeb"/>
        <w:rPr>
          <w:rFonts w:ascii="Arial" w:hAnsi="Arial" w:cs="Arial"/>
          <w:lang w:val="es-PE"/>
        </w:rPr>
      </w:pPr>
    </w:p>
    <w:p w14:paraId="05024031" w14:textId="42654069" w:rsidR="001A38F5" w:rsidRDefault="001A38F5" w:rsidP="00A7603B">
      <w:pPr>
        <w:pStyle w:val="NormalWeb"/>
        <w:rPr>
          <w:rFonts w:ascii="Arial" w:hAnsi="Arial" w:cs="Arial"/>
          <w:lang w:val="es-PE"/>
        </w:rPr>
      </w:pPr>
    </w:p>
    <w:p w14:paraId="4164E738" w14:textId="0B9374A6" w:rsidR="001A38F5" w:rsidRDefault="001A38F5" w:rsidP="00A7603B">
      <w:pPr>
        <w:pStyle w:val="NormalWeb"/>
        <w:rPr>
          <w:rFonts w:ascii="Arial" w:hAnsi="Arial" w:cs="Arial"/>
          <w:lang w:val="es-PE"/>
        </w:rPr>
      </w:pPr>
    </w:p>
    <w:p w14:paraId="32EECD5C" w14:textId="0E492016" w:rsidR="00C923EF" w:rsidRDefault="00C923EF" w:rsidP="00A7603B">
      <w:pPr>
        <w:pStyle w:val="NormalWeb"/>
        <w:rPr>
          <w:rFonts w:ascii="Arial" w:hAnsi="Arial" w:cs="Arial"/>
          <w:lang w:val="es-PE"/>
        </w:rPr>
      </w:pPr>
    </w:p>
    <w:p w14:paraId="2660A16B" w14:textId="77777777" w:rsidR="00C923EF" w:rsidRDefault="00C923EF" w:rsidP="00A7603B">
      <w:pPr>
        <w:pStyle w:val="NormalWeb"/>
        <w:rPr>
          <w:rFonts w:ascii="Arial" w:hAnsi="Arial" w:cs="Arial"/>
          <w:lang w:val="es-PE"/>
        </w:rPr>
      </w:pPr>
    </w:p>
    <w:p w14:paraId="4C94002A" w14:textId="2C1608FF" w:rsidR="001A38F5" w:rsidRPr="001A38F5" w:rsidRDefault="001A38F5" w:rsidP="001A38F5">
      <w:pPr>
        <w:spacing w:after="0" w:line="360" w:lineRule="auto"/>
        <w:rPr>
          <w:rFonts w:ascii="Helvetica" w:eastAsia="Times New Roman" w:hAnsi="Helvetica" w:cs="Times New Roman"/>
          <w:b/>
          <w:bCs/>
          <w:sz w:val="32"/>
          <w:szCs w:val="32"/>
          <w:lang w:val="es-PE"/>
        </w:rPr>
      </w:pPr>
      <w:r w:rsidRPr="001A38F5">
        <w:rPr>
          <w:rFonts w:ascii="Helvetica" w:eastAsia="Times New Roman" w:hAnsi="Helvetica" w:cs="Times New Roman"/>
          <w:b/>
          <w:bCs/>
          <w:sz w:val="32"/>
          <w:szCs w:val="32"/>
          <w:lang w:val="es-PE"/>
        </w:rPr>
        <w:t>3. COMUNICACIÓN INTERNA Y GESTIÓN DE CRISIS</w:t>
      </w:r>
    </w:p>
    <w:p w14:paraId="307D072A" w14:textId="720F35E8" w:rsidR="001A38F5" w:rsidRPr="001A38F5" w:rsidRDefault="001A38F5" w:rsidP="001A38F5">
      <w:pPr>
        <w:spacing w:after="0" w:line="360" w:lineRule="auto"/>
        <w:rPr>
          <w:rFonts w:ascii="Helvetica" w:eastAsia="Times New Roman" w:hAnsi="Helvetica" w:cs="Times New Roman"/>
          <w:sz w:val="28"/>
          <w:szCs w:val="28"/>
          <w:lang w:val="es-PE"/>
        </w:rPr>
      </w:pPr>
      <w:r w:rsidRPr="001A38F5">
        <w:rPr>
          <w:rFonts w:ascii="Helvetica" w:eastAsia="Times New Roman" w:hAnsi="Helvetica" w:cs="Times New Roman"/>
          <w:b/>
          <w:bCs/>
          <w:sz w:val="28"/>
          <w:szCs w:val="28"/>
          <w:lang w:val="es-PE"/>
        </w:rPr>
        <w:t>3.1. Comunicación interna en operaciones mineras</w:t>
      </w:r>
    </w:p>
    <w:p w14:paraId="47889233"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comunicación interna</w:t>
      </w:r>
      <w:r w:rsidRPr="001A38F5">
        <w:rPr>
          <w:rFonts w:ascii="Helvetica" w:eastAsia="Times New Roman" w:hAnsi="Helvetica" w:cs="Times New Roman"/>
          <w:sz w:val="24"/>
          <w:szCs w:val="24"/>
          <w:lang w:val="es-PE"/>
        </w:rPr>
        <w:t xml:space="preserve"> es un elemento estratégico dentro de cualquier organización, y en el contexto de las operaciones mineras su importancia se intensifica debido a la complejidad de las actividades, la diversidad de los equipos de trabajo, la presencia de riesgos laborales y la necesidad de coordinación entre múltiples áreas funcionales. La comunicación interna se refiere al conjunto de procesos, canales y prácticas mediante los cuales la información fluye dentro de la empresa, promoviendo la alineación de objetivos, el compromiso del personal, la seguridad operativa y la construcción de una cultura organizacional sólida.</w:t>
      </w:r>
    </w:p>
    <w:p w14:paraId="5D5D945A"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En minería, donde las operaciones ocurren en entornos geográficos distantes, con turnos de trabajo prolongados y presencia de personal técnico especializado, la comunicación interna adquiere un rol central para asegurar que todos los colaboradores comprendan no solo las metas de producción, sino también los valores de la organización, sus políticas de seguridad, los procedimientos operativos y las expectativas en torno al desempeño individual y colectivo. Una comunicación interna eficaz genera claridad, reduce incertidumbre, favorece la coordinación entre equipos y fortalece la cohesión organizacional, contribuyendo a crear un ambiente laboral seguro, productivo y colaborativo.</w:t>
      </w:r>
    </w:p>
    <w:p w14:paraId="6A113B20" w14:textId="48C96AB3"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Uno de los principales objetivos de la comunicación interna en minería es promover </w:t>
      </w:r>
      <w:r w:rsidRPr="001A38F5">
        <w:rPr>
          <w:rFonts w:ascii="Helvetica" w:eastAsia="Times New Roman" w:hAnsi="Helvetica" w:cs="Times New Roman"/>
          <w:b/>
          <w:bCs/>
          <w:sz w:val="24"/>
          <w:szCs w:val="24"/>
          <w:lang w:val="es-PE"/>
        </w:rPr>
        <w:t>la seguridad y la prevención de riesgos laborales</w:t>
      </w:r>
      <w:r w:rsidRPr="001A38F5">
        <w:rPr>
          <w:rFonts w:ascii="Helvetica" w:eastAsia="Times New Roman" w:hAnsi="Helvetica" w:cs="Times New Roman"/>
          <w:sz w:val="24"/>
          <w:szCs w:val="24"/>
          <w:lang w:val="es-PE"/>
        </w:rPr>
        <w:t>. Dada la naturaleza de la actividad minera exposición a maquinaria pesada, operaciones subterráneas o a cielo abierto, manejo de explosivos y condiciones climáticas adversas es imprescindible que todos los trabajadores estén informados de los protocolos de seguridad, procedimientos de emergencia, normas de uso de equipos de protección personal y sistemas de reporte de incidentes. Para ello, las empresas mineras implementan programas de comunicación que incluyen sesiones de inducción, carteles informativos, boletines internos, campañas de concienciación y reuniones periódicas donde se refuerzan las mejores prácticas y se actualizan los procedimientos según las lecciones aprendidas.</w:t>
      </w:r>
    </w:p>
    <w:p w14:paraId="32163330"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comunicación interna también cumple una función clave en </w:t>
      </w:r>
      <w:r w:rsidRPr="001A38F5">
        <w:rPr>
          <w:rFonts w:ascii="Helvetica" w:eastAsia="Times New Roman" w:hAnsi="Helvetica" w:cs="Times New Roman"/>
          <w:b/>
          <w:bCs/>
          <w:sz w:val="24"/>
          <w:szCs w:val="24"/>
          <w:lang w:val="es-PE"/>
        </w:rPr>
        <w:t>fomentar la participación y el compromiso de los trabajadores</w:t>
      </w:r>
      <w:r w:rsidRPr="001A38F5">
        <w:rPr>
          <w:rFonts w:ascii="Helvetica" w:eastAsia="Times New Roman" w:hAnsi="Helvetica" w:cs="Times New Roman"/>
          <w:sz w:val="24"/>
          <w:szCs w:val="24"/>
          <w:lang w:val="es-PE"/>
        </w:rPr>
        <w:t xml:space="preserve"> con los objetivos estratégicos de la empresa. Esto implica informar de manera transparente sobre los resultados organizacionales, los cambios en políticas internas, oportunidades de desarrollo profesional y avances en proyectos relevantes. Cuando los colaboradores se sienten informados, escuchados y valorados, se incrementa su sentido de pertenencia, lo cual influye positivamente en la productividad, la retención de talento y la calidad del trabajo realizado. La gestión de la comunicación interna, por tanto, debe considerar no solo la transmisión de información, sino también la retroalimentación y la participación activa de los empleados.</w:t>
      </w:r>
    </w:p>
    <w:p w14:paraId="18B675E2"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Otro componente esencial es la </w:t>
      </w:r>
      <w:r w:rsidRPr="001A38F5">
        <w:rPr>
          <w:rFonts w:ascii="Helvetica" w:eastAsia="Times New Roman" w:hAnsi="Helvetica" w:cs="Times New Roman"/>
          <w:b/>
          <w:bCs/>
          <w:sz w:val="24"/>
          <w:szCs w:val="24"/>
          <w:lang w:val="es-PE"/>
        </w:rPr>
        <w:t>coordinación interdepartamental</w:t>
      </w:r>
      <w:r w:rsidRPr="001A38F5">
        <w:rPr>
          <w:rFonts w:ascii="Helvetica" w:eastAsia="Times New Roman" w:hAnsi="Helvetica" w:cs="Times New Roman"/>
          <w:sz w:val="24"/>
          <w:szCs w:val="24"/>
          <w:lang w:val="es-PE"/>
        </w:rPr>
        <w:t>. Las operaciones mineras requieren la integración de diversas áreas como producción, mantenimiento, seguridad, recursos humanos, relaciones comunitarias y logística, entre otras. Para que estas áreas funcionen de manera armoniosa y eficiente, se necesitan canales de comunicación estructurados que permitan compartir información oportuna, tomar decisiones coordinadas y resolver problemas operativos de manera conjunta. La falta de comunicación entre departamentos puede generar errores, duplicación de esfuerzos, retrasos en la toma de decisiones y costos innecesarios, afectando no solo la eficiencia operativa sino también la percepción de los colaboradores sobre la gestión interna.</w:t>
      </w:r>
    </w:p>
    <w:p w14:paraId="2AD5107B"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Las </w:t>
      </w:r>
      <w:r w:rsidRPr="001A38F5">
        <w:rPr>
          <w:rFonts w:ascii="Helvetica" w:eastAsia="Times New Roman" w:hAnsi="Helvetica" w:cs="Times New Roman"/>
          <w:b/>
          <w:bCs/>
          <w:sz w:val="24"/>
          <w:szCs w:val="24"/>
          <w:lang w:val="es-PE"/>
        </w:rPr>
        <w:t>herramientas y canales de comunicación interna</w:t>
      </w:r>
      <w:r w:rsidRPr="001A38F5">
        <w:rPr>
          <w:rFonts w:ascii="Helvetica" w:eastAsia="Times New Roman" w:hAnsi="Helvetica" w:cs="Times New Roman"/>
          <w:sz w:val="24"/>
          <w:szCs w:val="24"/>
          <w:lang w:val="es-PE"/>
        </w:rPr>
        <w:t xml:space="preserve"> adoptados por las empresas mineras suelen ser variados y adaptados a las condiciones de trabajo. Estos pueden incluir tableros y pantallas informativas en áreas comunes, intranets corporativas, correos electrónicos, aplicaciones de mensajería interna, reuniones de supervisión y comités operativos. La elección de estos canales debe considerar las características del personal, los horarios de trabajo y la accesibilidad de la información, asegurando que todos los trabajadores, independientemente de su ubicación o rol, tengan acceso a la comunicación relevante para sus funciones.</w:t>
      </w:r>
    </w:p>
    <w:p w14:paraId="4AE60D0F"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comunicación interna en minería también debe abordar </w:t>
      </w:r>
      <w:r w:rsidRPr="001A38F5">
        <w:rPr>
          <w:rFonts w:ascii="Helvetica" w:eastAsia="Times New Roman" w:hAnsi="Helvetica" w:cs="Times New Roman"/>
          <w:b/>
          <w:bCs/>
          <w:sz w:val="24"/>
          <w:szCs w:val="24"/>
          <w:lang w:val="es-PE"/>
        </w:rPr>
        <w:t>temas de bienestar y calidad de vida laboral</w:t>
      </w:r>
      <w:r w:rsidRPr="001A38F5">
        <w:rPr>
          <w:rFonts w:ascii="Helvetica" w:eastAsia="Times New Roman" w:hAnsi="Helvetica" w:cs="Times New Roman"/>
          <w:sz w:val="24"/>
          <w:szCs w:val="24"/>
          <w:lang w:val="es-PE"/>
        </w:rPr>
        <w:t>. La industria minera se enfrenta a desafíos propios de trabajos intensivos, como jornadas prolongadas, estadías en campamentos, separación de familias y condiciones exigentes de trabajo. Informar sobre programas de apoyo psicológico, actividades de integración, iniciativas de salud ocupacional y beneficios para los trabajadores contribuye a crear un entorno de trabajo más humano y equilibrado, reduciendo el estrés laboral y fomentando un clima organizacional positivo.</w:t>
      </w:r>
    </w:p>
    <w:p w14:paraId="768FD223"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Además, la comunicación interna tiene un papel fundamental en </w:t>
      </w:r>
      <w:r w:rsidRPr="001A38F5">
        <w:rPr>
          <w:rFonts w:ascii="Helvetica" w:eastAsia="Times New Roman" w:hAnsi="Helvetica" w:cs="Times New Roman"/>
          <w:b/>
          <w:bCs/>
          <w:sz w:val="24"/>
          <w:szCs w:val="24"/>
          <w:lang w:val="es-PE"/>
        </w:rPr>
        <w:t>la gestión del cambio</w:t>
      </w:r>
      <w:r w:rsidRPr="001A38F5">
        <w:rPr>
          <w:rFonts w:ascii="Helvetica" w:eastAsia="Times New Roman" w:hAnsi="Helvetica" w:cs="Times New Roman"/>
          <w:sz w:val="24"/>
          <w:szCs w:val="24"/>
          <w:lang w:val="es-PE"/>
        </w:rPr>
        <w:t>, especialmente cuando la empresa implementa nuevas tecnologías, introduce transformaciones en sus procesos productivos o redefine sus estructuras organizativas. En estos contextos, la transparencia y la comunicación anticipada sobre las razones del cambio, sus beneficios y cómo impactará a los trabajadores ayuda a reducir resistencias, aclarar dudas y facilitar una transición más fluida. La comunicación del cambio debe ser clara, continuada y acompañada de espacios donde los colaboradores puedan expresar sus inquietudes y recibir respuestas fundamentadas.</w:t>
      </w:r>
    </w:p>
    <w:p w14:paraId="067D72D1"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Finalmente, la comunicación interna en operaciones mineras contribuye a fortalecer </w:t>
      </w:r>
      <w:r w:rsidRPr="001A38F5">
        <w:rPr>
          <w:rFonts w:ascii="Helvetica" w:eastAsia="Times New Roman" w:hAnsi="Helvetica" w:cs="Times New Roman"/>
          <w:b/>
          <w:bCs/>
          <w:sz w:val="24"/>
          <w:szCs w:val="24"/>
          <w:lang w:val="es-PE"/>
        </w:rPr>
        <w:t>una cultura de seguridad, responsabilidad y mejora continua</w:t>
      </w:r>
      <w:r w:rsidRPr="001A38F5">
        <w:rPr>
          <w:rFonts w:ascii="Helvetica" w:eastAsia="Times New Roman" w:hAnsi="Helvetica" w:cs="Times New Roman"/>
          <w:sz w:val="24"/>
          <w:szCs w:val="24"/>
          <w:lang w:val="es-PE"/>
        </w:rPr>
        <w:t>. Al promover valores compartidos, reconocer buenas prácticas, celebrar logros y reflexionar sobre desafíos, la comunicación interna se convierte en un pilar que sostiene no solo la operación diaria, sino también el desarrollo organizacional a largo plazo. Por ello, las empresas mineras deben invertir en estrategias de comunicación interna bien diseñadas, evaluadas periódicamente y alineadas con sus objetivos corporativos, entendiendo que una fuerza laboral informada, comprometida y comunicada es un activo fundamental para la sostenibilidad y éxito de la operación minera.</w:t>
      </w:r>
    </w:p>
    <w:p w14:paraId="44DAF894" w14:textId="77777777" w:rsidR="001A38F5" w:rsidRPr="001A38F5" w:rsidRDefault="001A38F5" w:rsidP="001A38F5">
      <w:pPr>
        <w:spacing w:before="100" w:beforeAutospacing="1" w:after="100" w:afterAutospacing="1" w:line="360" w:lineRule="auto"/>
        <w:rPr>
          <w:rFonts w:ascii="Helvetica" w:eastAsia="Times New Roman" w:hAnsi="Helvetica" w:cs="Times New Roman"/>
          <w:sz w:val="28"/>
          <w:szCs w:val="28"/>
          <w:lang w:val="es-PE"/>
        </w:rPr>
      </w:pPr>
      <w:r w:rsidRPr="001A38F5">
        <w:rPr>
          <w:rFonts w:ascii="Helvetica" w:eastAsia="Times New Roman" w:hAnsi="Helvetica" w:cs="Times New Roman"/>
          <w:b/>
          <w:bCs/>
          <w:sz w:val="28"/>
          <w:szCs w:val="28"/>
          <w:lang w:val="es-PE"/>
        </w:rPr>
        <w:t>3.2. Comunicación de seguridad y prevención de riesgos</w:t>
      </w:r>
    </w:p>
    <w:p w14:paraId="1F7F1544" w14:textId="54C43E38"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comunicación de seguridad y prevención de riesgos</w:t>
      </w:r>
      <w:r w:rsidRPr="001A38F5">
        <w:rPr>
          <w:rFonts w:ascii="Helvetica" w:eastAsia="Times New Roman" w:hAnsi="Helvetica" w:cs="Times New Roman"/>
          <w:sz w:val="24"/>
          <w:szCs w:val="24"/>
          <w:lang w:val="es-PE"/>
        </w:rPr>
        <w:t xml:space="preserve"> es un componente estratégico dentro de la gestión de operaciones mineras, ya que contribuye directamente a la protección de las personas, la reducción de accidentes laborales, el cumplimiento de la normativa y la consolidación de una cultura de trabajo segura. En el sector minero, donde las condiciones de trabajo pueden ser complejas involucrando maquinaria pesada, procesos de trituración, transporte de materiales, operaciones subterráneas o a cielo abierto y exposición a factores ambientales adversos la gestión de la comunicación relacionada con la seguridad se convierte en una necesidad imperante.</w:t>
      </w:r>
    </w:p>
    <w:p w14:paraId="695FA0D3"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El propósito fundamental de la comunicación de seguridad es </w:t>
      </w:r>
      <w:r w:rsidRPr="001A38F5">
        <w:rPr>
          <w:rFonts w:ascii="Helvetica" w:eastAsia="Times New Roman" w:hAnsi="Helvetica" w:cs="Times New Roman"/>
          <w:b/>
          <w:bCs/>
          <w:sz w:val="24"/>
          <w:szCs w:val="24"/>
          <w:lang w:val="es-PE"/>
        </w:rPr>
        <w:t>transmitir información clara, precisa y comprensible</w:t>
      </w:r>
      <w:r w:rsidRPr="001A38F5">
        <w:rPr>
          <w:rFonts w:ascii="Helvetica" w:eastAsia="Times New Roman" w:hAnsi="Helvetica" w:cs="Times New Roman"/>
          <w:sz w:val="24"/>
          <w:szCs w:val="24"/>
          <w:lang w:val="es-PE"/>
        </w:rPr>
        <w:t xml:space="preserve"> sobre los riesgos asociados a las actividades diarias, las medidas preventivas establecidas y las acciones que cada trabajador debe adoptar para actuar de manera segura. Esto incluye no solo la difusión de procedimientos técnicos, sino también la generación de mensajes que faciliten la internalización de hábitos seguros y la adopción de actitudes responsables frente a cualquier situación de riesgo. La comunicación efectiva, por tanto, no se limita a informar, sino que busca influir en la conducta de las personas para que identifiquen peligros, evalúen riesgos y actúen de manera proactiva.</w:t>
      </w:r>
    </w:p>
    <w:p w14:paraId="14A9B7AA"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 elemento central de esta comunicación es la </w:t>
      </w:r>
      <w:r w:rsidRPr="001A38F5">
        <w:rPr>
          <w:rFonts w:ascii="Helvetica" w:eastAsia="Times New Roman" w:hAnsi="Helvetica" w:cs="Times New Roman"/>
          <w:b/>
          <w:bCs/>
          <w:sz w:val="24"/>
          <w:szCs w:val="24"/>
          <w:lang w:val="es-PE"/>
        </w:rPr>
        <w:t>capacitación continua</w:t>
      </w:r>
      <w:r w:rsidRPr="001A38F5">
        <w:rPr>
          <w:rFonts w:ascii="Helvetica" w:eastAsia="Times New Roman" w:hAnsi="Helvetica" w:cs="Times New Roman"/>
          <w:sz w:val="24"/>
          <w:szCs w:val="24"/>
          <w:lang w:val="es-PE"/>
        </w:rPr>
        <w:t>. Los trabajadores deben recibir formación regular sobre riesgos específicos del entorno minero, uso adecuado de equipos de protección personal, protocolos de emergencia, señales de advertencia y procedimientos de reporte de incidentes o “casi accidentes”. La capacitación no debe ser un evento aislado, sino un proceso permanente que se actualiza según los cambios en las operaciones, la incorporación de nuevas tecnologías o la identificación de nuevos riesgos emergentes. Las sesiones de capacitación pueden realizarse a través de talleres, simulacros, charlas operativas o módulos e-learning, siempre adaptados al nivel de comprensión y al contexto de quienes participan.</w:t>
      </w:r>
    </w:p>
    <w:p w14:paraId="4DF7B5A5"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identificación y comunicación de riesgos</w:t>
      </w:r>
      <w:r w:rsidRPr="001A38F5">
        <w:rPr>
          <w:rFonts w:ascii="Helvetica" w:eastAsia="Times New Roman" w:hAnsi="Helvetica" w:cs="Times New Roman"/>
          <w:sz w:val="24"/>
          <w:szCs w:val="24"/>
          <w:lang w:val="es-PE"/>
        </w:rPr>
        <w:t xml:space="preserve"> también requiere el uso de herramientas y estrategias que permitan visualizar claramente los peligros. Entre estas herramientas se encuentran las campañas informativas en áreas de trabajo, carteles con mensajes clave sobre seguridad, tableros de control de riesgos, listas de verificación y procedimientos estandarizados de operación. Es esencial que estas herramientas sean accesibles, estén actualizadas y empleen un lenguaje comprensible para todos los colaboradores, independientemente de su rol, nivel de formación o lugar de trabajo.</w:t>
      </w:r>
    </w:p>
    <w:p w14:paraId="33006052"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comunicación también debe encaminarse a </w:t>
      </w:r>
      <w:r w:rsidRPr="001A38F5">
        <w:rPr>
          <w:rFonts w:ascii="Helvetica" w:eastAsia="Times New Roman" w:hAnsi="Helvetica" w:cs="Times New Roman"/>
          <w:b/>
          <w:bCs/>
          <w:sz w:val="24"/>
          <w:szCs w:val="24"/>
          <w:lang w:val="es-PE"/>
        </w:rPr>
        <w:t>fomentar la participación activa de los trabajadores</w:t>
      </w:r>
      <w:r w:rsidRPr="001A38F5">
        <w:rPr>
          <w:rFonts w:ascii="Helvetica" w:eastAsia="Times New Roman" w:hAnsi="Helvetica" w:cs="Times New Roman"/>
          <w:sz w:val="24"/>
          <w:szCs w:val="24"/>
          <w:lang w:val="es-PE"/>
        </w:rPr>
        <w:t xml:space="preserve"> en la gestión de seguridad. Esto implica promover la cultura de reporte voluntario de condiciones inseguras </w:t>
      </w:r>
      <w:proofErr w:type="spellStart"/>
      <w:r w:rsidRPr="001A38F5">
        <w:rPr>
          <w:rFonts w:ascii="Helvetica" w:eastAsia="Times New Roman" w:hAnsi="Helvetica" w:cs="Times New Roman"/>
          <w:sz w:val="24"/>
          <w:szCs w:val="24"/>
          <w:lang w:val="es-PE"/>
        </w:rPr>
        <w:t>y</w:t>
      </w:r>
      <w:proofErr w:type="spellEnd"/>
      <w:r w:rsidRPr="001A38F5">
        <w:rPr>
          <w:rFonts w:ascii="Helvetica" w:eastAsia="Times New Roman" w:hAnsi="Helvetica" w:cs="Times New Roman"/>
          <w:sz w:val="24"/>
          <w:szCs w:val="24"/>
          <w:lang w:val="es-PE"/>
        </w:rPr>
        <w:t xml:space="preserve"> incidentes sin temor a represalias, así como incentivar la participación en comités de seguridad, reuniones de mejora continua y discusiones donde se analicen causas raíz de accidentes o situaciones de riesgo. La retroalimentación de los mismos trabajadores es valiosa porque ellos conocen los procesos operativos desde la práctica; su aporte permite identificar puntos ciegos, ajustar procedimientos e implementar soluciones prácticas.</w:t>
      </w:r>
    </w:p>
    <w:p w14:paraId="307BFA6A"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Los </w:t>
      </w:r>
      <w:r w:rsidRPr="001A38F5">
        <w:rPr>
          <w:rFonts w:ascii="Helvetica" w:eastAsia="Times New Roman" w:hAnsi="Helvetica" w:cs="Times New Roman"/>
          <w:b/>
          <w:bCs/>
          <w:sz w:val="24"/>
          <w:szCs w:val="24"/>
          <w:lang w:val="es-PE"/>
        </w:rPr>
        <w:t>protocolos de emergencia</w:t>
      </w:r>
      <w:r w:rsidRPr="001A38F5">
        <w:rPr>
          <w:rFonts w:ascii="Helvetica" w:eastAsia="Times New Roman" w:hAnsi="Helvetica" w:cs="Times New Roman"/>
          <w:sz w:val="24"/>
          <w:szCs w:val="24"/>
          <w:lang w:val="es-PE"/>
        </w:rPr>
        <w:t xml:space="preserve"> forman parte integral de la comunicación de seguridad. Toda operación minera debe contar con planes de respuesta frente a situaciones críticas como incendios, derrumbes, fallas de equipos, escapes de gases o eventos climáticos extremos, entre otros. La comunicación de estos protocolos debe ser repetitiva, clara y ensayada mediante simulacros periódicos que preparen a los equipos para actuar de forma coordinada y eficiente en caso de emergencia. Los simulacros no solo evalúan la efectividad de los procedimientos técnicos, sino también la capacidad comunicativa de los equipos bajo presión, reforzando el entendimiento de roles y responsabilidades de cada persona involucrada.</w:t>
      </w:r>
    </w:p>
    <w:p w14:paraId="1F427912"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evaluación del impacto de la comunicación de seguridad</w:t>
      </w:r>
      <w:r w:rsidRPr="001A38F5">
        <w:rPr>
          <w:rFonts w:ascii="Helvetica" w:eastAsia="Times New Roman" w:hAnsi="Helvetica" w:cs="Times New Roman"/>
          <w:sz w:val="24"/>
          <w:szCs w:val="24"/>
          <w:lang w:val="es-PE"/>
        </w:rPr>
        <w:t xml:space="preserve"> es otro aspecto relevante. Las empresas deben contar con indicadores que permitan medir la efectividad de sus estrategias comunicativas, tales como la reducción de incidentes, el nivel de participación en actividades de seguridad, la frecuencia de reportes de condiciones inseguras y la percepción de los trabajadores sobre la utilidad de la información recibida. Estos indicadores ayudan no solo a monitorear resultados, sino también a identificar oportunidades de mejora continua y ajustar los mensajes, canales o formatos utilizados.</w:t>
      </w:r>
    </w:p>
    <w:p w14:paraId="542B62BB"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Adicionalmente, la comunicación de seguridad debe integrarse con la </w:t>
      </w:r>
      <w:r w:rsidRPr="001A38F5">
        <w:rPr>
          <w:rFonts w:ascii="Helvetica" w:eastAsia="Times New Roman" w:hAnsi="Helvetica" w:cs="Times New Roman"/>
          <w:b/>
          <w:bCs/>
          <w:sz w:val="24"/>
          <w:szCs w:val="24"/>
          <w:lang w:val="es-PE"/>
        </w:rPr>
        <w:t>gestión de riesgos global de la empresa</w:t>
      </w:r>
      <w:r w:rsidRPr="001A38F5">
        <w:rPr>
          <w:rFonts w:ascii="Helvetica" w:eastAsia="Times New Roman" w:hAnsi="Helvetica" w:cs="Times New Roman"/>
          <w:sz w:val="24"/>
          <w:szCs w:val="24"/>
          <w:lang w:val="es-PE"/>
        </w:rPr>
        <w:t>, alineándose con políticas corporativas de salud ocupacional, medio ambiente y responsabilidad social. Esto permite que los mensajes de seguridad no se perciban como elementos aislados, sino como parte de una cultura organizacional que valora la vida humana, el bienestar de las personas y la sustentabilidad de las operaciones.</w:t>
      </w:r>
    </w:p>
    <w:p w14:paraId="1F778CCF"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Finalmente, la comunicación de seguridad y prevención de riesgos no solo protege a los trabajadores, sino que también fortalece la </w:t>
      </w:r>
      <w:r w:rsidRPr="001A38F5">
        <w:rPr>
          <w:rFonts w:ascii="Helvetica" w:eastAsia="Times New Roman" w:hAnsi="Helvetica" w:cs="Times New Roman"/>
          <w:b/>
          <w:bCs/>
          <w:sz w:val="24"/>
          <w:szCs w:val="24"/>
          <w:lang w:val="es-PE"/>
        </w:rPr>
        <w:t>confianza de las comunidades, autoridades y otros grupos de interés</w:t>
      </w:r>
      <w:r w:rsidRPr="001A38F5">
        <w:rPr>
          <w:rFonts w:ascii="Helvetica" w:eastAsia="Times New Roman" w:hAnsi="Helvetica" w:cs="Times New Roman"/>
          <w:sz w:val="24"/>
          <w:szCs w:val="24"/>
          <w:lang w:val="es-PE"/>
        </w:rPr>
        <w:t xml:space="preserve"> en la gestión responsable de la empresa minera. Cuando una organización demuestra que tiene un enfoque sistemático y transparente respecto a la seguridad, se proyecta como un actor comprometido con la protección de su capital humano y del entorno en el que opera, lo cual favorece su reputación, la sostenibilidad de sus operaciones y la construcción de relaciones más sólidas con sus públicos clave. En síntesis, la comunicación de seguridad y prevención de riesgos es una herramienta estratégica que fortalece tanto la operación interna como la imagen externa de la empresa, asegurando condiciones de trabajo seguras, eficaces y respetuosas con las personas.</w:t>
      </w:r>
    </w:p>
    <w:p w14:paraId="64614D88" w14:textId="77777777" w:rsidR="001A38F5" w:rsidRPr="001A38F5" w:rsidRDefault="001A38F5" w:rsidP="001A38F5">
      <w:pPr>
        <w:spacing w:before="100" w:beforeAutospacing="1" w:after="100" w:afterAutospacing="1" w:line="360" w:lineRule="auto"/>
        <w:rPr>
          <w:rFonts w:ascii="Helvetica" w:eastAsia="Times New Roman" w:hAnsi="Helvetica" w:cs="Times New Roman"/>
          <w:sz w:val="28"/>
          <w:szCs w:val="28"/>
          <w:lang w:val="es-PE"/>
        </w:rPr>
      </w:pPr>
      <w:r w:rsidRPr="001A38F5">
        <w:rPr>
          <w:rFonts w:ascii="Helvetica" w:eastAsia="Times New Roman" w:hAnsi="Helvetica" w:cs="Times New Roman"/>
          <w:b/>
          <w:bCs/>
          <w:sz w:val="28"/>
          <w:szCs w:val="28"/>
          <w:lang w:val="es-PE"/>
        </w:rPr>
        <w:t>3.3. Protocolos de comunicación de crisis</w:t>
      </w:r>
    </w:p>
    <w:p w14:paraId="03E84AE1" w14:textId="3BE9B0B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Los </w:t>
      </w:r>
      <w:r w:rsidRPr="001A38F5">
        <w:rPr>
          <w:rFonts w:ascii="Helvetica" w:eastAsia="Times New Roman" w:hAnsi="Helvetica" w:cs="Times New Roman"/>
          <w:b/>
          <w:bCs/>
          <w:sz w:val="24"/>
          <w:szCs w:val="24"/>
          <w:lang w:val="es-PE"/>
        </w:rPr>
        <w:t>protocolos de comunicación de crisis</w:t>
      </w:r>
      <w:r w:rsidRPr="001A38F5">
        <w:rPr>
          <w:rFonts w:ascii="Helvetica" w:eastAsia="Times New Roman" w:hAnsi="Helvetica" w:cs="Times New Roman"/>
          <w:sz w:val="24"/>
          <w:szCs w:val="24"/>
          <w:lang w:val="es-PE"/>
        </w:rPr>
        <w:t xml:space="preserve"> son herramientas fundamentales dentro de la gestión estratégica de una empresa minera. Una crisis puede entenderse como un evento inesperado o una serie de eventos que amenazan con afectar negativamente la operación, la seguridad de las personas, el medio ambiente, la reputación corporativa o las relaciones con los diversos públicos de interés. Dado que las operaciones mineras están expuestas a múltiples riesgos accidentes laborales, fallas técnicas, emergencias ambientales, conflictos sociales, accidentes con maquinaria pesada o eventos naturales contar con un protocolo estructurado para comunicar durante una crisis es indispensable para minimizar impactos y recuperar la confianza de los </w:t>
      </w:r>
      <w:proofErr w:type="spellStart"/>
      <w:r w:rsidRPr="001A38F5">
        <w:rPr>
          <w:rFonts w:ascii="Helvetica" w:eastAsia="Times New Roman" w:hAnsi="Helvetica" w:cs="Times New Roman"/>
          <w:sz w:val="24"/>
          <w:szCs w:val="24"/>
          <w:lang w:val="es-PE"/>
        </w:rPr>
        <w:t>stakeholders</w:t>
      </w:r>
      <w:proofErr w:type="spellEnd"/>
      <w:r w:rsidRPr="001A38F5">
        <w:rPr>
          <w:rFonts w:ascii="Helvetica" w:eastAsia="Times New Roman" w:hAnsi="Helvetica" w:cs="Times New Roman"/>
          <w:sz w:val="24"/>
          <w:szCs w:val="24"/>
          <w:lang w:val="es-PE"/>
        </w:rPr>
        <w:t>.</w:t>
      </w:r>
    </w:p>
    <w:p w14:paraId="018D3F82"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 protocolo de comunicación de crisis es un </w:t>
      </w:r>
      <w:r w:rsidRPr="001A38F5">
        <w:rPr>
          <w:rFonts w:ascii="Helvetica" w:eastAsia="Times New Roman" w:hAnsi="Helvetica" w:cs="Times New Roman"/>
          <w:b/>
          <w:bCs/>
          <w:sz w:val="24"/>
          <w:szCs w:val="24"/>
          <w:lang w:val="es-PE"/>
        </w:rPr>
        <w:t>documento operativo</w:t>
      </w:r>
      <w:r w:rsidRPr="001A38F5">
        <w:rPr>
          <w:rFonts w:ascii="Helvetica" w:eastAsia="Times New Roman" w:hAnsi="Helvetica" w:cs="Times New Roman"/>
          <w:sz w:val="24"/>
          <w:szCs w:val="24"/>
          <w:lang w:val="es-PE"/>
        </w:rPr>
        <w:t xml:space="preserve"> que establece de forma clara y precisa los pasos que la empresa debe seguir desde que se identifica una situación adversa hasta su resolución. Este documento debe ser diseñado previamente a cualquier emergencia, validado por el equipo directivo y divulgado entre todos los miembros de la organización, especialmente aquellos que forman parte del equipo de gestión de crisis. Su propósito principal es garantizar que las acciones comunicativas durante una crisis sean coherentes, oportunas, transparentes y orientadas a la protección de las personas y los activos, así como a la preservación de la reputación corporativa.</w:t>
      </w:r>
    </w:p>
    <w:p w14:paraId="22CA0052"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El primer elemento de un protocolo eficaz es la </w:t>
      </w:r>
      <w:r w:rsidRPr="001A38F5">
        <w:rPr>
          <w:rFonts w:ascii="Helvetica" w:eastAsia="Times New Roman" w:hAnsi="Helvetica" w:cs="Times New Roman"/>
          <w:b/>
          <w:bCs/>
          <w:sz w:val="24"/>
          <w:szCs w:val="24"/>
          <w:lang w:val="es-PE"/>
        </w:rPr>
        <w:t>identificación y clasificación de posibles escenarios de crisis</w:t>
      </w:r>
      <w:r w:rsidRPr="001A38F5">
        <w:rPr>
          <w:rFonts w:ascii="Helvetica" w:eastAsia="Times New Roman" w:hAnsi="Helvetica" w:cs="Times New Roman"/>
          <w:sz w:val="24"/>
          <w:szCs w:val="24"/>
          <w:lang w:val="es-PE"/>
        </w:rPr>
        <w:t>. Las empresas deben realizar un análisis exhaustivo de los riesgos que pueden materializarse en una crisis, considerando no solo eventos propios de la operación, sino también situaciones externas que puedan influir negativamente en la percepción pública, como campañas de desinformación, denuncias ante organismos reguladores o situaciones socioambientales conflictivas. Esta evaluación de escenarios permite anticipar respuestas, diseñar mensajes clave y entrenar al personal en simulaciones que reflejen posibles contingencias reales.</w:t>
      </w:r>
    </w:p>
    <w:p w14:paraId="3A7B1611"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Una vez identificados los posibles escenarios, el protocolo debe establecer con claridad </w:t>
      </w:r>
      <w:r w:rsidRPr="001A38F5">
        <w:rPr>
          <w:rFonts w:ascii="Helvetica" w:eastAsia="Times New Roman" w:hAnsi="Helvetica" w:cs="Times New Roman"/>
          <w:b/>
          <w:bCs/>
          <w:sz w:val="24"/>
          <w:szCs w:val="24"/>
          <w:lang w:val="es-PE"/>
        </w:rPr>
        <w:t>quiénes forman parte del equipo de comunicación de crisis</w:t>
      </w:r>
      <w:r w:rsidRPr="001A38F5">
        <w:rPr>
          <w:rFonts w:ascii="Helvetica" w:eastAsia="Times New Roman" w:hAnsi="Helvetica" w:cs="Times New Roman"/>
          <w:sz w:val="24"/>
          <w:szCs w:val="24"/>
          <w:lang w:val="es-PE"/>
        </w:rPr>
        <w:t xml:space="preserve"> y cuáles son sus funciones específicas. Este equipo generalmente incluye representantes de la alta dirección, comunicaciones corporativas, áreas técnicas, legales y de relaciones comunitarias, entre otros. Cada integrante debe conocer su rol, los procedimientos de escalamiento de información y los mecanismos de aprobación de mensajes antes de ser difundidos. La ausencia de roles definidos puede generar confusión, contradicciones o demoras en la emisión de información durante momentos críticos.</w:t>
      </w:r>
    </w:p>
    <w:p w14:paraId="1F0A6C12"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determinación de portavoces oficiales</w:t>
      </w:r>
      <w:r w:rsidRPr="001A38F5">
        <w:rPr>
          <w:rFonts w:ascii="Helvetica" w:eastAsia="Times New Roman" w:hAnsi="Helvetica" w:cs="Times New Roman"/>
          <w:sz w:val="24"/>
          <w:szCs w:val="24"/>
          <w:lang w:val="es-PE"/>
        </w:rPr>
        <w:t xml:space="preserve"> es otro aspecto central del protocolo. En situaciones de crisis, la comunicación debe concentrarse en voces autorizadas, capacitadas y con credibilidad, que representen a la empresa ante los medios, empleados, comunidades y autoridades. El portavoz principal debe estar preparado para brindar información puntual, veraz y actualizada, manteniendo la calma y transmitiendo seguridad. La preparación de estos portavoces incluye entrenamiento específico en manejo mediático, articulación de mensajes clave, respuesta a preguntas difíciles y mantenimiento de una comunicación empática y respetuosa.</w:t>
      </w:r>
    </w:p>
    <w:p w14:paraId="6DE0C142" w14:textId="7748E18D"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El protocolo también debe establecer </w:t>
      </w:r>
      <w:r w:rsidRPr="001A38F5">
        <w:rPr>
          <w:rFonts w:ascii="Helvetica" w:eastAsia="Times New Roman" w:hAnsi="Helvetica" w:cs="Times New Roman"/>
          <w:b/>
          <w:bCs/>
          <w:sz w:val="24"/>
          <w:szCs w:val="24"/>
          <w:lang w:val="es-PE"/>
        </w:rPr>
        <w:t>canales de comunicación internos y externos</w:t>
      </w:r>
      <w:r w:rsidRPr="001A38F5">
        <w:rPr>
          <w:rFonts w:ascii="Helvetica" w:eastAsia="Times New Roman" w:hAnsi="Helvetica" w:cs="Times New Roman"/>
          <w:sz w:val="24"/>
          <w:szCs w:val="24"/>
          <w:lang w:val="es-PE"/>
        </w:rPr>
        <w:t xml:space="preserve"> que se activarán durante la crisis. Para el público interno, es crucial que los colaboradores reciban información rápida y precisa sobre la situación, las medidas tomadas y las acciones que ellos deben seguir. Esto contribuye a reducir rumores, evitar pánico innecesario y asegurar que todos actúen en coherencia con los procedimientos de seguridad. Para los públicos externos, como medios de comunicación, autoridades, comunidades y clientes los canales pueden incluir comunicados oficiales, ruedas de prensa, conferencias virtuales, publicaciones en redes sociales corporativas y actualizaciones constantes en portales institucionales. La selección de canales depende de la urgencia del mensaje y de la audiencia a la que se dirige.</w:t>
      </w:r>
    </w:p>
    <w:p w14:paraId="6262EF32"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 componente indispensable dentro del protocolo es la </w:t>
      </w:r>
      <w:r w:rsidRPr="001A38F5">
        <w:rPr>
          <w:rFonts w:ascii="Helvetica" w:eastAsia="Times New Roman" w:hAnsi="Helvetica" w:cs="Times New Roman"/>
          <w:b/>
          <w:bCs/>
          <w:sz w:val="24"/>
          <w:szCs w:val="24"/>
          <w:lang w:val="es-PE"/>
        </w:rPr>
        <w:t>formulación de mensajes clave</w:t>
      </w:r>
      <w:r w:rsidRPr="001A38F5">
        <w:rPr>
          <w:rFonts w:ascii="Helvetica" w:eastAsia="Times New Roman" w:hAnsi="Helvetica" w:cs="Times New Roman"/>
          <w:sz w:val="24"/>
          <w:szCs w:val="24"/>
          <w:lang w:val="es-PE"/>
        </w:rPr>
        <w:t>. Estos mensajes deben ser claros, honestos y centrados en informar sobre lo ocurrido, las acciones que se están tomando para mitigar la situación, los compromisos de la empresa para resolverla y las medidas de seguimiento. Los mensajes no deben negar hechos ni ofrecer información especulativa; por el contrario, deben transmitir responsabilidad, transparencia y compromiso con la seguridad y el bienestar de las personas afectadas. La credibilidad de la empresa durante una crisis se construye, en gran medida, a partir de la calidad de estos mensajes.</w:t>
      </w:r>
    </w:p>
    <w:p w14:paraId="087F3280"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El protocolo debe incluir mecanismos de </w:t>
      </w:r>
      <w:r w:rsidRPr="001A38F5">
        <w:rPr>
          <w:rFonts w:ascii="Helvetica" w:eastAsia="Times New Roman" w:hAnsi="Helvetica" w:cs="Times New Roman"/>
          <w:b/>
          <w:bCs/>
          <w:sz w:val="24"/>
          <w:szCs w:val="24"/>
          <w:lang w:val="es-PE"/>
        </w:rPr>
        <w:t>monitoreo y retroalimentación</w:t>
      </w:r>
      <w:r w:rsidRPr="001A38F5">
        <w:rPr>
          <w:rFonts w:ascii="Helvetica" w:eastAsia="Times New Roman" w:hAnsi="Helvetica" w:cs="Times New Roman"/>
          <w:sz w:val="24"/>
          <w:szCs w:val="24"/>
          <w:lang w:val="es-PE"/>
        </w:rPr>
        <w:t>. En situaciones de crisis, la percepción pública puede evolucionar rápidamente, por lo que es necesario monitorear constantemente medios de comunicación, redes sociales, declaraciones de autoridades y reacciones de los grupos de interés. Este monitoreo permite ajustar los mensajes emitidos, corregir posibles errores, responder a nuevas inquietudes y adaptar la estrategia comunicativa de acuerdo con la evolución del escenario. La falta de monitoreo puede generar desinformación, rumores o la propagación de versiones contradictorias que agraven la crisis.</w:t>
      </w:r>
    </w:p>
    <w:p w14:paraId="12C10A1B"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Una vez superado el evento crítico, el protocolo debe contemplar una </w:t>
      </w:r>
      <w:r w:rsidRPr="001A38F5">
        <w:rPr>
          <w:rFonts w:ascii="Helvetica" w:eastAsia="Times New Roman" w:hAnsi="Helvetica" w:cs="Times New Roman"/>
          <w:b/>
          <w:bCs/>
          <w:sz w:val="24"/>
          <w:szCs w:val="24"/>
          <w:lang w:val="es-PE"/>
        </w:rPr>
        <w:t>fase de evaluación y lecciones aprendidas</w:t>
      </w:r>
      <w:r w:rsidRPr="001A38F5">
        <w:rPr>
          <w:rFonts w:ascii="Helvetica" w:eastAsia="Times New Roman" w:hAnsi="Helvetica" w:cs="Times New Roman"/>
          <w:sz w:val="24"/>
          <w:szCs w:val="24"/>
          <w:lang w:val="es-PE"/>
        </w:rPr>
        <w:t xml:space="preserve">. Esta etapa </w:t>
      </w:r>
      <w:proofErr w:type="spellStart"/>
      <w:r w:rsidRPr="001A38F5">
        <w:rPr>
          <w:rFonts w:ascii="Helvetica" w:eastAsia="Times New Roman" w:hAnsi="Helvetica" w:cs="Times New Roman"/>
          <w:sz w:val="24"/>
          <w:szCs w:val="24"/>
          <w:lang w:val="es-PE"/>
        </w:rPr>
        <w:t>post-crisis</w:t>
      </w:r>
      <w:proofErr w:type="spellEnd"/>
      <w:r w:rsidRPr="001A38F5">
        <w:rPr>
          <w:rFonts w:ascii="Helvetica" w:eastAsia="Times New Roman" w:hAnsi="Helvetica" w:cs="Times New Roman"/>
          <w:sz w:val="24"/>
          <w:szCs w:val="24"/>
          <w:lang w:val="es-PE"/>
        </w:rPr>
        <w:t xml:space="preserve"> es esencial para analizar qué funcionó, qué aspectos deben mejorarse y cómo fortalecer las capacidades internas para futuras eventualidades. La evaluación incluye revisar tiempos de respuesta, eficacia de los mensajes emitidos, funcionamiento del equipo de crisis y percepción de los diversos públicos sobre la gestión comunicacional. Esta retroalimentación es valiosa para ajustar el protocolo, entrenar nuevamente al personal y fortalecer los mecanismos de preparación y respuesta.</w:t>
      </w:r>
    </w:p>
    <w:p w14:paraId="12AD6ABA"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Finalmente, los protocolos de comunicación de crisis deben estar alineados con los </w:t>
      </w:r>
      <w:r w:rsidRPr="001A38F5">
        <w:rPr>
          <w:rFonts w:ascii="Helvetica" w:eastAsia="Times New Roman" w:hAnsi="Helvetica" w:cs="Times New Roman"/>
          <w:b/>
          <w:bCs/>
          <w:sz w:val="24"/>
          <w:szCs w:val="24"/>
          <w:lang w:val="es-PE"/>
        </w:rPr>
        <w:t>principios éticos y legales</w:t>
      </w:r>
      <w:r w:rsidRPr="001A38F5">
        <w:rPr>
          <w:rFonts w:ascii="Helvetica" w:eastAsia="Times New Roman" w:hAnsi="Helvetica" w:cs="Times New Roman"/>
          <w:sz w:val="24"/>
          <w:szCs w:val="24"/>
          <w:lang w:val="es-PE"/>
        </w:rPr>
        <w:t xml:space="preserve"> de la empresa. Durante una crisis, las decisiones comunicativas no solo tienen implicaciones operativas, sino también éticas frente a la sociedad y sus expectativas sobre responsabilidad corporativa. La transparencia, la veracidad, la consistencia y el respeto por los derechos humanos deben ser lineamientos que guíen cada acción comunicativa. En definitiva, contar con un protocolo robusto y bien implementado no solo permite enfrentar situaciones adversas con mayor eficacia, sino que también fortalece la confianza, protege la reputación corporativa y contribuye a la sostenibilidad de la operación minera a largo plazo.</w:t>
      </w:r>
    </w:p>
    <w:p w14:paraId="59C9253C" w14:textId="77777777" w:rsidR="001A38F5" w:rsidRPr="001A38F5" w:rsidRDefault="001A38F5" w:rsidP="001A38F5">
      <w:pPr>
        <w:spacing w:before="100" w:beforeAutospacing="1" w:after="100" w:afterAutospacing="1" w:line="360" w:lineRule="auto"/>
        <w:rPr>
          <w:rFonts w:ascii="Helvetica" w:eastAsia="Times New Roman" w:hAnsi="Helvetica" w:cs="Times New Roman"/>
          <w:sz w:val="28"/>
          <w:szCs w:val="28"/>
          <w:lang w:val="es-PE"/>
        </w:rPr>
      </w:pPr>
      <w:r w:rsidRPr="001A38F5">
        <w:rPr>
          <w:rFonts w:ascii="Helvetica" w:eastAsia="Times New Roman" w:hAnsi="Helvetica" w:cs="Times New Roman"/>
          <w:b/>
          <w:bCs/>
          <w:sz w:val="28"/>
          <w:szCs w:val="28"/>
          <w:lang w:val="es-PE"/>
        </w:rPr>
        <w:t>3.4. Vocería y manejo de emergencias</w:t>
      </w:r>
    </w:p>
    <w:p w14:paraId="14A66051"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vocería y manejo de emergencias</w:t>
      </w:r>
      <w:r w:rsidRPr="001A38F5">
        <w:rPr>
          <w:rFonts w:ascii="Helvetica" w:eastAsia="Times New Roman" w:hAnsi="Helvetica" w:cs="Times New Roman"/>
          <w:sz w:val="24"/>
          <w:szCs w:val="24"/>
          <w:lang w:val="es-PE"/>
        </w:rPr>
        <w:t xml:space="preserve"> forman parte crucial de la gestión de comunicación en las operaciones mineras, ya que en situaciones críticas o imprevistas la forma en que una organización expresa su posición, responde a inquietudes y se relaciona con sus públicos puede determinar no solo la efectividad de la respuesta, sino también la percepción pública y la confianza que esos públicos depositan en la empresa. La vocería se refiere al conjunto de funciones, capacidades y protocolos que definen quién, cómo y cuándo se comunica oficialmente en representación de la empresa, mientras que el manejo de emergencias implica la coordinación comunicativa que acompaña las acciones técnicas y operativas cuando ocurren eventos que ponen en riesgo la seguridad, la salud, la integridad de las personas o la continuidad de la operación minera.</w:t>
      </w:r>
    </w:p>
    <w:p w14:paraId="4DC9BE05"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Una primera dimensión relevante es la </w:t>
      </w:r>
      <w:r w:rsidRPr="001A38F5">
        <w:rPr>
          <w:rFonts w:ascii="Helvetica" w:eastAsia="Times New Roman" w:hAnsi="Helvetica" w:cs="Times New Roman"/>
          <w:b/>
          <w:bCs/>
          <w:sz w:val="24"/>
          <w:szCs w:val="24"/>
          <w:lang w:val="es-PE"/>
        </w:rPr>
        <w:t>selección y preparación de los portavoces oficiales</w:t>
      </w:r>
      <w:r w:rsidRPr="001A38F5">
        <w:rPr>
          <w:rFonts w:ascii="Helvetica" w:eastAsia="Times New Roman" w:hAnsi="Helvetica" w:cs="Times New Roman"/>
          <w:sz w:val="24"/>
          <w:szCs w:val="24"/>
          <w:lang w:val="es-PE"/>
        </w:rPr>
        <w:t>. Estos individuos no solo representan a la empresa ante los medios de comunicación y las autoridades, sino también ante comunidades, trabajadores y otros grupos de interés. La elección de la vocería debe recaer en personas con habilidades de comunicación, conocimiento técnico sobre la operación y la capacidad de transmitir mensajes con claridad, calma y credibilidad. Además, estos portavoces deben ser entrenados de manera continua para responder bajo presión, articular información compleja en términos comprensibles, manejar preguntas difíciles y ajustar sus respuestas sin comprometer la precisión o la transparencia.</w:t>
      </w:r>
    </w:p>
    <w:p w14:paraId="4F8BA14E" w14:textId="641D4CE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El </w:t>
      </w:r>
      <w:r w:rsidRPr="001A38F5">
        <w:rPr>
          <w:rFonts w:ascii="Helvetica" w:eastAsia="Times New Roman" w:hAnsi="Helvetica" w:cs="Times New Roman"/>
          <w:b/>
          <w:bCs/>
          <w:sz w:val="24"/>
          <w:szCs w:val="24"/>
          <w:lang w:val="es-PE"/>
        </w:rPr>
        <w:t>manejo de emergencias</w:t>
      </w:r>
      <w:r w:rsidRPr="001A38F5">
        <w:rPr>
          <w:rFonts w:ascii="Helvetica" w:eastAsia="Times New Roman" w:hAnsi="Helvetica" w:cs="Times New Roman"/>
          <w:sz w:val="24"/>
          <w:szCs w:val="24"/>
          <w:lang w:val="es-PE"/>
        </w:rPr>
        <w:t xml:space="preserve"> incluye la articulación inmediata entre los equipos operativos, de seguridad, de relaciones comunitarias y de comunicaciones para establecer mensajes coherentes y oportunos. Una emergencia puede presentarse en diversas formas desde accidentes laborales, fallas de infraestructura, incidentes ambientales hasta desastres naturales que impacten las instalaciones, y en todos los casos la forma en que la empresa informa lo ocurrido tiene un impacto directo sobre la percepción de confiabilidad, responsabilidad y profesionalismo. Por ello, es fundamental que los canales de comunicación estén previamente definidos y que existan mecanismos internos que permitan la recolección rápida y veraz de información técnica que luego pueda ser traducida en mensajes públicos.</w:t>
      </w:r>
    </w:p>
    <w:p w14:paraId="3AB7FEDC"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coordinación interna</w:t>
      </w:r>
      <w:r w:rsidRPr="001A38F5">
        <w:rPr>
          <w:rFonts w:ascii="Helvetica" w:eastAsia="Times New Roman" w:hAnsi="Helvetica" w:cs="Times New Roman"/>
          <w:sz w:val="24"/>
          <w:szCs w:val="24"/>
          <w:lang w:val="es-PE"/>
        </w:rPr>
        <w:t xml:space="preserve"> durante una emergencia es una pieza clave para un manejo efectivo de la vocería. Esto implica establecer procedimientos claros que permitan determinar qué información está disponible, cuál debe ser comunicada de inmediato y qué aspectos requieren validación técnica o legal antes de ser difundidos. La comunicación interna durante emergencias sirve para informar a los colaboradores sobre la situación, las medidas de protección que deben adoptar, la ubicación de puntos seguros y los canales para recibir actualizaciones. La claridad en esta comunicación interna contribuye a reducir el pánico, asegurar la colaboración del personal y facilitar la ejecución de los protocolos de seguridad.</w:t>
      </w:r>
    </w:p>
    <w:p w14:paraId="3FB90960" w14:textId="1E3EDB42"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Asimismo, el </w:t>
      </w:r>
      <w:r w:rsidRPr="001A38F5">
        <w:rPr>
          <w:rFonts w:ascii="Helvetica" w:eastAsia="Times New Roman" w:hAnsi="Helvetica" w:cs="Times New Roman"/>
          <w:b/>
          <w:bCs/>
          <w:sz w:val="24"/>
          <w:szCs w:val="24"/>
          <w:lang w:val="es-PE"/>
        </w:rPr>
        <w:t>manejo de la vocería ante públicos externos</w:t>
      </w:r>
      <w:r w:rsidRPr="001A38F5">
        <w:rPr>
          <w:rFonts w:ascii="Helvetica" w:eastAsia="Times New Roman" w:hAnsi="Helvetica" w:cs="Times New Roman"/>
          <w:sz w:val="24"/>
          <w:szCs w:val="24"/>
          <w:lang w:val="es-PE"/>
        </w:rPr>
        <w:t>, como medios de comunicación, autoridades locales, comunidades aledañas y la opinión pública en general debe estar centrado en la transparencia, la precisión y la empatía. En momentos de emergencia, las expectativas de los públicos son altas y la demanda por información clara y veraz se intensifica. Los portavoces deben proporcionar actualizaciones frecuentes, explicar las acciones que se están tomando para mitigar los efectos de la emergencia y expresar el compromiso de la empresa con la seguridad de las personas y del medio ambiente. Es importante evitar especulaciones, minimizar hechos o utilizar un lenguaje técnico inaccesible, ya que esto puede generar desconfianza o aumentar la incertidumbre entre los públicos interesados.</w:t>
      </w:r>
    </w:p>
    <w:p w14:paraId="38A97E58"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planificación anticipada de escenarios de emergencia</w:t>
      </w:r>
      <w:r w:rsidRPr="001A38F5">
        <w:rPr>
          <w:rFonts w:ascii="Helvetica" w:eastAsia="Times New Roman" w:hAnsi="Helvetica" w:cs="Times New Roman"/>
          <w:sz w:val="24"/>
          <w:szCs w:val="24"/>
          <w:lang w:val="es-PE"/>
        </w:rPr>
        <w:t xml:space="preserve"> permite que el manejo de la vocería esté integrado dentro de un marco más amplio de gestión de crisis. Esto implica desarrollar guiones, respuestas prediseñadas para preguntas habituales, materiales de apoyo como notas de prensa, declaraciones oficiales y preguntas y respuestas preparadas ante distintos escenarios posibles. Esta planificación provee a los portavoces de una base sólida para responder con rapidez y coherencia cuando una emergencia ocurra, contribuyendo a la percepción de control y capacidad de respuesta por parte de la organización.</w:t>
      </w:r>
    </w:p>
    <w:p w14:paraId="5960C0F9"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El </w:t>
      </w:r>
      <w:r w:rsidRPr="001A38F5">
        <w:rPr>
          <w:rFonts w:ascii="Helvetica" w:eastAsia="Times New Roman" w:hAnsi="Helvetica" w:cs="Times New Roman"/>
          <w:b/>
          <w:bCs/>
          <w:sz w:val="24"/>
          <w:szCs w:val="24"/>
          <w:lang w:val="es-PE"/>
        </w:rPr>
        <w:t>diálogo con las autoridades locales y organismos reguladores</w:t>
      </w:r>
      <w:r w:rsidRPr="001A38F5">
        <w:rPr>
          <w:rFonts w:ascii="Helvetica" w:eastAsia="Times New Roman" w:hAnsi="Helvetica" w:cs="Times New Roman"/>
          <w:sz w:val="24"/>
          <w:szCs w:val="24"/>
          <w:lang w:val="es-PE"/>
        </w:rPr>
        <w:t xml:space="preserve"> es otra dimensión importante dentro del manejo de emergencias y vocería. Cuando ocurre un evento crítico, las instituciones públicas encargadas de la supervisión, gestión de riesgos o protección civil deben recibir información oportuna y colaborativa de la empresa. Esta coordinación permite facilitar recursos conjuntos, reducir duplicidades en la respuesta y asegurar que las acciones cumplan con los marcos normativos y las expectativas institucionales. Una comunicación fluida con las autoridades también contribuye a fortalecer la confianza institucional y el reconocimiento del compromiso de la empresa con la legalidad y la protección de la población.</w:t>
      </w:r>
    </w:p>
    <w:p w14:paraId="6FD7E37A"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Durante emergencias que afectan a comunidades cercanas, la vocería debe estar acompañada de </w:t>
      </w:r>
      <w:r w:rsidRPr="001A38F5">
        <w:rPr>
          <w:rFonts w:ascii="Helvetica" w:eastAsia="Times New Roman" w:hAnsi="Helvetica" w:cs="Times New Roman"/>
          <w:b/>
          <w:bCs/>
          <w:sz w:val="24"/>
          <w:szCs w:val="24"/>
          <w:lang w:val="es-PE"/>
        </w:rPr>
        <w:t>comunicación directa y personalizada</w:t>
      </w:r>
      <w:r w:rsidRPr="001A38F5">
        <w:rPr>
          <w:rFonts w:ascii="Helvetica" w:eastAsia="Times New Roman" w:hAnsi="Helvetica" w:cs="Times New Roman"/>
          <w:sz w:val="24"/>
          <w:szCs w:val="24"/>
          <w:lang w:val="es-PE"/>
        </w:rPr>
        <w:t xml:space="preserve"> con los líderes comunitarios y representantes sociales. Esta comunicación contextualiza la situación, aclara dudas específicas, atiende preocupaciones inmediatas y permite establecer canales bilaterales que faciliten la gestión conjunta de la contingencia. Es importante que esta comunicación no se limite a mensajes unilaterales, sino que incorpore mecanismos para escuchar, comprender y responder a las inquietudes de los actores locales.</w:t>
      </w:r>
    </w:p>
    <w:p w14:paraId="532B8AE3" w14:textId="784E3E36" w:rsidR="001A38F5" w:rsidRDefault="001A38F5" w:rsidP="00C923EF">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Finalmente, el manejo de emergencias y la vocería efectiva no concluyen con la resolución del evento crítico. Es esencial implementar un </w:t>
      </w:r>
      <w:r w:rsidRPr="001A38F5">
        <w:rPr>
          <w:rFonts w:ascii="Helvetica" w:eastAsia="Times New Roman" w:hAnsi="Helvetica" w:cs="Times New Roman"/>
          <w:b/>
          <w:bCs/>
          <w:sz w:val="24"/>
          <w:szCs w:val="24"/>
          <w:lang w:val="es-PE"/>
        </w:rPr>
        <w:t xml:space="preserve">seguimiento </w:t>
      </w:r>
      <w:proofErr w:type="spellStart"/>
      <w:r w:rsidRPr="001A38F5">
        <w:rPr>
          <w:rFonts w:ascii="Helvetica" w:eastAsia="Times New Roman" w:hAnsi="Helvetica" w:cs="Times New Roman"/>
          <w:b/>
          <w:bCs/>
          <w:sz w:val="24"/>
          <w:szCs w:val="24"/>
          <w:lang w:val="es-PE"/>
        </w:rPr>
        <w:t>post-emergencia</w:t>
      </w:r>
      <w:proofErr w:type="spellEnd"/>
      <w:r w:rsidRPr="001A38F5">
        <w:rPr>
          <w:rFonts w:ascii="Helvetica" w:eastAsia="Times New Roman" w:hAnsi="Helvetica" w:cs="Times New Roman"/>
          <w:sz w:val="24"/>
          <w:szCs w:val="24"/>
          <w:lang w:val="es-PE"/>
        </w:rPr>
        <w:t xml:space="preserve"> que informe sobre las acciones correctivas adoptadas, las lecciones aprendidas, los cambios en los protocolos y las medidas destinadas a prevenir la ocurrencia de hechos similares en el futuro. Este seguimiento contribuye a reconstruir la confianza de los públicos de interés, demostrar compromiso con la mejora continua y fortalecer la legitimidad de la empresa como actor responsable dentro de su entorno operativo. En suma, la vocería y el manejo de emergencias son elementos esenciales de la comunicación corporativa que requieren preparación, coordinación, transparencia y empatía para proteger tanto a las personas como la reputación y sostenibilidad de las operaciones mineras.</w:t>
      </w:r>
    </w:p>
    <w:p w14:paraId="6CB5A742" w14:textId="0FDE82BE" w:rsidR="00C923EF" w:rsidRDefault="00C923EF" w:rsidP="00C923EF">
      <w:pPr>
        <w:spacing w:before="100" w:beforeAutospacing="1" w:after="100" w:afterAutospacing="1" w:line="360" w:lineRule="auto"/>
        <w:ind w:firstLine="720"/>
        <w:rPr>
          <w:rFonts w:ascii="Helvetica" w:eastAsia="Times New Roman" w:hAnsi="Helvetica" w:cs="Times New Roman"/>
          <w:sz w:val="24"/>
          <w:szCs w:val="24"/>
          <w:lang w:val="es-PE"/>
        </w:rPr>
      </w:pPr>
    </w:p>
    <w:p w14:paraId="664A7EEC" w14:textId="52F42403" w:rsidR="00C923EF" w:rsidRDefault="00C923EF" w:rsidP="00C923EF">
      <w:pPr>
        <w:spacing w:before="100" w:beforeAutospacing="1" w:after="100" w:afterAutospacing="1" w:line="360" w:lineRule="auto"/>
        <w:ind w:firstLine="720"/>
        <w:rPr>
          <w:rFonts w:ascii="Helvetica" w:eastAsia="Times New Roman" w:hAnsi="Helvetica" w:cs="Times New Roman"/>
          <w:sz w:val="24"/>
          <w:szCs w:val="24"/>
          <w:lang w:val="es-PE"/>
        </w:rPr>
      </w:pPr>
    </w:p>
    <w:p w14:paraId="3AB5C417" w14:textId="77777777" w:rsidR="00EB65A8" w:rsidRPr="00C923EF" w:rsidRDefault="00EB65A8" w:rsidP="00C923EF">
      <w:pPr>
        <w:spacing w:before="100" w:beforeAutospacing="1" w:after="100" w:afterAutospacing="1" w:line="360" w:lineRule="auto"/>
        <w:ind w:firstLine="720"/>
        <w:rPr>
          <w:rFonts w:ascii="Helvetica" w:eastAsia="Times New Roman" w:hAnsi="Helvetica" w:cs="Times New Roman"/>
          <w:sz w:val="24"/>
          <w:szCs w:val="24"/>
          <w:lang w:val="es-PE"/>
        </w:rPr>
      </w:pPr>
    </w:p>
    <w:p w14:paraId="62B38E2B" w14:textId="77777777" w:rsidR="001A38F5" w:rsidRPr="001A38F5" w:rsidRDefault="001A38F5" w:rsidP="001A38F5">
      <w:pPr>
        <w:pStyle w:val="NormalWeb"/>
        <w:spacing w:before="0" w:beforeAutospacing="0" w:after="0" w:afterAutospacing="0" w:line="360" w:lineRule="auto"/>
        <w:rPr>
          <w:rFonts w:ascii="Arial" w:hAnsi="Arial" w:cs="Arial"/>
          <w:b/>
          <w:bCs/>
          <w:sz w:val="32"/>
          <w:szCs w:val="32"/>
          <w:lang w:val="es-PE"/>
        </w:rPr>
      </w:pPr>
      <w:r w:rsidRPr="001A38F5">
        <w:rPr>
          <w:rFonts w:ascii="Arial" w:hAnsi="Arial" w:cs="Arial"/>
          <w:b/>
          <w:bCs/>
          <w:sz w:val="32"/>
          <w:szCs w:val="32"/>
          <w:lang w:val="es-PE"/>
        </w:rPr>
        <w:t>4. COMUNICACIÓN AMBIENTAL Y SOSTENIBILIDAD</w:t>
      </w:r>
    </w:p>
    <w:p w14:paraId="44D9EA03" w14:textId="1D61FB76" w:rsidR="00265352" w:rsidRPr="001A38F5" w:rsidRDefault="001A38F5" w:rsidP="001A38F5">
      <w:pPr>
        <w:pStyle w:val="NormalWeb"/>
        <w:spacing w:before="0" w:beforeAutospacing="0" w:after="0" w:afterAutospacing="0" w:line="360" w:lineRule="auto"/>
        <w:rPr>
          <w:rFonts w:ascii="Arial" w:hAnsi="Arial" w:cs="Arial"/>
          <w:b/>
          <w:bCs/>
          <w:sz w:val="28"/>
          <w:szCs w:val="28"/>
          <w:lang w:val="es-PE"/>
        </w:rPr>
      </w:pPr>
      <w:r w:rsidRPr="001A38F5">
        <w:rPr>
          <w:rFonts w:ascii="Arial" w:hAnsi="Arial" w:cs="Arial"/>
          <w:b/>
          <w:bCs/>
          <w:sz w:val="28"/>
          <w:szCs w:val="28"/>
          <w:lang w:val="es-PE"/>
        </w:rPr>
        <w:t>4.1. Comunicación de gestión ambiental</w:t>
      </w:r>
    </w:p>
    <w:p w14:paraId="78E2AA55"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comunicación de gestión ambiental</w:t>
      </w:r>
      <w:r w:rsidRPr="001A38F5">
        <w:rPr>
          <w:rFonts w:ascii="Helvetica" w:eastAsia="Times New Roman" w:hAnsi="Helvetica" w:cs="Times New Roman"/>
          <w:sz w:val="24"/>
          <w:szCs w:val="24"/>
          <w:lang w:val="es-PE"/>
        </w:rPr>
        <w:t xml:space="preserve"> es un componente estratégico de la comunicación corporativa en el sector minero, ya que permite informar, explicar y transparentar las acciones que una empresa realiza para minimizar los impactos ambientales asociados a sus operaciones. En un contexto como el peruano, donde la actividad minera se desarrolla en territorios con alta biodiversidad, recursos hídricos sensibles y comunidades que dependen directamente del entorno natural, comunicar de manera clara y veraz sobre la gestión ambiental se vuelve indispensable para construir confianza, reducir incertidumbres y favorecer relaciones sostenibles con los distintos públicos de interés.</w:t>
      </w:r>
    </w:p>
    <w:p w14:paraId="2AAD7830"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gestión ambiental en minería abarca un conjunto de políticas, procedimientos y prácticas orientadas a </w:t>
      </w:r>
      <w:r w:rsidRPr="001A38F5">
        <w:rPr>
          <w:rFonts w:ascii="Helvetica" w:eastAsia="Times New Roman" w:hAnsi="Helvetica" w:cs="Times New Roman"/>
          <w:b/>
          <w:bCs/>
          <w:sz w:val="24"/>
          <w:szCs w:val="24"/>
          <w:lang w:val="es-PE"/>
        </w:rPr>
        <w:t>prevenir, mitigar, controlar y compensar</w:t>
      </w:r>
      <w:r w:rsidRPr="001A38F5">
        <w:rPr>
          <w:rFonts w:ascii="Helvetica" w:eastAsia="Times New Roman" w:hAnsi="Helvetica" w:cs="Times New Roman"/>
          <w:sz w:val="24"/>
          <w:szCs w:val="24"/>
          <w:lang w:val="es-PE"/>
        </w:rPr>
        <w:t xml:space="preserve"> los efectos negativos de las actividades extractivas sobre el aire, el agua, el suelo, la biodiversidad y los recursos naturales en general. La comunicación de estas acciones no solo informa sobre lo que se hace, sino también sobre cómo y por qué se realiza, qué resultados se han obtenido y cuáles son los compromisos futuros. Esta comunicación debe ser continua, coherente con los hechos y accesible para públicos internos y externos, incluyendo comunidades, autoridades, trabajadores, medios y organizaciones de la sociedad civil.</w:t>
      </w:r>
    </w:p>
    <w:p w14:paraId="5BE8A646"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 primer aspecto de la comunicación de gestión ambiental es </w:t>
      </w:r>
      <w:r w:rsidRPr="001A38F5">
        <w:rPr>
          <w:rFonts w:ascii="Helvetica" w:eastAsia="Times New Roman" w:hAnsi="Helvetica" w:cs="Times New Roman"/>
          <w:b/>
          <w:bCs/>
          <w:sz w:val="24"/>
          <w:szCs w:val="24"/>
          <w:lang w:val="es-PE"/>
        </w:rPr>
        <w:t>informar sobre los sistemas y herramientas de gestión ambiental</w:t>
      </w:r>
      <w:r w:rsidRPr="001A38F5">
        <w:rPr>
          <w:rFonts w:ascii="Helvetica" w:eastAsia="Times New Roman" w:hAnsi="Helvetica" w:cs="Times New Roman"/>
          <w:sz w:val="24"/>
          <w:szCs w:val="24"/>
          <w:lang w:val="es-PE"/>
        </w:rPr>
        <w:t xml:space="preserve"> que la empresa ha implementado. Esto implica explicar la existencia de programas como sistemas de gestión ambiental certificados, líneas base ambientales, monitoreos periódicos de calidad de aire y agua, manejo de relaves, control de emisiones y planes de cierre de minas, entre otros. Informar sobre estos sistemas transmite la idea de que la empresa no solo cumple con la normativa legal, sino que adopta estándares técnicos reconocidos para asegurar el manejo responsable de sus impactos ambientales.</w:t>
      </w:r>
    </w:p>
    <w:p w14:paraId="073FA74C" w14:textId="071B0B82"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comunicación ambiental debería incorporar </w:t>
      </w:r>
      <w:r w:rsidRPr="001A38F5">
        <w:rPr>
          <w:rFonts w:ascii="Helvetica" w:eastAsia="Times New Roman" w:hAnsi="Helvetica" w:cs="Times New Roman"/>
          <w:b/>
          <w:bCs/>
          <w:sz w:val="24"/>
          <w:szCs w:val="24"/>
          <w:lang w:val="es-PE"/>
        </w:rPr>
        <w:t>información cuantitativa y cualitativa</w:t>
      </w:r>
      <w:r w:rsidRPr="001A38F5">
        <w:rPr>
          <w:rFonts w:ascii="Helvetica" w:eastAsia="Times New Roman" w:hAnsi="Helvetica" w:cs="Times New Roman"/>
          <w:sz w:val="24"/>
          <w:szCs w:val="24"/>
          <w:lang w:val="es-PE"/>
        </w:rPr>
        <w:t xml:space="preserve"> que permita a los públicos evaluar el desempeño ambiental de la empresa. Por ejemplo, reportar niveles de emisiones atmosféricas, resultados de calidad de agua en puntos de monitoreo, datos de consumo y eficiencia de uso del agua, índices de reciclaje y uso de energía, así como las mejoras continuas implementadas cada año. Esta información, presentada de manera clara y comprensible evitando tecnicismos excesivos ayuda a diferentes audiencias a interpretar los avances y desafíos ambientales de la operación minera.</w:t>
      </w:r>
    </w:p>
    <w:p w14:paraId="3001B63F"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comunicación de gestión ambiental también cumple un rol </w:t>
      </w:r>
      <w:r w:rsidRPr="001A38F5">
        <w:rPr>
          <w:rFonts w:ascii="Helvetica" w:eastAsia="Times New Roman" w:hAnsi="Helvetica" w:cs="Times New Roman"/>
          <w:b/>
          <w:bCs/>
          <w:sz w:val="24"/>
          <w:szCs w:val="24"/>
          <w:lang w:val="es-PE"/>
        </w:rPr>
        <w:t>preventivo y educativo</w:t>
      </w:r>
      <w:r w:rsidRPr="001A38F5">
        <w:rPr>
          <w:rFonts w:ascii="Helvetica" w:eastAsia="Times New Roman" w:hAnsi="Helvetica" w:cs="Times New Roman"/>
          <w:sz w:val="24"/>
          <w:szCs w:val="24"/>
          <w:lang w:val="es-PE"/>
        </w:rPr>
        <w:t>, ya que contribuye a incrementar la conciencia ambiental tanto dentro de la organización como en las comunidades aledañas. Por medio de campañas informativas, talleres participativos, materiales didácticos y espacios de diálogo, se puede transmitir la importancia de prácticas como el uso eficiente del agua, la reducción de residuos, la conservación de ecosistemas y la prevención de impactos ambientales. Al empoderar a los diversos públicos con información relevante, la empresa contribuye a una cultura ambiental más sólida y colaborativa.</w:t>
      </w:r>
    </w:p>
    <w:p w14:paraId="4CB96C19"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Asimismo, es fundamental comunicar </w:t>
      </w:r>
      <w:r w:rsidRPr="001A38F5">
        <w:rPr>
          <w:rFonts w:ascii="Helvetica" w:eastAsia="Times New Roman" w:hAnsi="Helvetica" w:cs="Times New Roman"/>
          <w:b/>
          <w:bCs/>
          <w:sz w:val="24"/>
          <w:szCs w:val="24"/>
          <w:lang w:val="es-PE"/>
        </w:rPr>
        <w:t>la participación comunitaria en procesos de monitoreo y supervisión ambiental</w:t>
      </w:r>
      <w:r w:rsidRPr="001A38F5">
        <w:rPr>
          <w:rFonts w:ascii="Helvetica" w:eastAsia="Times New Roman" w:hAnsi="Helvetica" w:cs="Times New Roman"/>
          <w:sz w:val="24"/>
          <w:szCs w:val="24"/>
          <w:lang w:val="es-PE"/>
        </w:rPr>
        <w:t>. Las comunidades locales suelen valorar positivamente cuando se les invita a participar en actividades de seguimiento ambiental o se les comparte de forma transparente los resultados de los monitoreos. Esta participación genera un sentido de corresponsabilidad y reduce la percepción de opacidad, ya que las comunidades no solo reciben información, sino que también se involucran en el análisis de datos y en la evaluación conjunta de resultados.</w:t>
      </w:r>
    </w:p>
    <w:p w14:paraId="0074D36D"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comunicación de gestión ambiental debe ser </w:t>
      </w:r>
      <w:r w:rsidRPr="001A38F5">
        <w:rPr>
          <w:rFonts w:ascii="Helvetica" w:eastAsia="Times New Roman" w:hAnsi="Helvetica" w:cs="Times New Roman"/>
          <w:b/>
          <w:bCs/>
          <w:sz w:val="24"/>
          <w:szCs w:val="24"/>
          <w:lang w:val="es-PE"/>
        </w:rPr>
        <w:t>bidireccional</w:t>
      </w:r>
      <w:r w:rsidRPr="001A38F5">
        <w:rPr>
          <w:rFonts w:ascii="Helvetica" w:eastAsia="Times New Roman" w:hAnsi="Helvetica" w:cs="Times New Roman"/>
          <w:sz w:val="24"/>
          <w:szCs w:val="24"/>
          <w:lang w:val="es-PE"/>
        </w:rPr>
        <w:t>, lo que significa que no solo se informa, sino que también se recoge retroalimentación de los diversos públicos. Esto implica establecer canales formales para que las comunidades, autoridades o grupos ambientalistas puedan expresar opiniones, hacer consultas o elevar inquietudes respecto a los temas ambientales. La retroalimentación obtenida puede utilizarse para ajustar políticas, perfeccionar prácticas de gestión y atender preocupaciones específicas de manera oportuna y eficiente.</w:t>
      </w:r>
    </w:p>
    <w:p w14:paraId="1CDFB5FF"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 componente cada vez más relevante en la comunicación ambiental es la </w:t>
      </w:r>
      <w:r w:rsidRPr="001A38F5">
        <w:rPr>
          <w:rFonts w:ascii="Helvetica" w:eastAsia="Times New Roman" w:hAnsi="Helvetica" w:cs="Times New Roman"/>
          <w:b/>
          <w:bCs/>
          <w:sz w:val="24"/>
          <w:szCs w:val="24"/>
          <w:lang w:val="es-PE"/>
        </w:rPr>
        <w:t>transparencia en la rendición de cuentas</w:t>
      </w:r>
      <w:r w:rsidRPr="001A38F5">
        <w:rPr>
          <w:rFonts w:ascii="Helvetica" w:eastAsia="Times New Roman" w:hAnsi="Helvetica" w:cs="Times New Roman"/>
          <w:sz w:val="24"/>
          <w:szCs w:val="24"/>
          <w:lang w:val="es-PE"/>
        </w:rPr>
        <w:t>. Las empresas mineras responsables publican informes ambientales, ya sea de manera independiente o como parte de sus informes de sostenibilidad, donde detallan sus indicadores de desempeño, avances, metas alcanzadas y retos pendientes. Estos informes deben ser accesibles públicamente, redactados en un lenguaje claro y complementados con gráficos, mapas o tablas que faciliten la comprensión de la información. La rendición de cuentas evidencia el compromiso de la empresa con la transparencia y su disposición a someter su gestión ambiental al escrutinio público.</w:t>
      </w:r>
    </w:p>
    <w:p w14:paraId="4D55B05C"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comunicación de gestión ambiental debe integrarse con las </w:t>
      </w:r>
      <w:r w:rsidRPr="001A38F5">
        <w:rPr>
          <w:rFonts w:ascii="Helvetica" w:eastAsia="Times New Roman" w:hAnsi="Helvetica" w:cs="Times New Roman"/>
          <w:b/>
          <w:bCs/>
          <w:sz w:val="24"/>
          <w:szCs w:val="24"/>
          <w:lang w:val="es-PE"/>
        </w:rPr>
        <w:t>políticas y compromisos globales de sostenibilidad</w:t>
      </w:r>
      <w:r w:rsidRPr="001A38F5">
        <w:rPr>
          <w:rFonts w:ascii="Helvetica" w:eastAsia="Times New Roman" w:hAnsi="Helvetica" w:cs="Times New Roman"/>
          <w:sz w:val="24"/>
          <w:szCs w:val="24"/>
          <w:lang w:val="es-PE"/>
        </w:rPr>
        <w:t>, como los relacionados con los Objetivos de Desarrollo Sostenible, estándares internacionales de gestión ambiental y prácticas de responsabilidad empresarial. Alinear la comunicación corporativa con estos marcos permite que los públicos evalúen la gestión ambiental no solo en función de la normativa local, sino también con base en estándares internacionales que reflejan mejores prácticas.</w:t>
      </w:r>
    </w:p>
    <w:p w14:paraId="6B5B8BA7"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Finalmente, es importante resaltar que la </w:t>
      </w:r>
      <w:r w:rsidRPr="001A38F5">
        <w:rPr>
          <w:rFonts w:ascii="Helvetica" w:eastAsia="Times New Roman" w:hAnsi="Helvetica" w:cs="Times New Roman"/>
          <w:b/>
          <w:bCs/>
          <w:sz w:val="24"/>
          <w:szCs w:val="24"/>
          <w:lang w:val="es-PE"/>
        </w:rPr>
        <w:t>comunicación de gestión ambiental no es un ejercicio aislado</w:t>
      </w:r>
      <w:r w:rsidRPr="001A38F5">
        <w:rPr>
          <w:rFonts w:ascii="Helvetica" w:eastAsia="Times New Roman" w:hAnsi="Helvetica" w:cs="Times New Roman"/>
          <w:sz w:val="24"/>
          <w:szCs w:val="24"/>
          <w:lang w:val="es-PE"/>
        </w:rPr>
        <w:t>, sino parte de una estrategia integral de comunicación corporativa que busca fortalecer la relación entre la empresa y sus públicos clave, mitigar riesgos reputacionales, facilitar el diálogo constructivo y contribuir a la sostenibilidad de la operación minera en el largo plazo. Comunicar con claridad, transparencia y constante actualización sobre la gestión ambiental permite construir relaciones más sólidas, favorecer una percepción positiva y demostrar el compromiso de la empresa con la protección del entorno natural y el bienestar de las comunidades.</w:t>
      </w:r>
    </w:p>
    <w:p w14:paraId="567FFA4F" w14:textId="77777777" w:rsidR="001A38F5" w:rsidRPr="001A38F5" w:rsidRDefault="001A38F5" w:rsidP="001A38F5">
      <w:pPr>
        <w:spacing w:before="100" w:beforeAutospacing="1" w:after="100" w:afterAutospacing="1" w:line="360" w:lineRule="auto"/>
        <w:rPr>
          <w:rFonts w:ascii="Helvetica" w:eastAsia="Times New Roman" w:hAnsi="Helvetica" w:cs="Times New Roman"/>
          <w:sz w:val="28"/>
          <w:szCs w:val="28"/>
          <w:lang w:val="es-PE"/>
        </w:rPr>
      </w:pPr>
      <w:r w:rsidRPr="001A38F5">
        <w:rPr>
          <w:rFonts w:ascii="Helvetica" w:eastAsia="Times New Roman" w:hAnsi="Helvetica" w:cs="Times New Roman"/>
          <w:b/>
          <w:bCs/>
          <w:sz w:val="28"/>
          <w:szCs w:val="28"/>
          <w:lang w:val="es-PE"/>
        </w:rPr>
        <w:t>4.2. Reportes de sostenibilidad en minería</w:t>
      </w:r>
    </w:p>
    <w:p w14:paraId="06B288E9" w14:textId="77777777"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Los </w:t>
      </w:r>
      <w:r w:rsidRPr="001A38F5">
        <w:rPr>
          <w:rFonts w:ascii="Helvetica" w:eastAsia="Times New Roman" w:hAnsi="Helvetica" w:cs="Times New Roman"/>
          <w:b/>
          <w:bCs/>
          <w:sz w:val="24"/>
          <w:szCs w:val="24"/>
          <w:lang w:val="es-PE"/>
        </w:rPr>
        <w:t>reportes de sostenibilidad en minería</w:t>
      </w:r>
      <w:r w:rsidRPr="001A38F5">
        <w:rPr>
          <w:rFonts w:ascii="Helvetica" w:eastAsia="Times New Roman" w:hAnsi="Helvetica" w:cs="Times New Roman"/>
          <w:sz w:val="24"/>
          <w:szCs w:val="24"/>
          <w:lang w:val="es-PE"/>
        </w:rPr>
        <w:t xml:space="preserve"> se han convertido en una pieza clave dentro de la comunicación corporativa y las prácticas de transparencia de las empresas del sector. Estos documentos representan una </w:t>
      </w:r>
      <w:r w:rsidRPr="001A38F5">
        <w:rPr>
          <w:rFonts w:ascii="Helvetica" w:eastAsia="Times New Roman" w:hAnsi="Helvetica" w:cs="Times New Roman"/>
          <w:b/>
          <w:bCs/>
          <w:sz w:val="24"/>
          <w:szCs w:val="24"/>
          <w:lang w:val="es-PE"/>
        </w:rPr>
        <w:t>forma estructurada y sistemática de informar públicamente</w:t>
      </w:r>
      <w:r w:rsidRPr="001A38F5">
        <w:rPr>
          <w:rFonts w:ascii="Helvetica" w:eastAsia="Times New Roman" w:hAnsi="Helvetica" w:cs="Times New Roman"/>
          <w:sz w:val="24"/>
          <w:szCs w:val="24"/>
          <w:lang w:val="es-PE"/>
        </w:rPr>
        <w:t xml:space="preserve"> sobre la gestión ambiental, social y de gobierno corporativo de una compañía minera, con el objetivo de evidenciar su desempeño, sus compromisos, avances y desafíos frente a las expectativas de la sociedad, los mercados y los distintos grupos de interés. A diferencia de otros tipos de informes que pueden enfocarse únicamente en resultados técnicos o financieros, los reportes de sostenibilidad ofrecen una visión integral de la forma en que la minería opera en armonía con su entorno económico, social y natural.</w:t>
      </w:r>
    </w:p>
    <w:p w14:paraId="0A3B0ED1" w14:textId="4CC40F44" w:rsidR="001A38F5" w:rsidRPr="001A38F5" w:rsidRDefault="001A38F5" w:rsidP="001A38F5">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Uno de los propósitos centrales de los reportes de sostenibilidad es </w:t>
      </w:r>
      <w:r w:rsidRPr="001A38F5">
        <w:rPr>
          <w:rFonts w:ascii="Helvetica" w:eastAsia="Times New Roman" w:hAnsi="Helvetica" w:cs="Times New Roman"/>
          <w:b/>
          <w:bCs/>
          <w:sz w:val="24"/>
          <w:szCs w:val="24"/>
          <w:lang w:val="es-PE"/>
        </w:rPr>
        <w:t>transparentar el impacto de las actividades mineras</w:t>
      </w:r>
      <w:r w:rsidRPr="001A38F5">
        <w:rPr>
          <w:rFonts w:ascii="Helvetica" w:eastAsia="Times New Roman" w:hAnsi="Helvetica" w:cs="Times New Roman"/>
          <w:sz w:val="24"/>
          <w:szCs w:val="24"/>
          <w:lang w:val="es-PE"/>
        </w:rPr>
        <w:t xml:space="preserve"> sobre el medio ambiente y las comunidades, así como comunicar las acciones adoptadas para mitigar estos impactos. En estos reportes se detallan indicadores clave relacionados con el uso de recursos naturales, la gestión de residuos, las emisiones de gases efecto invernadero, la eficiencia en el uso del agua, los programas de rehabilitación de áreas intervenidas y las inversiones realizadas en iniciativas ambientales. Estos indicadores permiten que diferentes públicos tanto internos como externos puedan evaluar objetivamente el desempeño de la empresa y compararlo con estándares internacionales o con informes de años anteriores.</w:t>
      </w:r>
    </w:p>
    <w:p w14:paraId="16B415EF" w14:textId="77777777" w:rsidR="001A38F5" w:rsidRPr="001A38F5" w:rsidRDefault="001A38F5"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Otro elemento importante de los reportes de sostenibilidad es la </w:t>
      </w:r>
      <w:r w:rsidRPr="001A38F5">
        <w:rPr>
          <w:rFonts w:ascii="Helvetica" w:eastAsia="Times New Roman" w:hAnsi="Helvetica" w:cs="Times New Roman"/>
          <w:b/>
          <w:bCs/>
          <w:sz w:val="24"/>
          <w:szCs w:val="24"/>
          <w:lang w:val="es-PE"/>
        </w:rPr>
        <w:t>gestión social y comunitaria</w:t>
      </w:r>
      <w:r w:rsidRPr="001A38F5">
        <w:rPr>
          <w:rFonts w:ascii="Helvetica" w:eastAsia="Times New Roman" w:hAnsi="Helvetica" w:cs="Times New Roman"/>
          <w:sz w:val="24"/>
          <w:szCs w:val="24"/>
          <w:lang w:val="es-PE"/>
        </w:rPr>
        <w:t>. En esta dimensión, las empresas informan sobre los programas de relacionamiento comunitario, las estrategias de diálogo y consulta, los avances en proyectos de desarrollo local, la creación de empleo para pobladores de zonas de influencia, las inversiones sociales y las medidas adoptadas para fortalecer la licencia social para operar. La inclusión de estas temáticas responde a la necesidad de demostrar que la actividad minera genera beneficios concretos para las comunidades, y que estos son gestionados de manera responsable y participativa.</w:t>
      </w:r>
    </w:p>
    <w:p w14:paraId="15BA3989" w14:textId="77777777" w:rsidR="001A38F5" w:rsidRPr="001A38F5" w:rsidRDefault="001A38F5"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Además, los reportes de sostenibilidad incluyen información referente al </w:t>
      </w:r>
      <w:r w:rsidRPr="001A38F5">
        <w:rPr>
          <w:rFonts w:ascii="Helvetica" w:eastAsia="Times New Roman" w:hAnsi="Helvetica" w:cs="Times New Roman"/>
          <w:b/>
          <w:bCs/>
          <w:sz w:val="24"/>
          <w:szCs w:val="24"/>
          <w:lang w:val="es-PE"/>
        </w:rPr>
        <w:t>gobierno corporativo y la ética empresarial</w:t>
      </w:r>
      <w:r w:rsidRPr="001A38F5">
        <w:rPr>
          <w:rFonts w:ascii="Helvetica" w:eastAsia="Times New Roman" w:hAnsi="Helvetica" w:cs="Times New Roman"/>
          <w:sz w:val="24"/>
          <w:szCs w:val="24"/>
          <w:lang w:val="es-PE"/>
        </w:rPr>
        <w:t>. Esto comprende la estructura de gobierno de la empresa, los mecanismos de supervisión interna, las políticas de cumplimiento normativo, los sistemas de gestión de riesgos, la transparencia fiscal, la rendición de cuentas y las prácticas de lucha contra la corrupción. La presencia de estos elementos permite que los lectores comprendan no solo qué se hace, sino también cómo se hacen las cosas en términos de integridad y responsabilidad institucional. Una gestión sólida en estas áreas contribuye a fortalecer la confianza de inversores, proveedores, autoridades y la sociedad en general.</w:t>
      </w:r>
    </w:p>
    <w:p w14:paraId="243DE9BB" w14:textId="77777777" w:rsidR="001A38F5" w:rsidRPr="001A38F5" w:rsidRDefault="001A38F5"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elaboración de reportes de sostenibilidad suele basarse en </w:t>
      </w:r>
      <w:r w:rsidRPr="001A38F5">
        <w:rPr>
          <w:rFonts w:ascii="Helvetica" w:eastAsia="Times New Roman" w:hAnsi="Helvetica" w:cs="Times New Roman"/>
          <w:b/>
          <w:bCs/>
          <w:sz w:val="24"/>
          <w:szCs w:val="24"/>
          <w:lang w:val="es-PE"/>
        </w:rPr>
        <w:t>estándares internacionales</w:t>
      </w:r>
      <w:r w:rsidRPr="001A38F5">
        <w:rPr>
          <w:rFonts w:ascii="Helvetica" w:eastAsia="Times New Roman" w:hAnsi="Helvetica" w:cs="Times New Roman"/>
          <w:sz w:val="24"/>
          <w:szCs w:val="24"/>
          <w:lang w:val="es-PE"/>
        </w:rPr>
        <w:t xml:space="preserve"> reconocidos universalmente, como los de la </w:t>
      </w:r>
      <w:r w:rsidRPr="001A38F5">
        <w:rPr>
          <w:rFonts w:ascii="Helvetica" w:eastAsia="Times New Roman" w:hAnsi="Helvetica" w:cs="Times New Roman"/>
          <w:b/>
          <w:bCs/>
          <w:sz w:val="24"/>
          <w:szCs w:val="24"/>
          <w:lang w:val="es-PE"/>
        </w:rPr>
        <w:t xml:space="preserve">Global </w:t>
      </w:r>
      <w:proofErr w:type="spellStart"/>
      <w:r w:rsidRPr="001A38F5">
        <w:rPr>
          <w:rFonts w:ascii="Helvetica" w:eastAsia="Times New Roman" w:hAnsi="Helvetica" w:cs="Times New Roman"/>
          <w:b/>
          <w:bCs/>
          <w:sz w:val="24"/>
          <w:szCs w:val="24"/>
          <w:lang w:val="es-PE"/>
        </w:rPr>
        <w:t>Reporting</w:t>
      </w:r>
      <w:proofErr w:type="spellEnd"/>
      <w:r w:rsidRPr="001A38F5">
        <w:rPr>
          <w:rFonts w:ascii="Helvetica" w:eastAsia="Times New Roman" w:hAnsi="Helvetica" w:cs="Times New Roman"/>
          <w:b/>
          <w:bCs/>
          <w:sz w:val="24"/>
          <w:szCs w:val="24"/>
          <w:lang w:val="es-PE"/>
        </w:rPr>
        <w:t xml:space="preserve"> </w:t>
      </w:r>
      <w:proofErr w:type="spellStart"/>
      <w:r w:rsidRPr="001A38F5">
        <w:rPr>
          <w:rFonts w:ascii="Helvetica" w:eastAsia="Times New Roman" w:hAnsi="Helvetica" w:cs="Times New Roman"/>
          <w:b/>
          <w:bCs/>
          <w:sz w:val="24"/>
          <w:szCs w:val="24"/>
          <w:lang w:val="es-PE"/>
        </w:rPr>
        <w:t>Initiative</w:t>
      </w:r>
      <w:proofErr w:type="spellEnd"/>
      <w:r w:rsidRPr="001A38F5">
        <w:rPr>
          <w:rFonts w:ascii="Helvetica" w:eastAsia="Times New Roman" w:hAnsi="Helvetica" w:cs="Times New Roman"/>
          <w:b/>
          <w:bCs/>
          <w:sz w:val="24"/>
          <w:szCs w:val="24"/>
          <w:lang w:val="es-PE"/>
        </w:rPr>
        <w:t xml:space="preserve"> (GRI)</w:t>
      </w:r>
      <w:r w:rsidRPr="001A38F5">
        <w:rPr>
          <w:rFonts w:ascii="Helvetica" w:eastAsia="Times New Roman" w:hAnsi="Helvetica" w:cs="Times New Roman"/>
          <w:sz w:val="24"/>
          <w:szCs w:val="24"/>
          <w:lang w:val="es-PE"/>
        </w:rPr>
        <w:t xml:space="preserve"> o los Principios del Pacto Global de las Naciones Unidas. Estos marcos proporcionan lineamientos y métricas consistentes que facilitan la comparabilidad y la calidad de la información reportada. El uso de estándares internacionales también ayuda a las empresas mineras a alinearse con las mejores prácticas globales, permitiendo que sus resultados sean evaluados tanto por instituciones especializadas como por grupos de interés que operan en distintos países o contextos económicos.</w:t>
      </w:r>
    </w:p>
    <w:p w14:paraId="763C5DCF" w14:textId="77777777" w:rsidR="001A38F5" w:rsidRPr="001A38F5" w:rsidRDefault="001A38F5"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Los reportes de sostenibilidad suelen estructurarse en secciones que facilitan la lectura y comprensión de la información. Una sección introductoria contextualiza la misión, visión y valores de la empresa, sus estrategias de sostenibilidad y la forma en que estos elementos se integran a sus operaciones diarias. Posteriormente, se presentan capítulos dedicados a aspectos ambientales, sociales y de gobierno corporativo, seguidos de indicadores cuantitativos, gráficos comparativos y testimonios de </w:t>
      </w:r>
      <w:proofErr w:type="spellStart"/>
      <w:r w:rsidRPr="001A38F5">
        <w:rPr>
          <w:rFonts w:ascii="Helvetica" w:eastAsia="Times New Roman" w:hAnsi="Helvetica" w:cs="Times New Roman"/>
          <w:sz w:val="24"/>
          <w:szCs w:val="24"/>
          <w:lang w:val="es-PE"/>
        </w:rPr>
        <w:t>stakeholders</w:t>
      </w:r>
      <w:proofErr w:type="spellEnd"/>
      <w:r w:rsidRPr="001A38F5">
        <w:rPr>
          <w:rFonts w:ascii="Helvetica" w:eastAsia="Times New Roman" w:hAnsi="Helvetica" w:cs="Times New Roman"/>
          <w:sz w:val="24"/>
          <w:szCs w:val="24"/>
          <w:lang w:val="es-PE"/>
        </w:rPr>
        <w:t xml:space="preserve"> o grupos de interés. Esta estructura permite que los reportes no solo sean documentos técnicos, sino también herramientas de comunicación auténticas que narran la historia de la empresa en clave de sostenibilidad.</w:t>
      </w:r>
    </w:p>
    <w:p w14:paraId="04E7B4DB" w14:textId="77777777" w:rsidR="001A38F5" w:rsidRPr="001A38F5" w:rsidRDefault="001A38F5"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La </w:t>
      </w:r>
      <w:r w:rsidRPr="001A38F5">
        <w:rPr>
          <w:rFonts w:ascii="Helvetica" w:eastAsia="Times New Roman" w:hAnsi="Helvetica" w:cs="Times New Roman"/>
          <w:b/>
          <w:bCs/>
          <w:sz w:val="24"/>
          <w:szCs w:val="24"/>
          <w:lang w:val="es-PE"/>
        </w:rPr>
        <w:t>rendición de cuentas</w:t>
      </w:r>
      <w:r w:rsidRPr="001A38F5">
        <w:rPr>
          <w:rFonts w:ascii="Helvetica" w:eastAsia="Times New Roman" w:hAnsi="Helvetica" w:cs="Times New Roman"/>
          <w:sz w:val="24"/>
          <w:szCs w:val="24"/>
          <w:lang w:val="es-PE"/>
        </w:rPr>
        <w:t xml:space="preserve"> es un principio fundamental de los reportes de sostenibilidad. Publicar de manera periódica y consistente este tipo de informes demuestra el compromiso de la empresa con la transparencia y la responsabilidad. La rendición de cuentas no sólo implica mostrar logros, sino también reconocer los desafíos enfrentados, los errores cometidos y las lecciones aprendidas. Este enfoque integral contribuye a construir relaciones más sólidas con comunidades, gobiernos, inversores y otros grupos clave, ya que se percibe que la empresa está dispuesta a abrir sus procesos a la evaluación pública y a mejorar de manera constante.</w:t>
      </w:r>
    </w:p>
    <w:p w14:paraId="4811E357" w14:textId="77777777" w:rsidR="001A38F5" w:rsidRPr="001A38F5" w:rsidRDefault="001A38F5"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Otro aspecto importante es que los reportes de sostenibilidad actúan como </w:t>
      </w:r>
      <w:r w:rsidRPr="001A38F5">
        <w:rPr>
          <w:rFonts w:ascii="Helvetica" w:eastAsia="Times New Roman" w:hAnsi="Helvetica" w:cs="Times New Roman"/>
          <w:b/>
          <w:bCs/>
          <w:sz w:val="24"/>
          <w:szCs w:val="24"/>
          <w:lang w:val="es-PE"/>
        </w:rPr>
        <w:t>herramientas de gestión interna</w:t>
      </w:r>
      <w:r w:rsidRPr="001A38F5">
        <w:rPr>
          <w:rFonts w:ascii="Helvetica" w:eastAsia="Times New Roman" w:hAnsi="Helvetica" w:cs="Times New Roman"/>
          <w:sz w:val="24"/>
          <w:szCs w:val="24"/>
          <w:lang w:val="es-PE"/>
        </w:rPr>
        <w:t xml:space="preserve">. Al recopilar y analizar datos sobre el desempeño ambiental, social y de gobierno corporativo, las empresas pueden identificar áreas de mejora, establecer metas de desempeño para periodos futuros y diseñar estrategias que respondan a las expectativas de sus </w:t>
      </w:r>
      <w:proofErr w:type="spellStart"/>
      <w:r w:rsidRPr="001A38F5">
        <w:rPr>
          <w:rFonts w:ascii="Helvetica" w:eastAsia="Times New Roman" w:hAnsi="Helvetica" w:cs="Times New Roman"/>
          <w:sz w:val="24"/>
          <w:szCs w:val="24"/>
          <w:lang w:val="es-PE"/>
        </w:rPr>
        <w:t>stakeholders</w:t>
      </w:r>
      <w:proofErr w:type="spellEnd"/>
      <w:r w:rsidRPr="001A38F5">
        <w:rPr>
          <w:rFonts w:ascii="Helvetica" w:eastAsia="Times New Roman" w:hAnsi="Helvetica" w:cs="Times New Roman"/>
          <w:sz w:val="24"/>
          <w:szCs w:val="24"/>
          <w:lang w:val="es-PE"/>
        </w:rPr>
        <w:t>. En este sentido, el reporte no se queda como un documento informativo dirigido hacia afuera, sino que también alimenta procesos de planificación estratégica y mejora continua dentro de la organización.</w:t>
      </w:r>
    </w:p>
    <w:p w14:paraId="714B59C4" w14:textId="77777777" w:rsidR="001A38F5" w:rsidRPr="001A38F5" w:rsidRDefault="001A38F5"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Los reportes de sostenibilidad también facilitan la </w:t>
      </w:r>
      <w:r w:rsidRPr="001A38F5">
        <w:rPr>
          <w:rFonts w:ascii="Helvetica" w:eastAsia="Times New Roman" w:hAnsi="Helvetica" w:cs="Times New Roman"/>
          <w:b/>
          <w:bCs/>
          <w:sz w:val="24"/>
          <w:szCs w:val="24"/>
          <w:lang w:val="es-PE"/>
        </w:rPr>
        <w:t>comparación entre empresas del sector y la evaluación por parte de inversores responsables</w:t>
      </w:r>
      <w:r w:rsidRPr="001A38F5">
        <w:rPr>
          <w:rFonts w:ascii="Helvetica" w:eastAsia="Times New Roman" w:hAnsi="Helvetica" w:cs="Times New Roman"/>
          <w:sz w:val="24"/>
          <w:szCs w:val="24"/>
          <w:lang w:val="es-PE"/>
        </w:rPr>
        <w:t>, quienes cada vez más incorporan criterios ambientales, sociales y de gobernanza (ESG) en sus decisiones de inversión. La existencia de información clara, estandarizada y verificable permite que estos actores evalúen el desempeño sostenible de una compañía minera y su capacidad para operar de manera viable, ética y respetuosa con el entorno.</w:t>
      </w:r>
    </w:p>
    <w:p w14:paraId="72BFBA3F" w14:textId="77777777" w:rsidR="001A38F5" w:rsidRPr="001A38F5" w:rsidRDefault="001A38F5"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1A38F5">
        <w:rPr>
          <w:rFonts w:ascii="Helvetica" w:eastAsia="Times New Roman" w:hAnsi="Helvetica" w:cs="Times New Roman"/>
          <w:sz w:val="24"/>
          <w:szCs w:val="24"/>
          <w:lang w:val="es-PE"/>
        </w:rPr>
        <w:t xml:space="preserve">Finalmente, es importante subrayar que la comunicación a través de reportes de sostenibilidad </w:t>
      </w:r>
      <w:r w:rsidRPr="001A38F5">
        <w:rPr>
          <w:rFonts w:ascii="Helvetica" w:eastAsia="Times New Roman" w:hAnsi="Helvetica" w:cs="Times New Roman"/>
          <w:b/>
          <w:bCs/>
          <w:sz w:val="24"/>
          <w:szCs w:val="24"/>
          <w:lang w:val="es-PE"/>
        </w:rPr>
        <w:t>no es una actividad opcional</w:t>
      </w:r>
      <w:r w:rsidRPr="001A38F5">
        <w:rPr>
          <w:rFonts w:ascii="Helvetica" w:eastAsia="Times New Roman" w:hAnsi="Helvetica" w:cs="Times New Roman"/>
          <w:sz w:val="24"/>
          <w:szCs w:val="24"/>
          <w:lang w:val="es-PE"/>
        </w:rPr>
        <w:t>, sino una práctica alineada con las demandas actuales de transparencia, responsabilidad y sostenibilidad empresarial. Para las compañías mineras, la elaboración y difusión de estos informes representa una oportunidad para demostrar su compromiso con el desarrollo sostenible, consolidar su reputación corporativa y construir relaciones de confianza duraderas con todos sus públicos de interés. Un reporte de sostenibilidad bien elaborado refuerza la percepción de que la empresa no solo persigue objetivos económicos, sino que también asume su responsabilidad con el ambiente, las comunidades y la gobernanza ética.</w:t>
      </w:r>
    </w:p>
    <w:p w14:paraId="7C94F5FC" w14:textId="77777777" w:rsidR="00392F2C" w:rsidRPr="00962A8A" w:rsidRDefault="00392F2C" w:rsidP="00392F2C">
      <w:pPr>
        <w:spacing w:before="100" w:beforeAutospacing="1" w:after="100" w:afterAutospacing="1" w:line="360" w:lineRule="auto"/>
        <w:rPr>
          <w:rFonts w:ascii="Helvetica" w:eastAsia="Times New Roman" w:hAnsi="Helvetica" w:cs="Times New Roman"/>
          <w:sz w:val="28"/>
          <w:szCs w:val="28"/>
          <w:lang w:val="es-PE"/>
        </w:rPr>
      </w:pPr>
      <w:r w:rsidRPr="00962A8A">
        <w:rPr>
          <w:rFonts w:ascii="Helvetica" w:eastAsia="Times New Roman" w:hAnsi="Helvetica" w:cs="Times New Roman"/>
          <w:b/>
          <w:bCs/>
          <w:sz w:val="28"/>
          <w:szCs w:val="28"/>
          <w:lang w:val="es-PE"/>
        </w:rPr>
        <w:t>4.3. Estándares internacionales (GRI, ICMM)</w:t>
      </w:r>
    </w:p>
    <w:p w14:paraId="79ADB709"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Los </w:t>
      </w:r>
      <w:r w:rsidRPr="00392F2C">
        <w:rPr>
          <w:rFonts w:ascii="Helvetica" w:eastAsia="Times New Roman" w:hAnsi="Helvetica" w:cs="Times New Roman"/>
          <w:b/>
          <w:bCs/>
          <w:sz w:val="24"/>
          <w:szCs w:val="24"/>
          <w:lang w:val="es-PE"/>
        </w:rPr>
        <w:t>estándares internacionales</w:t>
      </w:r>
      <w:r w:rsidRPr="00392F2C">
        <w:rPr>
          <w:rFonts w:ascii="Helvetica" w:eastAsia="Times New Roman" w:hAnsi="Helvetica" w:cs="Times New Roman"/>
          <w:sz w:val="24"/>
          <w:szCs w:val="24"/>
          <w:lang w:val="es-PE"/>
        </w:rPr>
        <w:t xml:space="preserve"> en el ámbito de la sostenibilidad y la comunicación corporativa han adquirido gran relevancia para las empresas mineras, no solo para medir y reportar su desempeño, sino también para alinearse con prácticas globales de transparencia, responsabilidad ambiental y compromiso social. Entre los marcos más reconocidos y utilizados por la industria minera a nivel mundial se encuentran los </w:t>
      </w:r>
      <w:r w:rsidRPr="00392F2C">
        <w:rPr>
          <w:rFonts w:ascii="Helvetica" w:eastAsia="Times New Roman" w:hAnsi="Helvetica" w:cs="Times New Roman"/>
          <w:b/>
          <w:bCs/>
          <w:sz w:val="24"/>
          <w:szCs w:val="24"/>
          <w:lang w:val="es-PE"/>
        </w:rPr>
        <w:t xml:space="preserve">Estándares de la Global </w:t>
      </w:r>
      <w:proofErr w:type="spellStart"/>
      <w:r w:rsidRPr="00392F2C">
        <w:rPr>
          <w:rFonts w:ascii="Helvetica" w:eastAsia="Times New Roman" w:hAnsi="Helvetica" w:cs="Times New Roman"/>
          <w:b/>
          <w:bCs/>
          <w:sz w:val="24"/>
          <w:szCs w:val="24"/>
          <w:lang w:val="es-PE"/>
        </w:rPr>
        <w:t>Reporting</w:t>
      </w:r>
      <w:proofErr w:type="spellEnd"/>
      <w:r w:rsidRPr="00392F2C">
        <w:rPr>
          <w:rFonts w:ascii="Helvetica" w:eastAsia="Times New Roman" w:hAnsi="Helvetica" w:cs="Times New Roman"/>
          <w:b/>
          <w:bCs/>
          <w:sz w:val="24"/>
          <w:szCs w:val="24"/>
          <w:lang w:val="es-PE"/>
        </w:rPr>
        <w:t xml:space="preserve"> </w:t>
      </w:r>
      <w:proofErr w:type="spellStart"/>
      <w:r w:rsidRPr="00392F2C">
        <w:rPr>
          <w:rFonts w:ascii="Helvetica" w:eastAsia="Times New Roman" w:hAnsi="Helvetica" w:cs="Times New Roman"/>
          <w:b/>
          <w:bCs/>
          <w:sz w:val="24"/>
          <w:szCs w:val="24"/>
          <w:lang w:val="es-PE"/>
        </w:rPr>
        <w:t>Initiative</w:t>
      </w:r>
      <w:proofErr w:type="spellEnd"/>
      <w:r w:rsidRPr="00392F2C">
        <w:rPr>
          <w:rFonts w:ascii="Helvetica" w:eastAsia="Times New Roman" w:hAnsi="Helvetica" w:cs="Times New Roman"/>
          <w:b/>
          <w:bCs/>
          <w:sz w:val="24"/>
          <w:szCs w:val="24"/>
          <w:lang w:val="es-PE"/>
        </w:rPr>
        <w:t xml:space="preserve"> (GRI)</w:t>
      </w:r>
      <w:r w:rsidRPr="00392F2C">
        <w:rPr>
          <w:rFonts w:ascii="Helvetica" w:eastAsia="Times New Roman" w:hAnsi="Helvetica" w:cs="Times New Roman"/>
          <w:sz w:val="24"/>
          <w:szCs w:val="24"/>
          <w:lang w:val="es-PE"/>
        </w:rPr>
        <w:t xml:space="preserve"> y los principios promovidos por el </w:t>
      </w:r>
      <w:r w:rsidRPr="00392F2C">
        <w:rPr>
          <w:rFonts w:ascii="Helvetica" w:eastAsia="Times New Roman" w:hAnsi="Helvetica" w:cs="Times New Roman"/>
          <w:b/>
          <w:bCs/>
          <w:sz w:val="24"/>
          <w:szCs w:val="24"/>
          <w:lang w:val="es-PE"/>
        </w:rPr>
        <w:t>Consejo Internacional de Minería y Metales (ICMM)</w:t>
      </w:r>
      <w:r w:rsidRPr="00392F2C">
        <w:rPr>
          <w:rFonts w:ascii="Helvetica" w:eastAsia="Times New Roman" w:hAnsi="Helvetica" w:cs="Times New Roman"/>
          <w:sz w:val="24"/>
          <w:szCs w:val="24"/>
          <w:lang w:val="es-PE"/>
        </w:rPr>
        <w:t>. Estos estándares proporcionan directrices claras, comparables y consistentes para estructurar reportes, definir indicadores y evaluar el desempeño en temas ambientales, sociales y de gobernanza (ESG).</w:t>
      </w:r>
    </w:p>
    <w:p w14:paraId="1853C317"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Los </w:t>
      </w:r>
      <w:r w:rsidRPr="00392F2C">
        <w:rPr>
          <w:rFonts w:ascii="Helvetica" w:eastAsia="Times New Roman" w:hAnsi="Helvetica" w:cs="Times New Roman"/>
          <w:b/>
          <w:bCs/>
          <w:sz w:val="24"/>
          <w:szCs w:val="24"/>
          <w:lang w:val="es-PE"/>
        </w:rPr>
        <w:t>Estándares GRI</w:t>
      </w:r>
      <w:r w:rsidRPr="00392F2C">
        <w:rPr>
          <w:rFonts w:ascii="Helvetica" w:eastAsia="Times New Roman" w:hAnsi="Helvetica" w:cs="Times New Roman"/>
          <w:sz w:val="24"/>
          <w:szCs w:val="24"/>
          <w:lang w:val="es-PE"/>
        </w:rPr>
        <w:t xml:space="preserve"> son un conjunto de directrices voluntarias diseñadas para ayudar a las organizaciones a comunicar su impacto en cuestiones económicas, ambientales y sociales de manera transparente y sistemática. La importancia de GRI radica en su carácter universal y en la posibilidad de comparabilidad entre empresas y sectores, facilitando así la evaluación del desempeño sostenible por parte de múltiples públicos interesados, como comunidades, gobiernos, inversionistas, empleados y organizaciones de la sociedad civil. Los estándares GRI están estructurados en módulos que abarcan aspectos como gestión de energía, emisiones de gases de efecto invernadero, derechos humanos, prácticas laborales, impacto en comunidades, gestión del agua y otros temas críticos para la sostenibilidad.</w:t>
      </w:r>
    </w:p>
    <w:p w14:paraId="607015B5"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Al implementar los Estándares GRI, una empresa minera debe identificar qué temas son relevantes para su negocio y sus grupos de interés, lo que se conoce como el proceso de </w:t>
      </w:r>
      <w:r w:rsidRPr="00392F2C">
        <w:rPr>
          <w:rFonts w:ascii="Helvetica" w:eastAsia="Times New Roman" w:hAnsi="Helvetica" w:cs="Times New Roman"/>
          <w:b/>
          <w:bCs/>
          <w:sz w:val="24"/>
          <w:szCs w:val="24"/>
          <w:lang w:val="es-PE"/>
        </w:rPr>
        <w:t>materialidad</w:t>
      </w:r>
      <w:r w:rsidRPr="00392F2C">
        <w:rPr>
          <w:rFonts w:ascii="Helvetica" w:eastAsia="Times New Roman" w:hAnsi="Helvetica" w:cs="Times New Roman"/>
          <w:sz w:val="24"/>
          <w:szCs w:val="24"/>
          <w:lang w:val="es-PE"/>
        </w:rPr>
        <w:t xml:space="preserve">. Este proceso implica seleccionar los temas que tienen mayor impacto en la organización y en los públicos con los que se relaciona, definiendo así cuáles indicadores deben ser incluidos en los reportes de sostenibilidad. La determinación de aspectos materiales es clave porque orienta la priorización de recursos, permite una comunicación más enfocada y asegura que el reporte responda a las expectativas reales de los </w:t>
      </w:r>
      <w:proofErr w:type="spellStart"/>
      <w:r w:rsidRPr="00392F2C">
        <w:rPr>
          <w:rFonts w:ascii="Helvetica" w:eastAsia="Times New Roman" w:hAnsi="Helvetica" w:cs="Times New Roman"/>
          <w:sz w:val="24"/>
          <w:szCs w:val="24"/>
          <w:lang w:val="es-PE"/>
        </w:rPr>
        <w:t>stakeholders</w:t>
      </w:r>
      <w:proofErr w:type="spellEnd"/>
      <w:r w:rsidRPr="00392F2C">
        <w:rPr>
          <w:rFonts w:ascii="Helvetica" w:eastAsia="Times New Roman" w:hAnsi="Helvetica" w:cs="Times New Roman"/>
          <w:sz w:val="24"/>
          <w:szCs w:val="24"/>
          <w:lang w:val="es-PE"/>
        </w:rPr>
        <w:t>.</w:t>
      </w:r>
    </w:p>
    <w:p w14:paraId="46FD9E1D"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Los estándares GRI fomentan una </w:t>
      </w:r>
      <w:r w:rsidRPr="00392F2C">
        <w:rPr>
          <w:rFonts w:ascii="Helvetica" w:eastAsia="Times New Roman" w:hAnsi="Helvetica" w:cs="Times New Roman"/>
          <w:b/>
          <w:bCs/>
          <w:sz w:val="24"/>
          <w:szCs w:val="24"/>
          <w:lang w:val="es-PE"/>
        </w:rPr>
        <w:t>estructura clara de reporte</w:t>
      </w:r>
      <w:r w:rsidRPr="00392F2C">
        <w:rPr>
          <w:rFonts w:ascii="Helvetica" w:eastAsia="Times New Roman" w:hAnsi="Helvetica" w:cs="Times New Roman"/>
          <w:sz w:val="24"/>
          <w:szCs w:val="24"/>
          <w:lang w:val="es-PE"/>
        </w:rPr>
        <w:t>, donde se presentan la estrategia organizacional, la gobernanza, el contexto de sostenibilidad, los compromisos, los indicadores cuantitativos y los mecanismos de verificación. Esta estructura no solo mejora la transparencia, sino que también facilita la comprensión de la información por parte de lectores que pueden no tener un conocimiento técnico profundo. Asimismo, los Estándares GRI promueven la inclusión de metodologías de cálculo, fuentes de datos y notas aclaratorias que respaldan los resultados reportados y aumentan la credibilidad del documento.</w:t>
      </w:r>
    </w:p>
    <w:p w14:paraId="0AA7A4D1"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Por su parte, el </w:t>
      </w:r>
      <w:r w:rsidRPr="00392F2C">
        <w:rPr>
          <w:rFonts w:ascii="Helvetica" w:eastAsia="Times New Roman" w:hAnsi="Helvetica" w:cs="Times New Roman"/>
          <w:b/>
          <w:bCs/>
          <w:sz w:val="24"/>
          <w:szCs w:val="24"/>
          <w:lang w:val="es-PE"/>
        </w:rPr>
        <w:t>Consejo Internacional de Minería y Metales (ICMM)</w:t>
      </w:r>
      <w:r w:rsidRPr="00392F2C">
        <w:rPr>
          <w:rFonts w:ascii="Helvetica" w:eastAsia="Times New Roman" w:hAnsi="Helvetica" w:cs="Times New Roman"/>
          <w:sz w:val="24"/>
          <w:szCs w:val="24"/>
          <w:lang w:val="es-PE"/>
        </w:rPr>
        <w:t xml:space="preserve"> es una organización que agrupa a las principales empresas del sector minero a nivel global y que promueve un conjunto de principios y compromisos para una minería responsable. Los estándares y posicionamientos del ICMM no solo abordan temas ambientales y sociales, sino también aspectos de gobernanza corporativa, ética, transparencia y relaciones con comunidades. El enfoque del ICMM está orientado a elevar las prácticas de la industria en su conjunto, promoviendo altos requerimientos de desempeño que superan la mera obligación legal.</w:t>
      </w:r>
    </w:p>
    <w:p w14:paraId="5C6A9714"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Uno de los aportes más significativos del ICMM es su </w:t>
      </w:r>
      <w:r w:rsidRPr="00392F2C">
        <w:rPr>
          <w:rFonts w:ascii="Helvetica" w:eastAsia="Times New Roman" w:hAnsi="Helvetica" w:cs="Times New Roman"/>
          <w:b/>
          <w:bCs/>
          <w:sz w:val="24"/>
          <w:szCs w:val="24"/>
          <w:lang w:val="es-PE"/>
        </w:rPr>
        <w:t>marco de 10 Principios de Desarrollo Sostenible</w:t>
      </w:r>
      <w:r w:rsidRPr="00392F2C">
        <w:rPr>
          <w:rFonts w:ascii="Helvetica" w:eastAsia="Times New Roman" w:hAnsi="Helvetica" w:cs="Times New Roman"/>
          <w:sz w:val="24"/>
          <w:szCs w:val="24"/>
          <w:lang w:val="es-PE"/>
        </w:rPr>
        <w:t>, que cubren temas como respeto a los derechos humanos, gestión ambiental, participación comunitaria, transparencia fiscal, fortalecimiento de capacidades locales, manejo de riesgos, cadena de suministro responsable y mejora continua. Estos principios sirven como una guía estratégica para que las empresas mineras estructuren sus políticas, programas e informes de sostenibilidad, integrando tanto la gestión interna como la comunicación externa bajo un enfoque de mejores prácticas globales.</w:t>
      </w:r>
    </w:p>
    <w:p w14:paraId="0032BA1A"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 adopción de los estándares del ICMM implica que las empresas no solo informen sobre sus resultados, sino que también </w:t>
      </w:r>
      <w:r w:rsidRPr="00392F2C">
        <w:rPr>
          <w:rFonts w:ascii="Helvetica" w:eastAsia="Times New Roman" w:hAnsi="Helvetica" w:cs="Times New Roman"/>
          <w:b/>
          <w:bCs/>
          <w:sz w:val="24"/>
          <w:szCs w:val="24"/>
          <w:lang w:val="es-PE"/>
        </w:rPr>
        <w:t>demuestren acciones concretas</w:t>
      </w:r>
      <w:r w:rsidRPr="00392F2C">
        <w:rPr>
          <w:rFonts w:ascii="Helvetica" w:eastAsia="Times New Roman" w:hAnsi="Helvetica" w:cs="Times New Roman"/>
          <w:sz w:val="24"/>
          <w:szCs w:val="24"/>
          <w:lang w:val="es-PE"/>
        </w:rPr>
        <w:t xml:space="preserve"> para cumplir con los compromisos asumidos. Por ejemplo, las empresas adheridas al ICMM suelen participar en iniciativas de monitoreo ambiental conjunto con comunidades, elaborar estrategias de reducción de emisiones alineadas con acuerdos climáticos internacionales, y adoptar mecanismos de transparencia fiscal que detallan sus contribuciones económicas a nivel local y nacional.</w:t>
      </w:r>
    </w:p>
    <w:p w14:paraId="351A3723"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 integración de los Estándares GRI y los principios del ICMM en los procesos corporativos fortalece la </w:t>
      </w:r>
      <w:r w:rsidRPr="00392F2C">
        <w:rPr>
          <w:rFonts w:ascii="Helvetica" w:eastAsia="Times New Roman" w:hAnsi="Helvetica" w:cs="Times New Roman"/>
          <w:b/>
          <w:bCs/>
          <w:sz w:val="24"/>
          <w:szCs w:val="24"/>
          <w:lang w:val="es-PE"/>
        </w:rPr>
        <w:t>credibilidad y legitimidad</w:t>
      </w:r>
      <w:r w:rsidRPr="00392F2C">
        <w:rPr>
          <w:rFonts w:ascii="Helvetica" w:eastAsia="Times New Roman" w:hAnsi="Helvetica" w:cs="Times New Roman"/>
          <w:sz w:val="24"/>
          <w:szCs w:val="24"/>
          <w:lang w:val="es-PE"/>
        </w:rPr>
        <w:t xml:space="preserve"> de los reportes de sostenibilidad. Estos marcos no solo facilitan la comparación entre empresas y países, sino que también posicionan a la empresa minera dentro de un estándar reconocido globalmente, lo cual es especialmente relevante para atraer inversionistas que incorporan criterios ESG en sus decisiones de financiamiento.</w:t>
      </w:r>
    </w:p>
    <w:p w14:paraId="49C1FC54"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Además, la alineación con estándares internacionales contribuye a mejorar las </w:t>
      </w:r>
      <w:r w:rsidRPr="00392F2C">
        <w:rPr>
          <w:rFonts w:ascii="Helvetica" w:eastAsia="Times New Roman" w:hAnsi="Helvetica" w:cs="Times New Roman"/>
          <w:b/>
          <w:bCs/>
          <w:sz w:val="24"/>
          <w:szCs w:val="24"/>
          <w:lang w:val="es-PE"/>
        </w:rPr>
        <w:t>relaciones con gobiernos y organismos reguladores</w:t>
      </w:r>
      <w:r w:rsidRPr="00392F2C">
        <w:rPr>
          <w:rFonts w:ascii="Helvetica" w:eastAsia="Times New Roman" w:hAnsi="Helvetica" w:cs="Times New Roman"/>
          <w:sz w:val="24"/>
          <w:szCs w:val="24"/>
          <w:lang w:val="es-PE"/>
        </w:rPr>
        <w:t>, ya que demuestra que la empresa adopta prácticas que van más allá del cumplimiento legal local, reflejando un compromiso con políticas públicas más amplias sobre sostenibilidad y responsabilidad empresarial. También fortalece la confianza de las comunidades locales, ya que estas pueden evaluar la gestión de la empresa con base en indicadores estandarizados, percibiendo mayor transparencia y coherencia en la comunicación de resultados.</w:t>
      </w:r>
    </w:p>
    <w:p w14:paraId="31F9F6BC"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En síntesis, los Estándares GRI y los principios promovidos por el ICMM constituyen herramientas fundamentales para la comunicación de sostenibilidad en la minería moderna. Su adopción permite estructurar reportes más rigurosos, comparables y orientados a las expectativas reales de los públicos de interés. Asimismo, estos marcos impulsan a las empresas mineras a integrar prácticas responsables dentro de su gestión cotidiana, contribuyendo así a una industria más transparente, sostenible y alineada con los desafíos globales contemporáneos en materia ambiental, social y de gobernanza.</w:t>
      </w:r>
    </w:p>
    <w:p w14:paraId="6E95917C" w14:textId="77777777" w:rsidR="00392F2C" w:rsidRPr="00962A8A" w:rsidRDefault="00392F2C" w:rsidP="00392F2C">
      <w:pPr>
        <w:spacing w:before="100" w:beforeAutospacing="1" w:after="100" w:afterAutospacing="1" w:line="360" w:lineRule="auto"/>
        <w:rPr>
          <w:rFonts w:ascii="Helvetica" w:eastAsia="Times New Roman" w:hAnsi="Helvetica" w:cs="Times New Roman"/>
          <w:sz w:val="28"/>
          <w:szCs w:val="28"/>
          <w:lang w:val="es-PE"/>
        </w:rPr>
      </w:pPr>
      <w:r w:rsidRPr="00962A8A">
        <w:rPr>
          <w:rFonts w:ascii="Helvetica" w:eastAsia="Times New Roman" w:hAnsi="Helvetica" w:cs="Times New Roman"/>
          <w:b/>
          <w:bCs/>
          <w:sz w:val="28"/>
          <w:szCs w:val="28"/>
          <w:lang w:val="es-PE"/>
        </w:rPr>
        <w:t>4.4. Minería responsable y economía circular</w:t>
      </w:r>
    </w:p>
    <w:p w14:paraId="7AFB26AC"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 </w:t>
      </w:r>
      <w:r w:rsidRPr="00392F2C">
        <w:rPr>
          <w:rFonts w:ascii="Helvetica" w:eastAsia="Times New Roman" w:hAnsi="Helvetica" w:cs="Times New Roman"/>
          <w:b/>
          <w:bCs/>
          <w:sz w:val="24"/>
          <w:szCs w:val="24"/>
          <w:lang w:val="es-PE"/>
        </w:rPr>
        <w:t>minería responsable</w:t>
      </w:r>
      <w:r w:rsidRPr="00392F2C">
        <w:rPr>
          <w:rFonts w:ascii="Helvetica" w:eastAsia="Times New Roman" w:hAnsi="Helvetica" w:cs="Times New Roman"/>
          <w:sz w:val="24"/>
          <w:szCs w:val="24"/>
          <w:lang w:val="es-PE"/>
        </w:rPr>
        <w:t xml:space="preserve"> y la </w:t>
      </w:r>
      <w:r w:rsidRPr="00392F2C">
        <w:rPr>
          <w:rFonts w:ascii="Helvetica" w:eastAsia="Times New Roman" w:hAnsi="Helvetica" w:cs="Times New Roman"/>
          <w:b/>
          <w:bCs/>
          <w:sz w:val="24"/>
          <w:szCs w:val="24"/>
          <w:lang w:val="es-PE"/>
        </w:rPr>
        <w:t>economía circular</w:t>
      </w:r>
      <w:r w:rsidRPr="00392F2C">
        <w:rPr>
          <w:rFonts w:ascii="Helvetica" w:eastAsia="Times New Roman" w:hAnsi="Helvetica" w:cs="Times New Roman"/>
          <w:sz w:val="24"/>
          <w:szCs w:val="24"/>
          <w:lang w:val="es-PE"/>
        </w:rPr>
        <w:t xml:space="preserve"> son conceptos interrelacionados que están transformando la forma en que la industria minera planifica, gestiona y comunica sus operaciones. En un contexto global donde la sociedad exige mayor respeto por el medio ambiente, un uso más eficiente de los recursos y un enfoque integral de sostenibilidad, estas ideas se convierten en pilares de la gestión operativa y de la comunicación corporativa. La minería responsable va más allá del cumplimiento legal: implica actuar con ética, transparencia y compromiso con las comunidades y el entorno natural. Por su parte, la economía circular propone un modelo de producción y consumo que prioriza la reducción de residuos, la prolongación de la vida útil de los materiales y la generación de valor de manera sostenible.</w:t>
      </w:r>
    </w:p>
    <w:p w14:paraId="10079298"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 </w:t>
      </w:r>
      <w:r w:rsidRPr="00392F2C">
        <w:rPr>
          <w:rFonts w:ascii="Helvetica" w:eastAsia="Times New Roman" w:hAnsi="Helvetica" w:cs="Times New Roman"/>
          <w:b/>
          <w:bCs/>
          <w:sz w:val="24"/>
          <w:szCs w:val="24"/>
          <w:lang w:val="es-PE"/>
        </w:rPr>
        <w:t>minería responsable</w:t>
      </w:r>
      <w:r w:rsidRPr="00392F2C">
        <w:rPr>
          <w:rFonts w:ascii="Helvetica" w:eastAsia="Times New Roman" w:hAnsi="Helvetica" w:cs="Times New Roman"/>
          <w:sz w:val="24"/>
          <w:szCs w:val="24"/>
          <w:lang w:val="es-PE"/>
        </w:rPr>
        <w:t xml:space="preserve"> se refiere a un enfoque en el que las empresas asumen la gestión de sus impactos ambientales y sociales como parte inseparable de sus operaciones. Esto implica implementar prácticas que reduzcan el impacto sobre el agua, el aire y el suelo, así como promover el desarrollo económico y social de las comunidades donde operan. Una minería responsable considera la protección de la biodiversidad, la gestión adecuada de residuos mineros, el uso eficiente del agua y la energía, la seguridad y salud ocupacional de sus colaboradores, y la inclusión de mecanismos de participación ciudadana en los procesos de toma de decisiones. Este enfoque reconoce que la licencia social para operar se fortalece cuando las comunidades perciben que la empresa no solo extrae recursos, sino que también contribuye al bienestar de las generaciones presentes y futuras.</w:t>
      </w:r>
    </w:p>
    <w:p w14:paraId="0D8F794F" w14:textId="6A5CF67B"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En paralelo, el concepto de </w:t>
      </w:r>
      <w:r w:rsidRPr="00392F2C">
        <w:rPr>
          <w:rFonts w:ascii="Helvetica" w:eastAsia="Times New Roman" w:hAnsi="Helvetica" w:cs="Times New Roman"/>
          <w:b/>
          <w:bCs/>
          <w:sz w:val="24"/>
          <w:szCs w:val="24"/>
          <w:lang w:val="es-PE"/>
        </w:rPr>
        <w:t>economía circular</w:t>
      </w:r>
      <w:r w:rsidRPr="00392F2C">
        <w:rPr>
          <w:rFonts w:ascii="Helvetica" w:eastAsia="Times New Roman" w:hAnsi="Helvetica" w:cs="Times New Roman"/>
          <w:sz w:val="24"/>
          <w:szCs w:val="24"/>
          <w:lang w:val="es-PE"/>
        </w:rPr>
        <w:t xml:space="preserve"> ofrece una perspectiva innovadora para reconfigurar los procesos industriales de manera que los recursos utilizados en la extracción y procesamiento no se desaprovechen. En lugar de un modelo lineal tradicional extraer, producir, consumir y desechar, la economía circular propone </w:t>
      </w:r>
      <w:r w:rsidRPr="00392F2C">
        <w:rPr>
          <w:rFonts w:ascii="Helvetica" w:eastAsia="Times New Roman" w:hAnsi="Helvetica" w:cs="Times New Roman"/>
          <w:b/>
          <w:bCs/>
          <w:sz w:val="24"/>
          <w:szCs w:val="24"/>
          <w:lang w:val="es-PE"/>
        </w:rPr>
        <w:t>cerrar los ciclos de materiales</w:t>
      </w:r>
      <w:r w:rsidRPr="00392F2C">
        <w:rPr>
          <w:rFonts w:ascii="Helvetica" w:eastAsia="Times New Roman" w:hAnsi="Helvetica" w:cs="Times New Roman"/>
          <w:sz w:val="24"/>
          <w:szCs w:val="24"/>
          <w:lang w:val="es-PE"/>
        </w:rPr>
        <w:t xml:space="preserve">, promoviendo la reutilización, el reciclaje, la </w:t>
      </w:r>
      <w:proofErr w:type="spellStart"/>
      <w:r w:rsidRPr="00392F2C">
        <w:rPr>
          <w:rFonts w:ascii="Helvetica" w:eastAsia="Times New Roman" w:hAnsi="Helvetica" w:cs="Times New Roman"/>
          <w:sz w:val="24"/>
          <w:szCs w:val="24"/>
          <w:lang w:val="es-PE"/>
        </w:rPr>
        <w:t>remanufactura</w:t>
      </w:r>
      <w:proofErr w:type="spellEnd"/>
      <w:r w:rsidRPr="00392F2C">
        <w:rPr>
          <w:rFonts w:ascii="Helvetica" w:eastAsia="Times New Roman" w:hAnsi="Helvetica" w:cs="Times New Roman"/>
          <w:sz w:val="24"/>
          <w:szCs w:val="24"/>
          <w:lang w:val="es-PE"/>
        </w:rPr>
        <w:t xml:space="preserve"> y la recuperación de subproductos. En minería, esto se traduce en prácticas como la recuperación de metales valiosos de residuos, la reutilización de agua de proceso, la valorización energética de subproductos, el diseño de procesos industriales más eficientes y la planificación de actividades de rehabilitación para devolver gradualmente los terrenos intervenidos a su estado natural o con usos productivos compatibles.</w:t>
      </w:r>
    </w:p>
    <w:p w14:paraId="542D85FE"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Un elemento clave en la implementación de minería responsable y economía circular es la </w:t>
      </w:r>
      <w:r w:rsidRPr="00392F2C">
        <w:rPr>
          <w:rFonts w:ascii="Helvetica" w:eastAsia="Times New Roman" w:hAnsi="Helvetica" w:cs="Times New Roman"/>
          <w:b/>
          <w:bCs/>
          <w:sz w:val="24"/>
          <w:szCs w:val="24"/>
          <w:lang w:val="es-PE"/>
        </w:rPr>
        <w:t>innovación tecnológica</w:t>
      </w:r>
      <w:r w:rsidRPr="00392F2C">
        <w:rPr>
          <w:rFonts w:ascii="Helvetica" w:eastAsia="Times New Roman" w:hAnsi="Helvetica" w:cs="Times New Roman"/>
          <w:sz w:val="24"/>
          <w:szCs w:val="24"/>
          <w:lang w:val="es-PE"/>
        </w:rPr>
        <w:t>. El desarrollo de tecnologías que permitan reducir el consumo de agua, optimizar el uso de energía, recuperar metales de bajo contenido y gestionar de manera efectiva los relaves mineros contribuye tanto a disminuir los impactos ambientales como a generar eficiencia económica. La incorporación de sensores inteligentes, automatización de procesos, sistemas de monitoreo continuo y modelos de gestión basados en datos permite a las empresas detectar oportunidades de mejora, anticipar riesgos y tomar decisiones informadas que fortalezcan tanto la sostenibilidad como la competitividad.</w:t>
      </w:r>
    </w:p>
    <w:p w14:paraId="717A4740"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 </w:t>
      </w:r>
      <w:r w:rsidRPr="00392F2C">
        <w:rPr>
          <w:rFonts w:ascii="Helvetica" w:eastAsia="Times New Roman" w:hAnsi="Helvetica" w:cs="Times New Roman"/>
          <w:b/>
          <w:bCs/>
          <w:sz w:val="24"/>
          <w:szCs w:val="24"/>
          <w:lang w:val="es-PE"/>
        </w:rPr>
        <w:t>gestión de residuos</w:t>
      </w:r>
      <w:r w:rsidRPr="00392F2C">
        <w:rPr>
          <w:rFonts w:ascii="Helvetica" w:eastAsia="Times New Roman" w:hAnsi="Helvetica" w:cs="Times New Roman"/>
          <w:sz w:val="24"/>
          <w:szCs w:val="24"/>
          <w:lang w:val="es-PE"/>
        </w:rPr>
        <w:t xml:space="preserve"> es uno de los ámbitos donde la aplicación de la economía circular en minería cobra mayor relevancia. Tradicionalmente, los relaves, escombros y otros desechos mineros se han almacenado en depósitos que, si no se gestionan adecuadamente, pueden representar riesgos ambientales. Bajo un enfoque circular, se busca </w:t>
      </w:r>
      <w:r w:rsidRPr="00392F2C">
        <w:rPr>
          <w:rFonts w:ascii="Helvetica" w:eastAsia="Times New Roman" w:hAnsi="Helvetica" w:cs="Times New Roman"/>
          <w:b/>
          <w:bCs/>
          <w:sz w:val="24"/>
          <w:szCs w:val="24"/>
          <w:lang w:val="es-PE"/>
        </w:rPr>
        <w:t>valorar estos residuos</w:t>
      </w:r>
      <w:r w:rsidRPr="00392F2C">
        <w:rPr>
          <w:rFonts w:ascii="Helvetica" w:eastAsia="Times New Roman" w:hAnsi="Helvetica" w:cs="Times New Roman"/>
          <w:sz w:val="24"/>
          <w:szCs w:val="24"/>
          <w:lang w:val="es-PE"/>
        </w:rPr>
        <w:t>, transformándolos en materias primas secundarias o utilizándolos en otras industrias, reduciendo así la necesidad de extracción de nuevos recursos. Esta transformación no solo disminuye el impacto ambiental, sino que también crea oportunidades económicas adicionales para las empresas.</w:t>
      </w:r>
    </w:p>
    <w:p w14:paraId="7B0C4441"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 </w:t>
      </w:r>
      <w:r w:rsidRPr="00392F2C">
        <w:rPr>
          <w:rFonts w:ascii="Helvetica" w:eastAsia="Times New Roman" w:hAnsi="Helvetica" w:cs="Times New Roman"/>
          <w:b/>
          <w:bCs/>
          <w:sz w:val="24"/>
          <w:szCs w:val="24"/>
          <w:lang w:val="es-PE"/>
        </w:rPr>
        <w:t>optimización del uso del agua y la energía</w:t>
      </w:r>
      <w:r w:rsidRPr="00392F2C">
        <w:rPr>
          <w:rFonts w:ascii="Helvetica" w:eastAsia="Times New Roman" w:hAnsi="Helvetica" w:cs="Times New Roman"/>
          <w:sz w:val="24"/>
          <w:szCs w:val="24"/>
          <w:lang w:val="es-PE"/>
        </w:rPr>
        <w:t xml:space="preserve"> también constituye un componente esencial de estos enfoques. En muchas operaciones mineras, el consumo de agua representa una parte significativa de los costos operativos y un factor crítico para las comunidades locales. Implementar sistemas que permitan reciclar y reutilizar el agua de proceso, así como utilizar fuentes de energía renovable, contribuye no solo a mejorar la eficiencia, sino también a fortalecer la relación con las comunidades que dependen de los mismos recursos hídricos. De igual forma, disminuir la huella de carbono a través de la eficiencia energética o la incorporación de energías limpias demuestra que la empresa está alineada con las metas globales de mitigación del cambio climático.</w:t>
      </w:r>
    </w:p>
    <w:p w14:paraId="20A361EF"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 </w:t>
      </w:r>
      <w:r w:rsidRPr="00392F2C">
        <w:rPr>
          <w:rFonts w:ascii="Helvetica" w:eastAsia="Times New Roman" w:hAnsi="Helvetica" w:cs="Times New Roman"/>
          <w:b/>
          <w:bCs/>
          <w:sz w:val="24"/>
          <w:szCs w:val="24"/>
          <w:lang w:val="es-PE"/>
        </w:rPr>
        <w:t>participación comunitaria en iniciativas de economía circular</w:t>
      </w:r>
      <w:r w:rsidRPr="00392F2C">
        <w:rPr>
          <w:rFonts w:ascii="Helvetica" w:eastAsia="Times New Roman" w:hAnsi="Helvetica" w:cs="Times New Roman"/>
          <w:sz w:val="24"/>
          <w:szCs w:val="24"/>
          <w:lang w:val="es-PE"/>
        </w:rPr>
        <w:t xml:space="preserve"> también es un componente importante. Involucrar a las comunidades locales en proyectos de valorización de residuos, emprendimiento con materiales reciclados o programas de educación ambiental genera beneficios compartidos y fortalece la percepción de que la minería puede ser una actividad que promueve desarrollo sostenible. Estos proyectos deben diseñarse en conjunto con los actores locales, reconociendo sus conocimientos, necesidades y aspiraciones para asegurar que las iniciativas sean pertinentes y sostenibles en el tiempo.</w:t>
      </w:r>
    </w:p>
    <w:p w14:paraId="36F0CC17"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Desde la perspectiva de la </w:t>
      </w:r>
      <w:r w:rsidRPr="00392F2C">
        <w:rPr>
          <w:rFonts w:ascii="Helvetica" w:eastAsia="Times New Roman" w:hAnsi="Helvetica" w:cs="Times New Roman"/>
          <w:b/>
          <w:bCs/>
          <w:sz w:val="24"/>
          <w:szCs w:val="24"/>
          <w:lang w:val="es-PE"/>
        </w:rPr>
        <w:t>comunicación corporativa</w:t>
      </w:r>
      <w:r w:rsidRPr="00392F2C">
        <w:rPr>
          <w:rFonts w:ascii="Helvetica" w:eastAsia="Times New Roman" w:hAnsi="Helvetica" w:cs="Times New Roman"/>
          <w:sz w:val="24"/>
          <w:szCs w:val="24"/>
          <w:lang w:val="es-PE"/>
        </w:rPr>
        <w:t>, comunicar adecuadamente los avances en minería responsable y economía circular es fundamental para fortalecer la reputación, demostrar compromiso con mejores prácticas y responder a las expectativas de los grupos de interés. Esto implica informar de manera transparente sobre metas, indicadores de desempeño, resultados alcanzados, desafíos enfrentados y planes futuros. Los reportes de sostenibilidad, comunicados corporativos, publicaciones en redes sociales y espacios de diálogo con públicos clave deben presentar información comprensible, basada en datos y con un enfoque que refleje tanto logros como retos pendientes.</w:t>
      </w:r>
    </w:p>
    <w:p w14:paraId="4ED26605"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Asimismo, la comunicación efectiva debe ser </w:t>
      </w:r>
      <w:r w:rsidRPr="00392F2C">
        <w:rPr>
          <w:rFonts w:ascii="Helvetica" w:eastAsia="Times New Roman" w:hAnsi="Helvetica" w:cs="Times New Roman"/>
          <w:b/>
          <w:bCs/>
          <w:sz w:val="24"/>
          <w:szCs w:val="24"/>
          <w:lang w:val="es-PE"/>
        </w:rPr>
        <w:t>bidireccional</w:t>
      </w:r>
      <w:r w:rsidRPr="00392F2C">
        <w:rPr>
          <w:rFonts w:ascii="Helvetica" w:eastAsia="Times New Roman" w:hAnsi="Helvetica" w:cs="Times New Roman"/>
          <w:sz w:val="24"/>
          <w:szCs w:val="24"/>
          <w:lang w:val="es-PE"/>
        </w:rPr>
        <w:t xml:space="preserve">, promoviendo espacios en los que las comunidades, organizaciones de la sociedad civil, autoridades y otros </w:t>
      </w:r>
      <w:proofErr w:type="spellStart"/>
      <w:r w:rsidRPr="00392F2C">
        <w:rPr>
          <w:rFonts w:ascii="Helvetica" w:eastAsia="Times New Roman" w:hAnsi="Helvetica" w:cs="Times New Roman"/>
          <w:sz w:val="24"/>
          <w:szCs w:val="24"/>
          <w:lang w:val="es-PE"/>
        </w:rPr>
        <w:t>stakeholders</w:t>
      </w:r>
      <w:proofErr w:type="spellEnd"/>
      <w:r w:rsidRPr="00392F2C">
        <w:rPr>
          <w:rFonts w:ascii="Helvetica" w:eastAsia="Times New Roman" w:hAnsi="Helvetica" w:cs="Times New Roman"/>
          <w:sz w:val="24"/>
          <w:szCs w:val="24"/>
          <w:lang w:val="es-PE"/>
        </w:rPr>
        <w:t xml:space="preserve"> puedan expresar sus inquietudes y aportar ideas. Esta interacción permite ajustar las estrategias de minería responsable y economía circular de acuerdo con las expectativas reales y las condiciones locales, fomentando relaciones más sólidas y colaborativas.</w:t>
      </w:r>
    </w:p>
    <w:p w14:paraId="78A0BB95"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Finalmente, la adopción de enfoques de minería responsable y economía circular no solo responde a una agenda de sostenibilidad global, sino que también contribuye a la </w:t>
      </w:r>
      <w:r w:rsidRPr="00392F2C">
        <w:rPr>
          <w:rFonts w:ascii="Helvetica" w:eastAsia="Times New Roman" w:hAnsi="Helvetica" w:cs="Times New Roman"/>
          <w:b/>
          <w:bCs/>
          <w:sz w:val="24"/>
          <w:szCs w:val="24"/>
          <w:lang w:val="es-PE"/>
        </w:rPr>
        <w:t>viabilidad a largo plazo de la industria minera</w:t>
      </w:r>
      <w:r w:rsidRPr="00392F2C">
        <w:rPr>
          <w:rFonts w:ascii="Helvetica" w:eastAsia="Times New Roman" w:hAnsi="Helvetica" w:cs="Times New Roman"/>
          <w:sz w:val="24"/>
          <w:szCs w:val="24"/>
          <w:lang w:val="es-PE"/>
        </w:rPr>
        <w:t>. Empresas que integran estos conceptos en su gestión diaria demuestran que es posible equilibrar la extracción responsable de recursos con el respeto por el medio ambiente, la generación de valor compartido y el fortalecimiento de relaciones de confianza con sus públicos de interés. Estos enfoques representan un desafío continuo, pero también una oportunidad para posicionar a la minería como una actividad compatible con un desarrollo más armónico y sustentable en el futuro.</w:t>
      </w:r>
    </w:p>
    <w:p w14:paraId="6F0B136C" w14:textId="0B68B61C" w:rsidR="00265352" w:rsidRDefault="00265352" w:rsidP="001A38F5">
      <w:pPr>
        <w:pStyle w:val="NormalWeb"/>
        <w:rPr>
          <w:rFonts w:ascii="Arial" w:hAnsi="Arial" w:cs="Arial"/>
          <w:lang w:val="es-PE"/>
        </w:rPr>
      </w:pPr>
    </w:p>
    <w:p w14:paraId="4B1F1974" w14:textId="03204359" w:rsidR="00392F2C" w:rsidRDefault="00392F2C" w:rsidP="001A38F5">
      <w:pPr>
        <w:pStyle w:val="NormalWeb"/>
        <w:rPr>
          <w:rFonts w:ascii="Arial" w:hAnsi="Arial" w:cs="Arial"/>
          <w:lang w:val="es-PE"/>
        </w:rPr>
      </w:pPr>
    </w:p>
    <w:p w14:paraId="07C45666" w14:textId="123328DA" w:rsidR="00392F2C" w:rsidRDefault="00392F2C" w:rsidP="001A38F5">
      <w:pPr>
        <w:pStyle w:val="NormalWeb"/>
        <w:rPr>
          <w:rFonts w:ascii="Arial" w:hAnsi="Arial" w:cs="Arial"/>
          <w:lang w:val="es-PE"/>
        </w:rPr>
      </w:pPr>
    </w:p>
    <w:p w14:paraId="4FB2FA98" w14:textId="204467C9" w:rsidR="00392F2C" w:rsidRDefault="00392F2C" w:rsidP="001A38F5">
      <w:pPr>
        <w:pStyle w:val="NormalWeb"/>
        <w:rPr>
          <w:rFonts w:ascii="Arial" w:hAnsi="Arial" w:cs="Arial"/>
          <w:lang w:val="es-PE"/>
        </w:rPr>
      </w:pPr>
    </w:p>
    <w:p w14:paraId="7B4E3B9E" w14:textId="0352260C" w:rsidR="00392F2C" w:rsidRDefault="00392F2C" w:rsidP="001A38F5">
      <w:pPr>
        <w:pStyle w:val="NormalWeb"/>
        <w:rPr>
          <w:rFonts w:ascii="Arial" w:hAnsi="Arial" w:cs="Arial"/>
          <w:lang w:val="es-PE"/>
        </w:rPr>
      </w:pPr>
    </w:p>
    <w:p w14:paraId="018A4167" w14:textId="2FFBB1E3" w:rsidR="00392F2C" w:rsidRDefault="00392F2C" w:rsidP="001A38F5">
      <w:pPr>
        <w:pStyle w:val="NormalWeb"/>
        <w:rPr>
          <w:rFonts w:ascii="Arial" w:hAnsi="Arial" w:cs="Arial"/>
          <w:lang w:val="es-PE"/>
        </w:rPr>
      </w:pPr>
    </w:p>
    <w:p w14:paraId="65E4150B" w14:textId="7A082DE8" w:rsidR="00392F2C" w:rsidRDefault="00392F2C" w:rsidP="001A38F5">
      <w:pPr>
        <w:pStyle w:val="NormalWeb"/>
        <w:rPr>
          <w:rFonts w:ascii="Arial" w:hAnsi="Arial" w:cs="Arial"/>
          <w:lang w:val="es-PE"/>
        </w:rPr>
      </w:pPr>
    </w:p>
    <w:p w14:paraId="26D61CD0" w14:textId="7F1C1107" w:rsidR="00392F2C" w:rsidRDefault="00392F2C" w:rsidP="001A38F5">
      <w:pPr>
        <w:pStyle w:val="NormalWeb"/>
        <w:rPr>
          <w:rFonts w:ascii="Arial" w:hAnsi="Arial" w:cs="Arial"/>
          <w:lang w:val="es-PE"/>
        </w:rPr>
      </w:pPr>
    </w:p>
    <w:p w14:paraId="72C645F5" w14:textId="3B76B121" w:rsidR="00392F2C" w:rsidRDefault="00392F2C" w:rsidP="001A38F5">
      <w:pPr>
        <w:pStyle w:val="NormalWeb"/>
        <w:rPr>
          <w:rFonts w:ascii="Arial" w:hAnsi="Arial" w:cs="Arial"/>
          <w:lang w:val="es-PE"/>
        </w:rPr>
      </w:pPr>
    </w:p>
    <w:p w14:paraId="537612D5" w14:textId="73BD5908" w:rsidR="00392F2C" w:rsidRDefault="00392F2C" w:rsidP="001A38F5">
      <w:pPr>
        <w:pStyle w:val="NormalWeb"/>
        <w:rPr>
          <w:rFonts w:ascii="Arial" w:hAnsi="Arial" w:cs="Arial"/>
          <w:lang w:val="es-PE"/>
        </w:rPr>
      </w:pPr>
    </w:p>
    <w:p w14:paraId="420D7813" w14:textId="19C44799" w:rsidR="00392F2C" w:rsidRDefault="00392F2C" w:rsidP="001A38F5">
      <w:pPr>
        <w:pStyle w:val="NormalWeb"/>
        <w:rPr>
          <w:rFonts w:ascii="Arial" w:hAnsi="Arial" w:cs="Arial"/>
          <w:lang w:val="es-PE"/>
        </w:rPr>
      </w:pPr>
    </w:p>
    <w:p w14:paraId="19FB7221" w14:textId="5E5622A5" w:rsidR="00392F2C" w:rsidRDefault="00392F2C" w:rsidP="001A38F5">
      <w:pPr>
        <w:pStyle w:val="NormalWeb"/>
        <w:rPr>
          <w:rFonts w:ascii="Arial" w:hAnsi="Arial" w:cs="Arial"/>
          <w:lang w:val="es-PE"/>
        </w:rPr>
      </w:pPr>
    </w:p>
    <w:p w14:paraId="297BF8CC" w14:textId="14047052" w:rsidR="00392F2C" w:rsidRDefault="00392F2C" w:rsidP="001A38F5">
      <w:pPr>
        <w:pStyle w:val="NormalWeb"/>
        <w:rPr>
          <w:rFonts w:ascii="Arial" w:hAnsi="Arial" w:cs="Arial"/>
          <w:lang w:val="es-PE"/>
        </w:rPr>
      </w:pPr>
    </w:p>
    <w:p w14:paraId="0955B4D6" w14:textId="38072E50" w:rsidR="00392F2C" w:rsidRDefault="00392F2C" w:rsidP="001A38F5">
      <w:pPr>
        <w:pStyle w:val="NormalWeb"/>
        <w:rPr>
          <w:rFonts w:ascii="Arial" w:hAnsi="Arial" w:cs="Arial"/>
          <w:lang w:val="es-PE"/>
        </w:rPr>
      </w:pPr>
    </w:p>
    <w:p w14:paraId="0688923A" w14:textId="405E6268" w:rsidR="00392F2C" w:rsidRDefault="00392F2C" w:rsidP="001A38F5">
      <w:pPr>
        <w:pStyle w:val="NormalWeb"/>
        <w:rPr>
          <w:rFonts w:ascii="Arial" w:hAnsi="Arial" w:cs="Arial"/>
          <w:lang w:val="es-PE"/>
        </w:rPr>
      </w:pPr>
    </w:p>
    <w:p w14:paraId="7FF2177A" w14:textId="057BB283" w:rsidR="00392F2C" w:rsidRDefault="00392F2C" w:rsidP="001A38F5">
      <w:pPr>
        <w:pStyle w:val="NormalWeb"/>
        <w:rPr>
          <w:rFonts w:ascii="Arial" w:hAnsi="Arial" w:cs="Arial"/>
          <w:lang w:val="es-PE"/>
        </w:rPr>
      </w:pPr>
    </w:p>
    <w:p w14:paraId="757C038F" w14:textId="31A17917" w:rsidR="00392F2C" w:rsidRDefault="00392F2C" w:rsidP="001A38F5">
      <w:pPr>
        <w:pStyle w:val="NormalWeb"/>
        <w:rPr>
          <w:rFonts w:ascii="Arial" w:hAnsi="Arial" w:cs="Arial"/>
          <w:lang w:val="es-PE"/>
        </w:rPr>
      </w:pPr>
    </w:p>
    <w:p w14:paraId="1AAF2FD0" w14:textId="3F9CF509" w:rsidR="00392F2C" w:rsidRDefault="00392F2C" w:rsidP="001A38F5">
      <w:pPr>
        <w:pStyle w:val="NormalWeb"/>
        <w:rPr>
          <w:rFonts w:ascii="Arial" w:hAnsi="Arial" w:cs="Arial"/>
          <w:lang w:val="es-PE"/>
        </w:rPr>
      </w:pPr>
    </w:p>
    <w:p w14:paraId="03713AB5" w14:textId="29E5DC77" w:rsidR="00046E71" w:rsidRDefault="00046E71" w:rsidP="001A38F5">
      <w:pPr>
        <w:pStyle w:val="NormalWeb"/>
        <w:rPr>
          <w:rFonts w:ascii="Arial" w:hAnsi="Arial" w:cs="Arial"/>
          <w:lang w:val="es-PE"/>
        </w:rPr>
      </w:pPr>
    </w:p>
    <w:p w14:paraId="7247893C" w14:textId="3D68B1FE" w:rsidR="00046E71" w:rsidRDefault="00046E71" w:rsidP="001A38F5">
      <w:pPr>
        <w:pStyle w:val="NormalWeb"/>
        <w:rPr>
          <w:rFonts w:ascii="Arial" w:hAnsi="Arial" w:cs="Arial"/>
          <w:lang w:val="es-PE"/>
        </w:rPr>
      </w:pPr>
    </w:p>
    <w:p w14:paraId="74812607" w14:textId="199CC2B2" w:rsidR="00046E71" w:rsidRDefault="00046E71" w:rsidP="001A38F5">
      <w:pPr>
        <w:pStyle w:val="NormalWeb"/>
        <w:rPr>
          <w:rFonts w:ascii="Arial" w:hAnsi="Arial" w:cs="Arial"/>
          <w:lang w:val="es-PE"/>
        </w:rPr>
      </w:pPr>
    </w:p>
    <w:p w14:paraId="29539BF0" w14:textId="77777777" w:rsidR="00046E71" w:rsidRPr="00046E71" w:rsidRDefault="00046E71" w:rsidP="001A38F5">
      <w:pPr>
        <w:pStyle w:val="NormalWeb"/>
        <w:rPr>
          <w:rFonts w:ascii="Arial" w:hAnsi="Arial" w:cs="Arial"/>
          <w:lang w:val="uk-UA"/>
        </w:rPr>
      </w:pPr>
    </w:p>
    <w:p w14:paraId="350E6639" w14:textId="77777777" w:rsidR="00392F2C" w:rsidRPr="00392F2C" w:rsidRDefault="00392F2C" w:rsidP="00392F2C">
      <w:pPr>
        <w:spacing w:after="0" w:line="360" w:lineRule="auto"/>
        <w:rPr>
          <w:rFonts w:ascii="Helvetica" w:eastAsia="Times New Roman" w:hAnsi="Helvetica" w:cs="Times New Roman"/>
          <w:b/>
          <w:bCs/>
          <w:sz w:val="32"/>
          <w:szCs w:val="32"/>
          <w:lang w:val="es-PE"/>
        </w:rPr>
      </w:pPr>
      <w:r w:rsidRPr="00392F2C">
        <w:rPr>
          <w:rFonts w:ascii="Helvetica" w:eastAsia="Times New Roman" w:hAnsi="Helvetica" w:cs="Times New Roman"/>
          <w:b/>
          <w:bCs/>
          <w:sz w:val="32"/>
          <w:szCs w:val="32"/>
          <w:lang w:val="es-PE"/>
        </w:rPr>
        <w:t>5. RELACIONES CON MEDIOS Y COMUNICACIÓN DIGITAL</w:t>
      </w:r>
    </w:p>
    <w:p w14:paraId="454BFFA4" w14:textId="04745E65" w:rsidR="00392F2C" w:rsidRPr="00392F2C" w:rsidRDefault="00392F2C" w:rsidP="00392F2C">
      <w:pPr>
        <w:spacing w:after="0" w:line="360" w:lineRule="auto"/>
        <w:rPr>
          <w:rFonts w:ascii="Helvetica" w:eastAsia="Times New Roman" w:hAnsi="Helvetica" w:cs="Times New Roman"/>
          <w:sz w:val="28"/>
          <w:szCs w:val="28"/>
          <w:lang w:val="es-PE"/>
        </w:rPr>
      </w:pPr>
      <w:r w:rsidRPr="00392F2C">
        <w:rPr>
          <w:rFonts w:ascii="Helvetica" w:eastAsia="Times New Roman" w:hAnsi="Helvetica" w:cs="Times New Roman"/>
          <w:b/>
          <w:bCs/>
          <w:sz w:val="28"/>
          <w:szCs w:val="28"/>
          <w:lang w:val="es-PE"/>
        </w:rPr>
        <w:t>5.1. Estrategias de relaciones públicas</w:t>
      </w:r>
    </w:p>
    <w:p w14:paraId="7AFE5B99" w14:textId="5D168DD5"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Las </w:t>
      </w:r>
      <w:r w:rsidRPr="00392F2C">
        <w:rPr>
          <w:rFonts w:ascii="Helvetica" w:eastAsia="Times New Roman" w:hAnsi="Helvetica" w:cs="Times New Roman"/>
          <w:b/>
          <w:bCs/>
          <w:sz w:val="24"/>
          <w:szCs w:val="24"/>
          <w:lang w:val="es-PE"/>
        </w:rPr>
        <w:t>estrategias de relaciones públicas</w:t>
      </w:r>
      <w:r w:rsidRPr="00392F2C">
        <w:rPr>
          <w:rFonts w:ascii="Helvetica" w:eastAsia="Times New Roman" w:hAnsi="Helvetica" w:cs="Times New Roman"/>
          <w:sz w:val="24"/>
          <w:szCs w:val="24"/>
          <w:lang w:val="es-PE"/>
        </w:rPr>
        <w:t xml:space="preserve"> constituyen una parte esencial de la comunicación corporativa en el sector minero, debido a que esta industria opera en un contexto complejo y altamente vigilado por la opinión pública, los medios de comunicación, las autoridades y las comunidades. Las relaciones públicas buscan crear y fortalecer vínculos positivos entre la empresa y sus públicos de interés, gestionar la percepción sobre la actividad minera y posicionar a la organización de manera coherente con sus valores, objetivos y compromisos sociales y ambientales. En este sentido, las estrategias no solo persiguen una difusión de mensajes, sino también construir confianza, legitimidad y un entorno favorable que permita el desarrollo sostenible de las operaciones.</w:t>
      </w:r>
    </w:p>
    <w:p w14:paraId="0B0CE57C"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Una estrategia de relaciones públicas bien diseñada parte de un </w:t>
      </w:r>
      <w:r w:rsidRPr="00392F2C">
        <w:rPr>
          <w:rFonts w:ascii="Helvetica" w:eastAsia="Times New Roman" w:hAnsi="Helvetica" w:cs="Times New Roman"/>
          <w:b/>
          <w:bCs/>
          <w:sz w:val="24"/>
          <w:szCs w:val="24"/>
          <w:lang w:val="es-PE"/>
        </w:rPr>
        <w:t>entendimiento profundo de los públicos clave</w:t>
      </w:r>
      <w:r w:rsidRPr="00392F2C">
        <w:rPr>
          <w:rFonts w:ascii="Helvetica" w:eastAsia="Times New Roman" w:hAnsi="Helvetica" w:cs="Times New Roman"/>
          <w:sz w:val="24"/>
          <w:szCs w:val="24"/>
          <w:lang w:val="es-PE"/>
        </w:rPr>
        <w:t xml:space="preserve"> con los que la empresa interactúa. En minería, estos públicos incluyen medios de comunicación nacionales y locales, líderes de opinión, autoridades gubernamentales, comunidades cercanas a las operaciones, organizaciones de la sociedad civil, academia, inversionistas y consumidores finales. Cada uno de estos grupos tiene intereses y expectativas particulares, por lo que las estrategias deben ser segmentadas y adaptadas a las características, preocupaciones y canales de comunicación preferidos por cada audiencia. Esta segmentación permite que los mensajes sean relevantes, pertinentes y recibidos en el momento adecuado.</w:t>
      </w:r>
    </w:p>
    <w:p w14:paraId="08CC84EA"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El primer paso en la formulación de estrategias de relaciones públicas es establecer </w:t>
      </w:r>
      <w:r w:rsidRPr="00392F2C">
        <w:rPr>
          <w:rFonts w:ascii="Helvetica" w:eastAsia="Times New Roman" w:hAnsi="Helvetica" w:cs="Times New Roman"/>
          <w:b/>
          <w:bCs/>
          <w:sz w:val="24"/>
          <w:szCs w:val="24"/>
          <w:lang w:val="es-PE"/>
        </w:rPr>
        <w:t>objetivos claros y medibles</w:t>
      </w:r>
      <w:r w:rsidRPr="00392F2C">
        <w:rPr>
          <w:rFonts w:ascii="Helvetica" w:eastAsia="Times New Roman" w:hAnsi="Helvetica" w:cs="Times New Roman"/>
          <w:sz w:val="24"/>
          <w:szCs w:val="24"/>
          <w:lang w:val="es-PE"/>
        </w:rPr>
        <w:t>, tales como mejorar la visibilidad positiva de la empresa, fortalecer la confianza con comunidades, posicionar a la organización como líder en sostenibilidad o responder a situaciones de percepción negativa. Estos objetivos orientan las acciones comunicativas, los mensajes clave, los canales a utilizar y los indicadores que permitirán evaluar el impacto de las estrategias implementadas.</w:t>
      </w:r>
    </w:p>
    <w:p w14:paraId="2913C7B2"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El desarrollo de </w:t>
      </w:r>
      <w:r w:rsidRPr="00392F2C">
        <w:rPr>
          <w:rFonts w:ascii="Helvetica" w:eastAsia="Times New Roman" w:hAnsi="Helvetica" w:cs="Times New Roman"/>
          <w:b/>
          <w:bCs/>
          <w:sz w:val="24"/>
          <w:szCs w:val="24"/>
          <w:lang w:val="es-PE"/>
        </w:rPr>
        <w:t>mensajes clave</w:t>
      </w:r>
      <w:r w:rsidRPr="00392F2C">
        <w:rPr>
          <w:rFonts w:ascii="Helvetica" w:eastAsia="Times New Roman" w:hAnsi="Helvetica" w:cs="Times New Roman"/>
          <w:sz w:val="24"/>
          <w:szCs w:val="24"/>
          <w:lang w:val="es-PE"/>
        </w:rPr>
        <w:t xml:space="preserve"> constituye otro elemento crucial en este proceso. Los mensajes deben ser claros, consistentes, veraces y alineados con la realidad operativa de la empresa. Deben abordar temas que preocupan a los públicos, como seguridad, protección ambiental, desarrollo comunitario, contribución económica y cumplimiento legal. Es importante evitar tecnicismos que dificulten la comprensión o mensajes ambiguos que puedan generar malas interpretaciones. La claridad en los mensajes clave permite que los públicos comprendan la posición de la empresa y su manera de abordar desafíos relevantes.</w:t>
      </w:r>
    </w:p>
    <w:p w14:paraId="76E0C476"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Las </w:t>
      </w:r>
      <w:r w:rsidRPr="00392F2C">
        <w:rPr>
          <w:rFonts w:ascii="Helvetica" w:eastAsia="Times New Roman" w:hAnsi="Helvetica" w:cs="Times New Roman"/>
          <w:b/>
          <w:bCs/>
          <w:sz w:val="24"/>
          <w:szCs w:val="24"/>
          <w:lang w:val="es-PE"/>
        </w:rPr>
        <w:t>relaciones con los medios de comunicación</w:t>
      </w:r>
      <w:r w:rsidRPr="00392F2C">
        <w:rPr>
          <w:rFonts w:ascii="Helvetica" w:eastAsia="Times New Roman" w:hAnsi="Helvetica" w:cs="Times New Roman"/>
          <w:sz w:val="24"/>
          <w:szCs w:val="24"/>
          <w:lang w:val="es-PE"/>
        </w:rPr>
        <w:t xml:space="preserve"> son un componente central de las estrategias de relaciones públicas. Los medios actúan como intermediarios entre la empresa y la sociedad, influyendo en cómo se percibe la actividad minera. Por ello, es esencial mantener una relación proactiva con periodistas y editores, proporcionando información oportuna, veraz y transparente. Esto incluye la difusión de comunicados de prensa, la organización de conferencias, la atención a solicitudes de entrevistas y la creación de espacios de diálogo con medios nacionales y locales. Una relación bien gestionada con los medios ayuda a prevenir malentendidos y a asegurar que las noticias sobre la empresa reflejen con precisión los hechos y avances relevantes.</w:t>
      </w:r>
    </w:p>
    <w:p w14:paraId="27DDEA0A"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 </w:t>
      </w:r>
      <w:r w:rsidRPr="00392F2C">
        <w:rPr>
          <w:rFonts w:ascii="Helvetica" w:eastAsia="Times New Roman" w:hAnsi="Helvetica" w:cs="Times New Roman"/>
          <w:b/>
          <w:bCs/>
          <w:sz w:val="24"/>
          <w:szCs w:val="24"/>
          <w:lang w:val="es-PE"/>
        </w:rPr>
        <w:t>gestión de plataformas digitales y redes sociales</w:t>
      </w:r>
      <w:r w:rsidRPr="00392F2C">
        <w:rPr>
          <w:rFonts w:ascii="Helvetica" w:eastAsia="Times New Roman" w:hAnsi="Helvetica" w:cs="Times New Roman"/>
          <w:sz w:val="24"/>
          <w:szCs w:val="24"/>
          <w:lang w:val="es-PE"/>
        </w:rPr>
        <w:t xml:space="preserve"> es otra dimensión clave dentro de las estrategias de relaciones públicas actuales. Estas plataformas permiten a las empresas mineras interactuar de manera directa con diferentes públicos, compartir información institucional, mostrar acciones concretas de sostenibilidad y responder a consultas o inquietudes en tiempo real. La comunicación digital no reemplaza las interacciones personales, pero sí amplifica el alcance de los mensajes, facilita la retroalimentación inmediata y contribuye a construir una imagen más accesible y cercana de la organización. Sin embargo, también demanda una gestión cuidadosa, ya que los contenidos se diseminan rápidamente y un comentario mal gestionado puede generar crisis reputacionales.</w:t>
      </w:r>
    </w:p>
    <w:p w14:paraId="07684F30"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 </w:t>
      </w:r>
      <w:r w:rsidRPr="00392F2C">
        <w:rPr>
          <w:rFonts w:ascii="Helvetica" w:eastAsia="Times New Roman" w:hAnsi="Helvetica" w:cs="Times New Roman"/>
          <w:b/>
          <w:bCs/>
          <w:sz w:val="24"/>
          <w:szCs w:val="24"/>
          <w:lang w:val="es-PE"/>
        </w:rPr>
        <w:t>transparencia y la consistencia</w:t>
      </w:r>
      <w:r w:rsidRPr="00392F2C">
        <w:rPr>
          <w:rFonts w:ascii="Helvetica" w:eastAsia="Times New Roman" w:hAnsi="Helvetica" w:cs="Times New Roman"/>
          <w:sz w:val="24"/>
          <w:szCs w:val="24"/>
          <w:lang w:val="es-PE"/>
        </w:rPr>
        <w:t xml:space="preserve"> son principios fundamentales en cualquier estrategia de relaciones públicas. No basta con difundir mensajes positivos; también es necesario comunicar sobre los desafíos, las lecciones aprendidas y las acciones correctivas adoptadas para mejorar el desempeño. La transparencia construye credibilidad y demuestra que la empresa está dispuesta a rendir cuentas sobre su actuación. Esto no significa exponer vulnerabilidades de manera irresponsable, sino presentar información contextualizada, honesta y basada en datos verificables.</w:t>
      </w:r>
    </w:p>
    <w:p w14:paraId="47B297D7"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Las estrategias de relaciones públicas también deben incorporar </w:t>
      </w:r>
      <w:r w:rsidRPr="00392F2C">
        <w:rPr>
          <w:rFonts w:ascii="Helvetica" w:eastAsia="Times New Roman" w:hAnsi="Helvetica" w:cs="Times New Roman"/>
          <w:b/>
          <w:bCs/>
          <w:sz w:val="24"/>
          <w:szCs w:val="24"/>
          <w:lang w:val="es-PE"/>
        </w:rPr>
        <w:t>mecanismos de retroalimentación</w:t>
      </w:r>
      <w:r w:rsidRPr="00392F2C">
        <w:rPr>
          <w:rFonts w:ascii="Helvetica" w:eastAsia="Times New Roman" w:hAnsi="Helvetica" w:cs="Times New Roman"/>
          <w:sz w:val="24"/>
          <w:szCs w:val="24"/>
          <w:lang w:val="es-PE"/>
        </w:rPr>
        <w:t xml:space="preserve"> que permitan conocer la percepción de los públicos y ajustar las acciones en consecuencia. Esto puede lograrse mediante encuestas de opinión, seguimiento de medios, análisis de redes sociales, encuentros directos con comunidades y diálogos con representantes institucionales. La retroalimentación no solo informa sobre la eficacia de las estrategias actuales, sino que también contribuye a identificar temas emergentes de interés o preocupación que requieren atención o comunicación anticipada.</w:t>
      </w:r>
    </w:p>
    <w:p w14:paraId="2977DDD0"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La planificación de acciones especiales, como </w:t>
      </w:r>
      <w:r w:rsidRPr="00392F2C">
        <w:rPr>
          <w:rFonts w:ascii="Helvetica" w:eastAsia="Times New Roman" w:hAnsi="Helvetica" w:cs="Times New Roman"/>
          <w:b/>
          <w:bCs/>
          <w:sz w:val="24"/>
          <w:szCs w:val="24"/>
          <w:lang w:val="es-PE"/>
        </w:rPr>
        <w:t>eventos corporativos, talleres informativos, visitas guiadas a proyectos, publicaciones institucionales o participación en ferias y foros sectoriales</w:t>
      </w:r>
      <w:r w:rsidRPr="00392F2C">
        <w:rPr>
          <w:rFonts w:ascii="Helvetica" w:eastAsia="Times New Roman" w:hAnsi="Helvetica" w:cs="Times New Roman"/>
          <w:sz w:val="24"/>
          <w:szCs w:val="24"/>
          <w:lang w:val="es-PE"/>
        </w:rPr>
        <w:t>, también forma parte de las estrategias de relaciones públicas. Estas actividades permiten mostrar de manera tangible la gestión responsable de la empresa, fortalecer lazos con líderes de opinión y crear espacios de aprendizaje e intercambio de experiencias entre diferentes actores sociales.</w:t>
      </w:r>
    </w:p>
    <w:p w14:paraId="76852BB5" w14:textId="77777777" w:rsidR="00392F2C" w:rsidRPr="00392F2C" w:rsidRDefault="00392F2C" w:rsidP="00392F2C">
      <w:pPr>
        <w:spacing w:before="100" w:beforeAutospacing="1" w:after="100" w:afterAutospacing="1" w:line="360" w:lineRule="auto"/>
        <w:ind w:firstLine="720"/>
        <w:rPr>
          <w:rFonts w:ascii="Helvetica" w:eastAsia="Times New Roman" w:hAnsi="Helvetica" w:cs="Times New Roman"/>
          <w:sz w:val="24"/>
          <w:szCs w:val="24"/>
          <w:lang w:val="es-PE"/>
        </w:rPr>
      </w:pPr>
      <w:r w:rsidRPr="00392F2C">
        <w:rPr>
          <w:rFonts w:ascii="Helvetica" w:eastAsia="Times New Roman" w:hAnsi="Helvetica" w:cs="Times New Roman"/>
          <w:sz w:val="24"/>
          <w:szCs w:val="24"/>
          <w:lang w:val="es-PE"/>
        </w:rPr>
        <w:t xml:space="preserve">Finalmente, las estrategias de relaciones públicas deben estar integradas a una </w:t>
      </w:r>
      <w:r w:rsidRPr="00392F2C">
        <w:rPr>
          <w:rFonts w:ascii="Helvetica" w:eastAsia="Times New Roman" w:hAnsi="Helvetica" w:cs="Times New Roman"/>
          <w:b/>
          <w:bCs/>
          <w:sz w:val="24"/>
          <w:szCs w:val="24"/>
          <w:lang w:val="es-PE"/>
        </w:rPr>
        <w:t>visión de largo plazo</w:t>
      </w:r>
      <w:r w:rsidRPr="00392F2C">
        <w:rPr>
          <w:rFonts w:ascii="Helvetica" w:eastAsia="Times New Roman" w:hAnsi="Helvetica" w:cs="Times New Roman"/>
          <w:sz w:val="24"/>
          <w:szCs w:val="24"/>
          <w:lang w:val="es-PE"/>
        </w:rPr>
        <w:t xml:space="preserve"> y alineadas con los valores, políticas y objetivos estratégicos de la organización. La coherencia entre lo que se comunica y lo que se hace cotidianamente es esencial para consolidar la confianza de los públicos y reducir brechas entre percepción y realidad. En un entorno donde la minería es observada con mayor escrutinio por la sociedad, diseñar y ejecutar estrategias de relaciones públicas robustas se convierte en una herramienta indispensable para gestionar la reputación, fomentar relaciones constructivas y contribuir al desarrollo sostenible de las operaciones mineras.</w:t>
      </w:r>
    </w:p>
    <w:p w14:paraId="418D41D0" w14:textId="77777777" w:rsidR="00E97280" w:rsidRPr="00E97280" w:rsidRDefault="00E97280" w:rsidP="00E97280">
      <w:pPr>
        <w:spacing w:before="100" w:beforeAutospacing="1" w:after="100" w:afterAutospacing="1" w:line="360" w:lineRule="auto"/>
        <w:rPr>
          <w:rFonts w:ascii="Helvetica" w:eastAsia="Times New Roman" w:hAnsi="Helvetica" w:cs="Times New Roman"/>
          <w:sz w:val="28"/>
          <w:szCs w:val="28"/>
          <w:lang w:val="es-PE"/>
        </w:rPr>
      </w:pPr>
      <w:r w:rsidRPr="00E97280">
        <w:rPr>
          <w:rFonts w:ascii="Helvetica" w:eastAsia="Times New Roman" w:hAnsi="Helvetica" w:cs="Times New Roman"/>
          <w:b/>
          <w:bCs/>
          <w:sz w:val="28"/>
          <w:szCs w:val="28"/>
          <w:lang w:val="es-PE"/>
        </w:rPr>
        <w:t>5.2. Gestión de redes sociales corporativas</w:t>
      </w:r>
    </w:p>
    <w:p w14:paraId="6322936A"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La </w:t>
      </w:r>
      <w:r w:rsidRPr="00E97280">
        <w:rPr>
          <w:rFonts w:ascii="Helvetica" w:eastAsia="Times New Roman" w:hAnsi="Helvetica" w:cs="Times New Roman"/>
          <w:b/>
          <w:bCs/>
          <w:sz w:val="24"/>
          <w:szCs w:val="24"/>
          <w:lang w:val="es-PE"/>
        </w:rPr>
        <w:t>gestión de redes sociales corporativas</w:t>
      </w:r>
      <w:r w:rsidRPr="00E97280">
        <w:rPr>
          <w:rFonts w:ascii="Helvetica" w:eastAsia="Times New Roman" w:hAnsi="Helvetica" w:cs="Times New Roman"/>
          <w:sz w:val="24"/>
          <w:szCs w:val="24"/>
          <w:lang w:val="es-PE"/>
        </w:rPr>
        <w:t xml:space="preserve"> se ha consolidado como una herramienta estratégica en la comunicación organizacional de las empresas mineras. En un entorno donde la información circula con rapidez y las audiencias están cada vez más conectadas, las redes sociales permiten compartir contenido relevante, interactuar con distintos públicos y fortalecer la imagen de la empresa. Para el sector minero, que opera en contextos de alta sensibilidad social y mediática, una gestión cuidadosa de estas plataformas es clave para construir confianza, responder a inquietudes, y promover narrativas basadas en hechos y en transparencia.</w:t>
      </w:r>
    </w:p>
    <w:p w14:paraId="407E34F5"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La gestión de redes sociales corporativas implica definir </w:t>
      </w:r>
      <w:r w:rsidRPr="00E97280">
        <w:rPr>
          <w:rFonts w:ascii="Helvetica" w:eastAsia="Times New Roman" w:hAnsi="Helvetica" w:cs="Times New Roman"/>
          <w:b/>
          <w:bCs/>
          <w:sz w:val="24"/>
          <w:szCs w:val="24"/>
          <w:lang w:val="es-PE"/>
        </w:rPr>
        <w:t>objetivos claros y alineados con la estrategia de comunicación general</w:t>
      </w:r>
      <w:r w:rsidRPr="00E97280">
        <w:rPr>
          <w:rFonts w:ascii="Helvetica" w:eastAsia="Times New Roman" w:hAnsi="Helvetica" w:cs="Times New Roman"/>
          <w:sz w:val="24"/>
          <w:szCs w:val="24"/>
          <w:lang w:val="es-PE"/>
        </w:rPr>
        <w:t>. Entre estos objetivos pueden estar: incrementar la visibilidad de las acciones de sostenibilidad de la empresa, mejorar la percepción pública de la minería, educar a los públicos sobre temas técnicos y ambientales, generar espacios de diálogo con comunidades y otros grupos de interés, y responder de forma oportuna a consultas o comentarios de los usuarios. Al establecer metas claras, la empresa puede diseñar contenidos y acciones más efectivas, así como medir los resultados y ajustar las estrategias según sea necesario.</w:t>
      </w:r>
    </w:p>
    <w:p w14:paraId="44C2609D"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Un componente fundamental de la gestión de redes sociales es la </w:t>
      </w:r>
      <w:r w:rsidRPr="00E97280">
        <w:rPr>
          <w:rFonts w:ascii="Helvetica" w:eastAsia="Times New Roman" w:hAnsi="Helvetica" w:cs="Times New Roman"/>
          <w:b/>
          <w:bCs/>
          <w:sz w:val="24"/>
          <w:szCs w:val="24"/>
          <w:lang w:val="es-PE"/>
        </w:rPr>
        <w:t>identificación de las plataformas más relevantes para los distintos públicos</w:t>
      </w:r>
      <w:r w:rsidRPr="00E97280">
        <w:rPr>
          <w:rFonts w:ascii="Helvetica" w:eastAsia="Times New Roman" w:hAnsi="Helvetica" w:cs="Times New Roman"/>
          <w:sz w:val="24"/>
          <w:szCs w:val="24"/>
          <w:lang w:val="es-PE"/>
        </w:rPr>
        <w:t xml:space="preserve">. No todas las redes sociales cumplen la misma función ni tienen los mismos públicos objetivos. Por ejemplo, plataformas como Facebook pueden ser útiles para compartir noticias institucionales, eventos comunitarios y reportes de sostenibilidad en un lenguaje más amplio y accesible. Twitter (o X) suele ser usada para actualizaciones rápidas, atención a preguntas puntuales y participación en conversaciones en tiempo real. LinkedIn es ideal para temas profesionales, posicionamiento corporativo, reclutamiento y comunicación con inversionistas o socios estratégicos. YouTube o </w:t>
      </w:r>
      <w:proofErr w:type="spellStart"/>
      <w:r w:rsidRPr="00E97280">
        <w:rPr>
          <w:rFonts w:ascii="Helvetica" w:eastAsia="Times New Roman" w:hAnsi="Helvetica" w:cs="Times New Roman"/>
          <w:sz w:val="24"/>
          <w:szCs w:val="24"/>
          <w:lang w:val="es-PE"/>
        </w:rPr>
        <w:t>TikTok</w:t>
      </w:r>
      <w:proofErr w:type="spellEnd"/>
      <w:r w:rsidRPr="00E97280">
        <w:rPr>
          <w:rFonts w:ascii="Helvetica" w:eastAsia="Times New Roman" w:hAnsi="Helvetica" w:cs="Times New Roman"/>
          <w:sz w:val="24"/>
          <w:szCs w:val="24"/>
          <w:lang w:val="es-PE"/>
        </w:rPr>
        <w:t xml:space="preserve"> pueden emplearse para contenidos audiovisuales que expliquen procesos, muestren testimonios o eduquen sobre aspectos técnicos de la minería. La elección de las plataformas y su gestión transversal permite llegar a audiencias diversas de manera eficaz.</w:t>
      </w:r>
    </w:p>
    <w:p w14:paraId="7001370E"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La creación de </w:t>
      </w:r>
      <w:r w:rsidRPr="00E97280">
        <w:rPr>
          <w:rFonts w:ascii="Helvetica" w:eastAsia="Times New Roman" w:hAnsi="Helvetica" w:cs="Times New Roman"/>
          <w:b/>
          <w:bCs/>
          <w:sz w:val="24"/>
          <w:szCs w:val="24"/>
          <w:lang w:val="es-PE"/>
        </w:rPr>
        <w:t>contenido relevante, claro y consistente</w:t>
      </w:r>
      <w:r w:rsidRPr="00E97280">
        <w:rPr>
          <w:rFonts w:ascii="Helvetica" w:eastAsia="Times New Roman" w:hAnsi="Helvetica" w:cs="Times New Roman"/>
          <w:sz w:val="24"/>
          <w:szCs w:val="24"/>
          <w:lang w:val="es-PE"/>
        </w:rPr>
        <w:t xml:space="preserve"> es otra pieza clave en esta gestión. El contenido debe reflejar los valores institucionales y alinearse con lo que la empresa realiza en la práctica. Algunas buenas prácticas incluyen comunicar logros ambientales, proyectos de desarrollo comunitario, avances en seguridad y salud ocupacional, participación en ferias o foros sectoriales, educación sobre procesos mineros, y acciones concretas de responsabilidad social. El uso de lenguaje accesible, acompañado de elementos visuales como infografías, fotografías o videos, facilita la comprensión de temas complejos y ayuda a mantener el interés de las audiencias.</w:t>
      </w:r>
    </w:p>
    <w:p w14:paraId="79AA13FC"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La </w:t>
      </w:r>
      <w:r w:rsidRPr="00E97280">
        <w:rPr>
          <w:rFonts w:ascii="Helvetica" w:eastAsia="Times New Roman" w:hAnsi="Helvetica" w:cs="Times New Roman"/>
          <w:b/>
          <w:bCs/>
          <w:sz w:val="24"/>
          <w:szCs w:val="24"/>
          <w:lang w:val="es-PE"/>
        </w:rPr>
        <w:t>coherencia en los mensajes</w:t>
      </w:r>
      <w:r w:rsidRPr="00E97280">
        <w:rPr>
          <w:rFonts w:ascii="Helvetica" w:eastAsia="Times New Roman" w:hAnsi="Helvetica" w:cs="Times New Roman"/>
          <w:sz w:val="24"/>
          <w:szCs w:val="24"/>
          <w:lang w:val="es-PE"/>
        </w:rPr>
        <w:t xml:space="preserve"> es esencial, ya que las redes sociales pueden amplificar tanto lo positivo como lo negativo. Los mensajes deben ser consistentes con las comunicaciones oficiales de la empresa, evitándose contradicciones o interpretaciones erróneas. Esto contribuye a reforzar la confianza del público en la reputación corporativa, ya que demuestra que la empresa actúa de manera alineada entre lo que dice y lo que hace.</w:t>
      </w:r>
    </w:p>
    <w:p w14:paraId="0CCDAD26"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La gestión de redes sociales también requiere establecer </w:t>
      </w:r>
      <w:r w:rsidRPr="00E97280">
        <w:rPr>
          <w:rFonts w:ascii="Helvetica" w:eastAsia="Times New Roman" w:hAnsi="Helvetica" w:cs="Times New Roman"/>
          <w:b/>
          <w:bCs/>
          <w:sz w:val="24"/>
          <w:szCs w:val="24"/>
          <w:lang w:val="es-PE"/>
        </w:rPr>
        <w:t>protocolos de atención y respuesta a comentarios, preguntas y críticas</w:t>
      </w:r>
      <w:r w:rsidRPr="00E97280">
        <w:rPr>
          <w:rFonts w:ascii="Helvetica" w:eastAsia="Times New Roman" w:hAnsi="Helvetica" w:cs="Times New Roman"/>
          <w:sz w:val="24"/>
          <w:szCs w:val="24"/>
          <w:lang w:val="es-PE"/>
        </w:rPr>
        <w:t>. Las redes sociales son espacios de interacción bidireccional, lo que implica que los usuarios no solo reciben información, sino que también expresan inquietudes, comparten opiniones y plantean reclamos. Responder de manera oportuna, respetuosa y basada en hechos fortalece la percepción de que la empresa está abierta al diálogo y dispuesta a escuchar. La rapidez de respuesta es especialmente importante en situaciones sensibles o durante eventos de crisis, ya que las reacciones tardías pueden generar percepciones de falta de interés o de desconexión con las preocupaciones de los públicos.</w:t>
      </w:r>
    </w:p>
    <w:p w14:paraId="4978555C"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Es igualmente importante implementar </w:t>
      </w:r>
      <w:r w:rsidRPr="00E97280">
        <w:rPr>
          <w:rFonts w:ascii="Helvetica" w:eastAsia="Times New Roman" w:hAnsi="Helvetica" w:cs="Times New Roman"/>
          <w:b/>
          <w:bCs/>
          <w:sz w:val="24"/>
          <w:szCs w:val="24"/>
          <w:lang w:val="es-PE"/>
        </w:rPr>
        <w:t>mecanismos de monitoreo y análisis de conversaciones</w:t>
      </w:r>
      <w:r w:rsidRPr="00E97280">
        <w:rPr>
          <w:rFonts w:ascii="Helvetica" w:eastAsia="Times New Roman" w:hAnsi="Helvetica" w:cs="Times New Roman"/>
          <w:sz w:val="24"/>
          <w:szCs w:val="24"/>
          <w:lang w:val="es-PE"/>
        </w:rPr>
        <w:t xml:space="preserve"> en redes sociales. Esto permite identificar tendencias en la opinión pública, temas emergentes de preocupación, percepciones erróneas que requieren aclaración y oportunidades para promover contenidos educativos. Herramientas de análisis pueden ayudar a medir el alcance de las publicaciones, el nivel de interacción de los usuarios, los temas más comentados y el sentimiento general de las conversaciones en torno a la empresa o al sector minero en general. Estos insumos son valiosos para ajustar las estrategias de contenido, anticiparse a posibles crisis y responder con mensajes adecuados.</w:t>
      </w:r>
    </w:p>
    <w:p w14:paraId="286F79FF"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La formación de </w:t>
      </w:r>
      <w:r w:rsidRPr="00E97280">
        <w:rPr>
          <w:rFonts w:ascii="Helvetica" w:eastAsia="Times New Roman" w:hAnsi="Helvetica" w:cs="Times New Roman"/>
          <w:b/>
          <w:bCs/>
          <w:sz w:val="24"/>
          <w:szCs w:val="24"/>
          <w:lang w:val="es-PE"/>
        </w:rPr>
        <w:t>un equipo especializado</w:t>
      </w:r>
      <w:r w:rsidRPr="00E97280">
        <w:rPr>
          <w:rFonts w:ascii="Helvetica" w:eastAsia="Times New Roman" w:hAnsi="Helvetica" w:cs="Times New Roman"/>
          <w:sz w:val="24"/>
          <w:szCs w:val="24"/>
          <w:lang w:val="es-PE"/>
        </w:rPr>
        <w:t xml:space="preserve"> en la gestión de redes sociales es clave para asegurar que las acciones sean profesionales y alineadas con las mejores prácticas. Este equipo debe tener habilidades en comunicación digital, manejo de crisis en línea, redacción estratégica y comprensión del sector minero. Una buena gestión digital combina creatividad con rigor informativo y una capacidad constante de adaptación a las tendencias de cada plataforma.</w:t>
      </w:r>
    </w:p>
    <w:p w14:paraId="57A801BA"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La gestión de redes sociales también debe integrarse con </w:t>
      </w:r>
      <w:r w:rsidRPr="00E97280">
        <w:rPr>
          <w:rFonts w:ascii="Helvetica" w:eastAsia="Times New Roman" w:hAnsi="Helvetica" w:cs="Times New Roman"/>
          <w:b/>
          <w:bCs/>
          <w:sz w:val="24"/>
          <w:szCs w:val="24"/>
          <w:lang w:val="es-PE"/>
        </w:rPr>
        <w:t>las estrategias de relaciones públicas, responsabilidad social y sostenibilidad</w:t>
      </w:r>
      <w:r w:rsidRPr="00E97280">
        <w:rPr>
          <w:rFonts w:ascii="Helvetica" w:eastAsia="Times New Roman" w:hAnsi="Helvetica" w:cs="Times New Roman"/>
          <w:sz w:val="24"/>
          <w:szCs w:val="24"/>
          <w:lang w:val="es-PE"/>
        </w:rPr>
        <w:t xml:space="preserve"> de la empresa. Esto implica asegurar que los mensajes compartidos en redes sociales reflejen los compromisos ambientales y sociales de la organización, y que contribuyan a construir una narrativa transparente y responsable sobre la minería. La coordinación entre áreas permite que los mensajes digitales estén alineados con los reportes corporativos, la gestión con comunidades y la interacción con medios de comunicación tradicionales.</w:t>
      </w:r>
    </w:p>
    <w:p w14:paraId="63573175"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Finalmente, es fundamental recordar que la gestión de redes sociales corporativas no es una actividad aislada, sino una </w:t>
      </w:r>
      <w:r w:rsidRPr="00E97280">
        <w:rPr>
          <w:rFonts w:ascii="Helvetica" w:eastAsia="Times New Roman" w:hAnsi="Helvetica" w:cs="Times New Roman"/>
          <w:b/>
          <w:bCs/>
          <w:sz w:val="24"/>
          <w:szCs w:val="24"/>
          <w:lang w:val="es-PE"/>
        </w:rPr>
        <w:t>práctica estratégica continua</w:t>
      </w:r>
      <w:r w:rsidRPr="00E97280">
        <w:rPr>
          <w:rFonts w:ascii="Helvetica" w:eastAsia="Times New Roman" w:hAnsi="Helvetica" w:cs="Times New Roman"/>
          <w:sz w:val="24"/>
          <w:szCs w:val="24"/>
          <w:lang w:val="es-PE"/>
        </w:rPr>
        <w:t xml:space="preserve"> que requiere planificación, evaluación y adaptación constante. Las plataformas digitales están en constante evolución, al igual que las expectativas de las audiencias. Por ello, la empresa debe mantenerse actualizada sobre las nuevas tendencias, formatos y herramientas digitales, así como sobre las preocupaciones emergentes de sus públicos. Una gestión eficaz de redes sociales corporativas contribuye significativamente a fortalecer la reputación, promover el diálogo constructivo y posicionar a la empresa minera como un actor responsable, transparente y comprometido con el desarrollo sostenible.</w:t>
      </w:r>
    </w:p>
    <w:p w14:paraId="6C28D2B3" w14:textId="77777777" w:rsidR="00E97280" w:rsidRPr="00E97280" w:rsidRDefault="00E97280" w:rsidP="00E97280">
      <w:pPr>
        <w:spacing w:before="100" w:beforeAutospacing="1" w:after="100" w:afterAutospacing="1" w:line="360" w:lineRule="auto"/>
        <w:rPr>
          <w:rFonts w:ascii="Helvetica" w:eastAsia="Times New Roman" w:hAnsi="Helvetica" w:cs="Times New Roman"/>
          <w:sz w:val="28"/>
          <w:szCs w:val="28"/>
          <w:lang w:val="es-PE"/>
        </w:rPr>
      </w:pPr>
      <w:r w:rsidRPr="00E97280">
        <w:rPr>
          <w:rFonts w:ascii="Helvetica" w:eastAsia="Times New Roman" w:hAnsi="Helvetica" w:cs="Times New Roman"/>
          <w:b/>
          <w:bCs/>
          <w:sz w:val="28"/>
          <w:szCs w:val="28"/>
          <w:lang w:val="es-PE"/>
        </w:rPr>
        <w:t>5.3. Monitoreo de opinión pública</w:t>
      </w:r>
    </w:p>
    <w:p w14:paraId="75281F06" w14:textId="1D35DBE8"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El </w:t>
      </w:r>
      <w:r w:rsidRPr="00E97280">
        <w:rPr>
          <w:rFonts w:ascii="Helvetica" w:eastAsia="Times New Roman" w:hAnsi="Helvetica" w:cs="Times New Roman"/>
          <w:b/>
          <w:bCs/>
          <w:sz w:val="24"/>
          <w:szCs w:val="24"/>
          <w:lang w:val="es-PE"/>
        </w:rPr>
        <w:t>monitoreo de opinión pública</w:t>
      </w:r>
      <w:r w:rsidRPr="00E97280">
        <w:rPr>
          <w:rFonts w:ascii="Helvetica" w:eastAsia="Times New Roman" w:hAnsi="Helvetica" w:cs="Times New Roman"/>
          <w:sz w:val="24"/>
          <w:szCs w:val="24"/>
          <w:lang w:val="es-PE"/>
        </w:rPr>
        <w:t xml:space="preserve"> es una herramienta estratégica dentro de la comunicación corporativa que permite a las empresas mineras comprender cómo se perciben sus acciones, políticas y presencia en la sociedad. Este proceso consiste en recopilar, analizar y contextualizar información sobre las percepciones, actitudes y expectativas de distintos públicos, como comunidades locales, autoridades, medios de comunicación, actores sociales, inversionistas y ciudadanía en general con el fin de orientar la toma de decisiones, anticipar riesgos reputacionales y ajustar estrategias comunicativas de manera oportuna.</w:t>
      </w:r>
    </w:p>
    <w:p w14:paraId="1F3B2F14"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En el sector minero, donde las operaciones pueden generar impactos ambientales y sociales significativos, el monitoreo de opinión pública cobra especial relevancia. La minería suele estar bajo constante escrutinio por parte de diferentes audiencias, y la opinión pública puede influir directamente en la legitimidad de proyectos, la licencia social para operar, las políticas públicas sectoriales y la percepción de riesgo de los inversionistas. Por esta razón, contar con mecanismos que permitan medir y comprender la opinión de la sociedad ayuda a diseñar respuestas más acertadas y a fortalecer relaciones basadas en la transparencia y la confianza.</w:t>
      </w:r>
    </w:p>
    <w:p w14:paraId="3C89DC85" w14:textId="21E405CB"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El monitoreo de opinión pública inicia con la </w:t>
      </w:r>
      <w:r w:rsidRPr="00E97280">
        <w:rPr>
          <w:rFonts w:ascii="Helvetica" w:eastAsia="Times New Roman" w:hAnsi="Helvetica" w:cs="Times New Roman"/>
          <w:b/>
          <w:bCs/>
          <w:sz w:val="24"/>
          <w:szCs w:val="24"/>
          <w:lang w:val="es-PE"/>
        </w:rPr>
        <w:t>definición de objetivos y públicos clave</w:t>
      </w:r>
      <w:r w:rsidRPr="00E97280">
        <w:rPr>
          <w:rFonts w:ascii="Helvetica" w:eastAsia="Times New Roman" w:hAnsi="Helvetica" w:cs="Times New Roman"/>
          <w:sz w:val="24"/>
          <w:szCs w:val="24"/>
          <w:lang w:val="es-PE"/>
        </w:rPr>
        <w:t>. La empresa debe determinar qué es lo que desea conocer por ejemplo, la percepción sobre un proyecto específico, la valoración de sus prácticas ambientales o la reputación corporativa general y cuáles son los grupos cuyas opiniones son más relevantes para estos fines. Esta etapa es esencial porque orienta los métodos de recopilación de información y las herramientas que se utilizarán.</w:t>
      </w:r>
    </w:p>
    <w:p w14:paraId="0FDDB462"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Una de las técnicas más utilizadas es el </w:t>
      </w:r>
      <w:r w:rsidRPr="00E97280">
        <w:rPr>
          <w:rFonts w:ascii="Helvetica" w:eastAsia="Times New Roman" w:hAnsi="Helvetica" w:cs="Times New Roman"/>
          <w:b/>
          <w:bCs/>
          <w:sz w:val="24"/>
          <w:szCs w:val="24"/>
          <w:lang w:val="es-PE"/>
        </w:rPr>
        <w:t>seguimiento de medios de comunicación tradicionales</w:t>
      </w:r>
      <w:r w:rsidRPr="00E97280">
        <w:rPr>
          <w:rFonts w:ascii="Helvetica" w:eastAsia="Times New Roman" w:hAnsi="Helvetica" w:cs="Times New Roman"/>
          <w:sz w:val="24"/>
          <w:szCs w:val="24"/>
          <w:lang w:val="es-PE"/>
        </w:rPr>
        <w:t>, que permite identificar cómo los periódicos, radios y noticieros abordan los temas relacionados con la minería, qué tono emplean y qué temas son recurrentes. Este tipo de monitoreo ayuda a entender cómo se construyen narrativas mediáticas y a detectar posibles tendencias de percepción positiva, negativa o neutral. El análisis de contenidos mediáticos también facilita identificar temas emergentes de interés o riesgo, tales como controversias ambientales, conflictos comunitarios o posiciones críticas de instituciones públicas.</w:t>
      </w:r>
    </w:p>
    <w:p w14:paraId="475DD3D1"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El </w:t>
      </w:r>
      <w:r w:rsidRPr="00E97280">
        <w:rPr>
          <w:rFonts w:ascii="Helvetica" w:eastAsia="Times New Roman" w:hAnsi="Helvetica" w:cs="Times New Roman"/>
          <w:b/>
          <w:bCs/>
          <w:sz w:val="24"/>
          <w:szCs w:val="24"/>
          <w:lang w:val="es-PE"/>
        </w:rPr>
        <w:t>análisis de redes sociales y plataformas digitales</w:t>
      </w:r>
      <w:r w:rsidRPr="00E97280">
        <w:rPr>
          <w:rFonts w:ascii="Helvetica" w:eastAsia="Times New Roman" w:hAnsi="Helvetica" w:cs="Times New Roman"/>
          <w:sz w:val="24"/>
          <w:szCs w:val="24"/>
          <w:lang w:val="es-PE"/>
        </w:rPr>
        <w:t xml:space="preserve"> es otra dimensión fundamental del monitoreo de opinión pública contemporáneo. Las redes sociales se han convertido en espacios donde se expresan opiniones espontáneas, se generan debates y se propagan tendencias en tiempo real. Mediante herramientas de análisis digital, es posible medir el volumen de menciones relacionadas con la empresa o el sector, identificar temas más comentados, evaluar el tono de las publicaciones y detectar influenciadores o voces que están generando impacto en las conversaciones. El análisis de redes sociales permite captar tanto percepciones positivas como críticas, y entender mejor cómo se construye y evoluciona la opinión pública online.</w:t>
      </w:r>
    </w:p>
    <w:p w14:paraId="7593C5F3"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Además de medios y redes, el monitoreo de opinión pública puede incluir </w:t>
      </w:r>
      <w:r w:rsidRPr="00E97280">
        <w:rPr>
          <w:rFonts w:ascii="Helvetica" w:eastAsia="Times New Roman" w:hAnsi="Helvetica" w:cs="Times New Roman"/>
          <w:b/>
          <w:bCs/>
          <w:sz w:val="24"/>
          <w:szCs w:val="24"/>
          <w:lang w:val="es-PE"/>
        </w:rPr>
        <w:t>encuestas de percepción</w:t>
      </w:r>
      <w:r w:rsidRPr="00E97280">
        <w:rPr>
          <w:rFonts w:ascii="Helvetica" w:eastAsia="Times New Roman" w:hAnsi="Helvetica" w:cs="Times New Roman"/>
          <w:sz w:val="24"/>
          <w:szCs w:val="24"/>
          <w:lang w:val="es-PE"/>
        </w:rPr>
        <w:t>, grupos focales, entrevistas con líderes de opinión y análisis de pronunciamientos de organizaciones de la sociedad civil. Estos métodos permiten obtener información más profunda y cualitativa sobre las preocupaciones, expectativas y motivaciones de diferentes segmentos de la población. Las encuestas pueden medir, por ejemplo, el nivel de confianza en la empresa, la valoración de sus acciones de sostenibilidad, o las preocupaciones sobre impactos ambientales o laborales. Los grupos focales, por su parte, facilitan discusiones más detalladas que ayudan a interpretar las razones detrás de ciertas percepciones.</w:t>
      </w:r>
    </w:p>
    <w:p w14:paraId="411DF0FD" w14:textId="3F2E9916"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Una vez recopilada la información, es necesario realizar un </w:t>
      </w:r>
      <w:r w:rsidRPr="00E97280">
        <w:rPr>
          <w:rFonts w:ascii="Helvetica" w:eastAsia="Times New Roman" w:hAnsi="Helvetica" w:cs="Times New Roman"/>
          <w:b/>
          <w:bCs/>
          <w:sz w:val="24"/>
          <w:szCs w:val="24"/>
          <w:lang w:val="es-PE"/>
        </w:rPr>
        <w:t>análisis riguroso y contextualizado</w:t>
      </w:r>
      <w:r w:rsidRPr="00E97280">
        <w:rPr>
          <w:rFonts w:ascii="Helvetica" w:eastAsia="Times New Roman" w:hAnsi="Helvetica" w:cs="Times New Roman"/>
          <w:sz w:val="24"/>
          <w:szCs w:val="24"/>
          <w:lang w:val="es-PE"/>
        </w:rPr>
        <w:t>. Esto implica identificar patrones, comparar resultados con periodos anteriores, entender las diferencias entre percepciones de distintos públicos y evaluar cómo diversos factores, como eventos mediáticos, comunicados institucionales o crisis puntuales han influido en la opinión pública. El análisis también debe considerar el contexto socioeconómico y cultural en el que se sitúa la operación minera, entendiendo que la opinión pública puede variar significativamente entre regiones, comunidades o segmentos sociales.</w:t>
      </w:r>
    </w:p>
    <w:p w14:paraId="34B30189"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El monitoreo de opinión pública no debe considerarse como un ejercicio aislado, sino como una </w:t>
      </w:r>
      <w:r w:rsidRPr="00E97280">
        <w:rPr>
          <w:rFonts w:ascii="Helvetica" w:eastAsia="Times New Roman" w:hAnsi="Helvetica" w:cs="Times New Roman"/>
          <w:b/>
          <w:bCs/>
          <w:sz w:val="24"/>
          <w:szCs w:val="24"/>
          <w:lang w:val="es-PE"/>
        </w:rPr>
        <w:t>actividad continua</w:t>
      </w:r>
      <w:r w:rsidRPr="00E97280">
        <w:rPr>
          <w:rFonts w:ascii="Helvetica" w:eastAsia="Times New Roman" w:hAnsi="Helvetica" w:cs="Times New Roman"/>
          <w:sz w:val="24"/>
          <w:szCs w:val="24"/>
          <w:lang w:val="es-PE"/>
        </w:rPr>
        <w:t xml:space="preserve"> que alimenta la toma de decisiones estratégicas. La información obtenida debe integrarse en los procesos de planificación comunicativa, en la gestión de relaciones con comunidades, en la formulación de mensajes clave y en la preparación de respuestas ante posibles crisis. Cuando se utiliza de forma sistemática, el monitoreo permite anticiparse a situaciones de tensión, adaptar estrategias de comunicación y fortalecer la capacidad de respuesta de la organización.</w:t>
      </w:r>
    </w:p>
    <w:p w14:paraId="524EC6A0"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Asimismo, los resultados del monitoreo de opinión pública deben ser socializados internamente con los diferentes niveles de la organización, incluyendo alta dirección, equipos de comunicación, áreas de relaciones comunitarias y otros departamentos relevantes. Esto permite que las decisiones no se tomen de manera aislada, sino con una comprensión compartida de las percepciones y expectativas sociales. Compartir estos hallazgos con los equipos internos también contribuye a crear una cultura organizacional que valora la escucha activa y la adaptación al entorno.</w:t>
      </w:r>
    </w:p>
    <w:p w14:paraId="3326CA82"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Finalmente, es importante destacar que el monitoreo de opinión pública debe realizarse con </w:t>
      </w:r>
      <w:r w:rsidRPr="00E97280">
        <w:rPr>
          <w:rFonts w:ascii="Helvetica" w:eastAsia="Times New Roman" w:hAnsi="Helvetica" w:cs="Times New Roman"/>
          <w:b/>
          <w:bCs/>
          <w:sz w:val="24"/>
          <w:szCs w:val="24"/>
          <w:lang w:val="es-PE"/>
        </w:rPr>
        <w:t>ética y respeto por la privacidad</w:t>
      </w:r>
      <w:r w:rsidRPr="00E97280">
        <w:rPr>
          <w:rFonts w:ascii="Helvetica" w:eastAsia="Times New Roman" w:hAnsi="Helvetica" w:cs="Times New Roman"/>
          <w:sz w:val="24"/>
          <w:szCs w:val="24"/>
          <w:lang w:val="es-PE"/>
        </w:rPr>
        <w:t>, comunicando de manera transparente el uso de los datos y garantizando que las metodologías empleadas sean rigurosas y responsables. Una gestión adecuada de la opinión pública contribuye a fortalecer la legitimidad de la empresa, mejorar sus estrategias de comunicación, anticipar riesgos y construir relaciones más sólidas y sostenibles con sus públicos de interés. En resumen, el monitoreo de opinión pública es una herramienta indispensable para contextualizar la percepción social, orientar acciones comunicativas efectivas y apoyar la sostenibilidad a largo plazo de las operaciones mineras.</w:t>
      </w:r>
    </w:p>
    <w:p w14:paraId="0278F091" w14:textId="77777777" w:rsidR="00E97280" w:rsidRPr="00E97280" w:rsidRDefault="00E97280" w:rsidP="00E97280">
      <w:pPr>
        <w:spacing w:before="100" w:beforeAutospacing="1" w:after="100" w:afterAutospacing="1" w:line="360" w:lineRule="auto"/>
        <w:rPr>
          <w:rFonts w:ascii="Helvetica" w:eastAsia="Times New Roman" w:hAnsi="Helvetica" w:cs="Times New Roman"/>
          <w:sz w:val="28"/>
          <w:szCs w:val="28"/>
          <w:lang w:val="es-PE"/>
        </w:rPr>
      </w:pPr>
      <w:r w:rsidRPr="00E97280">
        <w:rPr>
          <w:rFonts w:ascii="Helvetica" w:eastAsia="Times New Roman" w:hAnsi="Helvetica" w:cs="Times New Roman"/>
          <w:b/>
          <w:bCs/>
          <w:sz w:val="28"/>
          <w:szCs w:val="28"/>
          <w:lang w:val="es-PE"/>
        </w:rPr>
        <w:t>5.4. Manejo de desinformación y críticas online</w:t>
      </w:r>
    </w:p>
    <w:p w14:paraId="74B197A1"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El </w:t>
      </w:r>
      <w:r w:rsidRPr="00E97280">
        <w:rPr>
          <w:rFonts w:ascii="Helvetica" w:eastAsia="Times New Roman" w:hAnsi="Helvetica" w:cs="Times New Roman"/>
          <w:b/>
          <w:bCs/>
          <w:sz w:val="24"/>
          <w:szCs w:val="24"/>
          <w:lang w:val="es-PE"/>
        </w:rPr>
        <w:t>manejo de desinformación y críticas online</w:t>
      </w:r>
      <w:r w:rsidRPr="00E97280">
        <w:rPr>
          <w:rFonts w:ascii="Helvetica" w:eastAsia="Times New Roman" w:hAnsi="Helvetica" w:cs="Times New Roman"/>
          <w:sz w:val="24"/>
          <w:szCs w:val="24"/>
          <w:lang w:val="es-PE"/>
        </w:rPr>
        <w:t xml:space="preserve"> es una dimensión estratégica indispensable dentro de la comunicación corporativa en el sector minero contemporáneo. En un entorno digital donde las opiniones se propagan de forma inmediata y donde los contenidos pueden volverse virales rápidamente, la presencia online de las empresas está constantemente expuesta a interpretaciones erróneas, rumores, contenidos imprecisos o ataques que pueden distorsionar la realidad de las operaciones mineras. Este fenómeno puede generar percepciones negativas entre los públicos de interés, erosionar la confianza y afectar la reputación corporativa si no se aborda con una estrategia estructurada, proactiva y basada en transparencia y responsabilidad.</w:t>
      </w:r>
    </w:p>
    <w:p w14:paraId="5C12FB18"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Entender primero qué es la </w:t>
      </w:r>
      <w:r w:rsidRPr="00E97280">
        <w:rPr>
          <w:rFonts w:ascii="Helvetica" w:eastAsia="Times New Roman" w:hAnsi="Helvetica" w:cs="Times New Roman"/>
          <w:b/>
          <w:bCs/>
          <w:sz w:val="24"/>
          <w:szCs w:val="24"/>
          <w:lang w:val="es-PE"/>
        </w:rPr>
        <w:t>desinformación</w:t>
      </w:r>
      <w:r w:rsidRPr="00E97280">
        <w:rPr>
          <w:rFonts w:ascii="Helvetica" w:eastAsia="Times New Roman" w:hAnsi="Helvetica" w:cs="Times New Roman"/>
          <w:sz w:val="24"/>
          <w:szCs w:val="24"/>
          <w:lang w:val="es-PE"/>
        </w:rPr>
        <w:t xml:space="preserve"> es fundamental. Se trata de información falsa o inexacta difundida con o sin intención deliberada, que puede surgir de malas interpretaciones, falta de contexto, errores de comunicación o incluso campañas organizadas de desprestigio. En el contexto de la minería, la desinformación puede girar en torno a supuestos impactos ambientales exagerados, interpretaciones distorsionadas de datos técnicos, declaraciones sacadas de contexto sobre prácticas laborales o percepciones negativas sobre la gestión comunitaria. Las críticas online, por su parte, aunque muchas veces legítimas, también pueden tomar matices injustos o ser alimentadas por información incorrecta que circula sin verificación.</w:t>
      </w:r>
    </w:p>
    <w:p w14:paraId="5F379F02" w14:textId="77777777" w:rsidR="00E97280" w:rsidRPr="00E97280" w:rsidRDefault="00E97280" w:rsidP="00E97280">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Para gestionar eficazmente estos fenómenos, las empresas mineras deben desarrollar </w:t>
      </w:r>
      <w:r w:rsidRPr="00E97280">
        <w:rPr>
          <w:rFonts w:ascii="Helvetica" w:eastAsia="Times New Roman" w:hAnsi="Helvetica" w:cs="Times New Roman"/>
          <w:b/>
          <w:bCs/>
          <w:sz w:val="24"/>
          <w:szCs w:val="24"/>
          <w:lang w:val="es-PE"/>
        </w:rPr>
        <w:t>protocolos específicos para la detección, respuesta y corrección</w:t>
      </w:r>
      <w:r w:rsidRPr="00E97280">
        <w:rPr>
          <w:rFonts w:ascii="Helvetica" w:eastAsia="Times New Roman" w:hAnsi="Helvetica" w:cs="Times New Roman"/>
          <w:sz w:val="24"/>
          <w:szCs w:val="24"/>
          <w:lang w:val="es-PE"/>
        </w:rPr>
        <w:t xml:space="preserve"> de contenidos falsos o erróneos. Esto implica monitorear de manera constante las conversaciones que se desarrollan en redes sociales, blogs, foros, plataformas de opinión y otros espacios digitales donde se debaten temas relacionados con la minería. El monitoreo permite identificar rápidamente patrones de desinformación, malentendidos comunes o narrativas que pueden estar ganando tracción entre los usuarios. La detección temprana es clave, ya que cuanto antes se identifique un contenido problemático, más eficaz puede ser la respuesta para contextualizar o aclarar la información.</w:t>
      </w:r>
    </w:p>
    <w:p w14:paraId="73DC0104" w14:textId="3F3D3290" w:rsidR="00E97280" w:rsidRPr="00E97280" w:rsidRDefault="00E97280" w:rsidP="00E97280">
      <w:pPr>
        <w:spacing w:before="100" w:beforeAutospacing="1" w:after="100" w:afterAutospacing="1" w:line="360" w:lineRule="auto"/>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Una vez detectada una posible desinformación o crítica, la empresa debe </w:t>
      </w:r>
      <w:r w:rsidRPr="00E97280">
        <w:rPr>
          <w:rFonts w:ascii="Helvetica" w:eastAsia="Times New Roman" w:hAnsi="Helvetica" w:cs="Times New Roman"/>
          <w:b/>
          <w:bCs/>
          <w:sz w:val="24"/>
          <w:szCs w:val="24"/>
          <w:lang w:val="es-PE"/>
        </w:rPr>
        <w:t>evaluar el contenido y su impacto potencial</w:t>
      </w:r>
      <w:r w:rsidRPr="00E97280">
        <w:rPr>
          <w:rFonts w:ascii="Helvetica" w:eastAsia="Times New Roman" w:hAnsi="Helvetica" w:cs="Times New Roman"/>
          <w:sz w:val="24"/>
          <w:szCs w:val="24"/>
          <w:lang w:val="es-PE"/>
        </w:rPr>
        <w:t>. Esta evaluación contempla analizar si la afirmación es totalmente falsa, parcialmente inexacta o simplemente carece de contexto. También es importante medir el nivel de influencia del contenido</w:t>
      </w:r>
      <w:r w:rsidR="00FB1E64" w:rsidRPr="00FB1E64">
        <w:rPr>
          <w:rFonts w:ascii="Helvetica" w:eastAsia="Times New Roman" w:hAnsi="Helvetica" w:cs="Times New Roman"/>
          <w:sz w:val="24"/>
          <w:szCs w:val="24"/>
          <w:lang w:val="es-PE"/>
        </w:rPr>
        <w:t xml:space="preserve">, </w:t>
      </w:r>
      <w:r w:rsidRPr="00E97280">
        <w:rPr>
          <w:rFonts w:ascii="Helvetica" w:eastAsia="Times New Roman" w:hAnsi="Helvetica" w:cs="Times New Roman"/>
          <w:sz w:val="24"/>
          <w:szCs w:val="24"/>
          <w:lang w:val="es-PE"/>
        </w:rPr>
        <w:t>por ejemplo si proviene de un líder de opinión con muchos seguidores o si se está difundiendo en múltiples plataformas, ya que esto determinará la urgencia y la forma de la respuesta. La correcta evaluación evita reacciones desproporcionadas o la amplificación de contenidos negativos por medio de respuestas inadecuadas.</w:t>
      </w:r>
    </w:p>
    <w:p w14:paraId="5A1FE8DE" w14:textId="77777777" w:rsidR="00E97280" w:rsidRPr="00E97280" w:rsidRDefault="00E97280" w:rsidP="00FB1E64">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La </w:t>
      </w:r>
      <w:r w:rsidRPr="00E97280">
        <w:rPr>
          <w:rFonts w:ascii="Helvetica" w:eastAsia="Times New Roman" w:hAnsi="Helvetica" w:cs="Times New Roman"/>
          <w:b/>
          <w:bCs/>
          <w:sz w:val="24"/>
          <w:szCs w:val="24"/>
          <w:lang w:val="es-PE"/>
        </w:rPr>
        <w:t>respuesta comunicativa debe ser oportuna, precisa y fundamentada en hechos verificables</w:t>
      </w:r>
      <w:r w:rsidRPr="00E97280">
        <w:rPr>
          <w:rFonts w:ascii="Helvetica" w:eastAsia="Times New Roman" w:hAnsi="Helvetica" w:cs="Times New Roman"/>
          <w:sz w:val="24"/>
          <w:szCs w:val="24"/>
          <w:lang w:val="es-PE"/>
        </w:rPr>
        <w:t>. Proporcionar datos claros, explicaciones contextuales y fuentes confiables contribuye a contrarrestar la desinformación de manera efectiva. Cuando se trata de datos técnicos complejos, como indicadores de calidad del agua, emisiones o manejo de residuos, es útil traducir la información a un lenguaje accesible, evitando tecnicismos que puedan generar confusión. La transparencia y la claridad son principios fundamentales, ya que la opacidad puede ser interpretada como evasión o falta de control, lo que alimenta aún más las críticas.</w:t>
      </w:r>
    </w:p>
    <w:p w14:paraId="15357494" w14:textId="77777777" w:rsidR="00E97280" w:rsidRPr="00E97280" w:rsidRDefault="00E97280" w:rsidP="00FB1E64">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Además de responder directamente a contenidos erróneos, una estrategia eficaz incluye </w:t>
      </w:r>
      <w:r w:rsidRPr="00E97280">
        <w:rPr>
          <w:rFonts w:ascii="Helvetica" w:eastAsia="Times New Roman" w:hAnsi="Helvetica" w:cs="Times New Roman"/>
          <w:b/>
          <w:bCs/>
          <w:sz w:val="24"/>
          <w:szCs w:val="24"/>
          <w:lang w:val="es-PE"/>
        </w:rPr>
        <w:t>generar contenidos propios que eduquen y contextualicen la actividad minera</w:t>
      </w:r>
      <w:r w:rsidRPr="00E97280">
        <w:rPr>
          <w:rFonts w:ascii="Helvetica" w:eastAsia="Times New Roman" w:hAnsi="Helvetica" w:cs="Times New Roman"/>
          <w:sz w:val="24"/>
          <w:szCs w:val="24"/>
          <w:lang w:val="es-PE"/>
        </w:rPr>
        <w:t xml:space="preserve"> de forma preventiva. Por ejemplo, la difusión de videos explicativos, infografías, artículos en blogs corporativos, entrevistas con expertos y publicaciones en redes sociales pueden ayudar a construir una narrativa informativa que explique los procesos, las medidas de sostenibilidad, los resultados de monitoreos ambientales y las acciones de responsabilidad social. Al anticiparse a los temas de interés o preocupación, la empresa fortalece su capacidad de comunicación y reduce la oportunidad para que la desinformación arraigue sin contrapeso informativo.</w:t>
      </w:r>
    </w:p>
    <w:p w14:paraId="3EC602C5" w14:textId="77777777" w:rsidR="00E97280" w:rsidRPr="00E97280" w:rsidRDefault="00E97280" w:rsidP="00FB1E64">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Es fundamental también </w:t>
      </w:r>
      <w:r w:rsidRPr="00E97280">
        <w:rPr>
          <w:rFonts w:ascii="Helvetica" w:eastAsia="Times New Roman" w:hAnsi="Helvetica" w:cs="Times New Roman"/>
          <w:b/>
          <w:bCs/>
          <w:sz w:val="24"/>
          <w:szCs w:val="24"/>
          <w:lang w:val="es-PE"/>
        </w:rPr>
        <w:t>establecer canales de diálogo directo con los públicos digitales</w:t>
      </w:r>
      <w:r w:rsidRPr="00E97280">
        <w:rPr>
          <w:rFonts w:ascii="Helvetica" w:eastAsia="Times New Roman" w:hAnsi="Helvetica" w:cs="Times New Roman"/>
          <w:sz w:val="24"/>
          <w:szCs w:val="24"/>
          <w:lang w:val="es-PE"/>
        </w:rPr>
        <w:t>, lo cual no solo permite responder a críticas puntuales, sino también escuchar inquietudes, aclarar dudas y generar vínculos de confianza. La comunicación en canales digitales debe ser bidireccional: responder con respeto, sin confrontación, y reconocer cuando una inquietud es legítima y merece atención. Esto no solo ayuda a gestionar mejor las críticas online, sino que también contribuye a construir una percepción de cercanía, apertura y disposición al diálogo.</w:t>
      </w:r>
    </w:p>
    <w:p w14:paraId="4D651176" w14:textId="77777777" w:rsidR="00E97280" w:rsidRPr="00E97280" w:rsidRDefault="00E97280" w:rsidP="00FB1E64">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Una parte del manejo de desinformación incluye </w:t>
      </w:r>
      <w:r w:rsidRPr="00E97280">
        <w:rPr>
          <w:rFonts w:ascii="Helvetica" w:eastAsia="Times New Roman" w:hAnsi="Helvetica" w:cs="Times New Roman"/>
          <w:b/>
          <w:bCs/>
          <w:sz w:val="24"/>
          <w:szCs w:val="24"/>
          <w:lang w:val="es-PE"/>
        </w:rPr>
        <w:t>capacitación interna al equipo de comunicaciones</w:t>
      </w:r>
      <w:r w:rsidRPr="00E97280">
        <w:rPr>
          <w:rFonts w:ascii="Helvetica" w:eastAsia="Times New Roman" w:hAnsi="Helvetica" w:cs="Times New Roman"/>
          <w:sz w:val="24"/>
          <w:szCs w:val="24"/>
          <w:lang w:val="es-PE"/>
        </w:rPr>
        <w:t xml:space="preserve"> para identificar señales de alarma, reconocer patrones de desinformación y articular respuestas adecuadas en función del contexto. Esto suele formar parte de protocolos más amplios de manejo de crisis digital, donde se define quiénes son los responsables de monitorear, quiénes validan las respuestas y cómo se integran estos esfuerzos con la vocería institucional y con las políticas generales de comunicación de la empresa.</w:t>
      </w:r>
    </w:p>
    <w:p w14:paraId="395BCA2A" w14:textId="77777777" w:rsidR="00E97280" w:rsidRPr="00E97280" w:rsidRDefault="00E97280" w:rsidP="00FB1E64">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 xml:space="preserve">El manejo de desinformación y críticas online también implica </w:t>
      </w:r>
      <w:r w:rsidRPr="00E97280">
        <w:rPr>
          <w:rFonts w:ascii="Helvetica" w:eastAsia="Times New Roman" w:hAnsi="Helvetica" w:cs="Times New Roman"/>
          <w:b/>
          <w:bCs/>
          <w:sz w:val="24"/>
          <w:szCs w:val="24"/>
          <w:lang w:val="es-PE"/>
        </w:rPr>
        <w:t>colaborar con aliados externos</w:t>
      </w:r>
      <w:r w:rsidRPr="00E97280">
        <w:rPr>
          <w:rFonts w:ascii="Helvetica" w:eastAsia="Times New Roman" w:hAnsi="Helvetica" w:cs="Times New Roman"/>
          <w:sz w:val="24"/>
          <w:szCs w:val="24"/>
          <w:lang w:val="es-PE"/>
        </w:rPr>
        <w:t>, como instituciones académicas, organismos de regulación ambiental, asociaciones del sector y expertos independientes que pueden reforzar con sus voces la veracidad de los datos o procesos explicados por la empresa. Este tipo de colaboración contribuye a aumentar la credibilidad de las respuestas y a posicionar a la organización dentro de un marco de diálogo informado y riguroso.</w:t>
      </w:r>
    </w:p>
    <w:p w14:paraId="11676F1F" w14:textId="77777777" w:rsidR="00E97280" w:rsidRPr="00E97280" w:rsidRDefault="00E97280" w:rsidP="00FB1E64">
      <w:pPr>
        <w:spacing w:before="100" w:beforeAutospacing="1" w:after="100" w:afterAutospacing="1" w:line="360" w:lineRule="auto"/>
        <w:ind w:firstLine="720"/>
        <w:rPr>
          <w:rFonts w:ascii="Helvetica" w:eastAsia="Times New Roman" w:hAnsi="Helvetica" w:cs="Times New Roman"/>
          <w:sz w:val="24"/>
          <w:szCs w:val="24"/>
          <w:lang w:val="es-PE"/>
        </w:rPr>
      </w:pPr>
      <w:r w:rsidRPr="00E97280">
        <w:rPr>
          <w:rFonts w:ascii="Helvetica" w:eastAsia="Times New Roman" w:hAnsi="Helvetica" w:cs="Times New Roman"/>
          <w:sz w:val="24"/>
          <w:szCs w:val="24"/>
          <w:lang w:val="es-PE"/>
        </w:rPr>
        <w:t>Finalmente, es importante recordar que no toda crítica online es desinformación; muchas veces las críticas provienen de preocupaciones legítimas de comunidades, empleados o actores sociales. Una buena estrategia distingue entre ambas, respondiendo con empatía y responsabilidad a las inquietudes reales y utilizando la crítica como una oportunidad para mejorar prácticas, ajustar mensajes y fortalecer la relación con los públicos. En este sentido, el manejo de desinformación y críticas online no solo protege la reputación corporativa, sino que también fortalece la comunicación como herramienta de aprendizaje, adaptación y construcción de relaciones más transparentes y sostenibles en el entorno digital.</w:t>
      </w:r>
    </w:p>
    <w:p w14:paraId="2F736FBB" w14:textId="29C9A1E5" w:rsidR="00392F2C" w:rsidRDefault="00392F2C" w:rsidP="00392F2C">
      <w:pPr>
        <w:pStyle w:val="NormalWeb"/>
        <w:spacing w:line="360" w:lineRule="auto"/>
        <w:rPr>
          <w:rFonts w:ascii="Helvetica" w:hAnsi="Helvetica" w:cs="Arial"/>
          <w:lang w:val="es-PE"/>
        </w:rPr>
      </w:pPr>
    </w:p>
    <w:p w14:paraId="37549107" w14:textId="424C9448" w:rsidR="00FB1E64" w:rsidRDefault="00FB1E64" w:rsidP="00392F2C">
      <w:pPr>
        <w:pStyle w:val="NormalWeb"/>
        <w:spacing w:line="360" w:lineRule="auto"/>
        <w:rPr>
          <w:rFonts w:ascii="Helvetica" w:hAnsi="Helvetica" w:cs="Arial"/>
          <w:lang w:val="es-PE"/>
        </w:rPr>
      </w:pPr>
    </w:p>
    <w:p w14:paraId="6CEF7F57" w14:textId="77777777" w:rsidR="00010B48" w:rsidRPr="00010B48" w:rsidRDefault="00010B48" w:rsidP="00010B48">
      <w:pPr>
        <w:pStyle w:val="NormalWeb"/>
        <w:spacing w:before="0" w:beforeAutospacing="0" w:after="0" w:afterAutospacing="0" w:line="360" w:lineRule="auto"/>
        <w:rPr>
          <w:rFonts w:ascii="Helvetica" w:hAnsi="Helvetica" w:cs="Arial"/>
          <w:b/>
          <w:bCs/>
          <w:sz w:val="32"/>
          <w:szCs w:val="32"/>
          <w:lang w:val="es-PE"/>
        </w:rPr>
      </w:pPr>
      <w:r w:rsidRPr="00010B48">
        <w:rPr>
          <w:rFonts w:ascii="Helvetica" w:hAnsi="Helvetica" w:cs="Arial"/>
          <w:b/>
          <w:bCs/>
          <w:sz w:val="32"/>
          <w:szCs w:val="32"/>
          <w:lang w:val="es-PE"/>
        </w:rPr>
        <w:t>6. RELACIONES GUBERNAMENTALES Y TRANSPARENCIA</w:t>
      </w:r>
    </w:p>
    <w:p w14:paraId="79A3803E" w14:textId="3AF5217F" w:rsidR="00FB1E64" w:rsidRPr="00010B48" w:rsidRDefault="00010B48" w:rsidP="00010B48">
      <w:pPr>
        <w:pStyle w:val="NormalWeb"/>
        <w:spacing w:before="0" w:beforeAutospacing="0" w:after="0" w:afterAutospacing="0" w:line="360" w:lineRule="auto"/>
        <w:rPr>
          <w:rFonts w:ascii="Helvetica" w:hAnsi="Helvetica" w:cs="Arial"/>
          <w:b/>
          <w:bCs/>
          <w:sz w:val="28"/>
          <w:szCs w:val="28"/>
          <w:lang w:val="es-PE"/>
        </w:rPr>
      </w:pPr>
      <w:r w:rsidRPr="00010B48">
        <w:rPr>
          <w:rFonts w:ascii="Helvetica" w:hAnsi="Helvetica" w:cs="Arial"/>
          <w:b/>
          <w:bCs/>
          <w:sz w:val="28"/>
          <w:szCs w:val="28"/>
          <w:lang w:val="es-PE"/>
        </w:rPr>
        <w:t>6.1. Comunicación con autoridades peruanas (MINEM, OEFA)</w:t>
      </w:r>
    </w:p>
    <w:p w14:paraId="615B29A6"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w:t>
      </w:r>
      <w:r w:rsidRPr="00010B48">
        <w:rPr>
          <w:rFonts w:ascii="Helvetica" w:eastAsia="Times New Roman" w:hAnsi="Helvetica" w:cs="Times New Roman"/>
          <w:b/>
          <w:bCs/>
          <w:sz w:val="24"/>
          <w:szCs w:val="24"/>
          <w:lang w:val="es-PE"/>
        </w:rPr>
        <w:t>comunicación con autoridades peruanas</w:t>
      </w:r>
      <w:r w:rsidRPr="00010B48">
        <w:rPr>
          <w:rFonts w:ascii="Helvetica" w:eastAsia="Times New Roman" w:hAnsi="Helvetica" w:cs="Times New Roman"/>
          <w:sz w:val="24"/>
          <w:szCs w:val="24"/>
          <w:lang w:val="es-PE"/>
        </w:rPr>
        <w:t xml:space="preserve"> constituye un componente estratégico dentro de las relaciones gubernamentales de las empresas mineras, ya que establece el marco institucional mediante el cual se garantiza el cumplimiento normativo, se supervisa la gestión ambiental y social, y se coordina la implementación de políticas públicas que afectan a la industria. Dentro del Perú, dos de las instituciones clave en este ámbito son el </w:t>
      </w:r>
      <w:r w:rsidRPr="00010B48">
        <w:rPr>
          <w:rFonts w:ascii="Helvetica" w:eastAsia="Times New Roman" w:hAnsi="Helvetica" w:cs="Times New Roman"/>
          <w:b/>
          <w:bCs/>
          <w:sz w:val="24"/>
          <w:szCs w:val="24"/>
          <w:lang w:val="es-PE"/>
        </w:rPr>
        <w:t>Ministerio de Energía y Minas (MINEM)</w:t>
      </w:r>
      <w:r w:rsidRPr="00010B48">
        <w:rPr>
          <w:rFonts w:ascii="Helvetica" w:eastAsia="Times New Roman" w:hAnsi="Helvetica" w:cs="Times New Roman"/>
          <w:sz w:val="24"/>
          <w:szCs w:val="24"/>
          <w:lang w:val="es-PE"/>
        </w:rPr>
        <w:t xml:space="preserve"> y el </w:t>
      </w:r>
      <w:r w:rsidRPr="00010B48">
        <w:rPr>
          <w:rFonts w:ascii="Helvetica" w:eastAsia="Times New Roman" w:hAnsi="Helvetica" w:cs="Times New Roman"/>
          <w:b/>
          <w:bCs/>
          <w:sz w:val="24"/>
          <w:szCs w:val="24"/>
          <w:lang w:val="es-PE"/>
        </w:rPr>
        <w:t>Organismo de Evaluación y Fiscalización Ambiental (OEFA)</w:t>
      </w:r>
      <w:r w:rsidRPr="00010B48">
        <w:rPr>
          <w:rFonts w:ascii="Helvetica" w:eastAsia="Times New Roman" w:hAnsi="Helvetica" w:cs="Times New Roman"/>
          <w:sz w:val="24"/>
          <w:szCs w:val="24"/>
          <w:lang w:val="es-PE"/>
        </w:rPr>
        <w:t>. La interacción con estas entidades requiere de una comunicación formal, transparente, estructurada y basada en información verificable, ya que influye directamente en la legitimidad de las operaciones, el otorgamiento de permisos, la evaluación de desempeño y la capacidad de la empresa para operar dentro de los marcos legales vigentes.</w:t>
      </w:r>
    </w:p>
    <w:p w14:paraId="0159B926"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El </w:t>
      </w:r>
      <w:r w:rsidRPr="00010B48">
        <w:rPr>
          <w:rFonts w:ascii="Helvetica" w:eastAsia="Times New Roman" w:hAnsi="Helvetica" w:cs="Times New Roman"/>
          <w:b/>
          <w:bCs/>
          <w:sz w:val="24"/>
          <w:szCs w:val="24"/>
          <w:lang w:val="es-PE"/>
        </w:rPr>
        <w:t>MINEM</w:t>
      </w:r>
      <w:r w:rsidRPr="00010B48">
        <w:rPr>
          <w:rFonts w:ascii="Helvetica" w:eastAsia="Times New Roman" w:hAnsi="Helvetica" w:cs="Times New Roman"/>
          <w:sz w:val="24"/>
          <w:szCs w:val="24"/>
          <w:lang w:val="es-PE"/>
        </w:rPr>
        <w:t xml:space="preserve"> es la entidad encargada de formular, dirigir, normar, supervisar y evaluar las políticas relacionadas con la energía y los recursos minerales, así como de promover la inversión responsable en el sector. La comunicación con el ministerio abarca desde la presentación de solicitudes de concesiones o permisos hasta la coordinación sobre temas técnicos, ambientales, de seguridad y desarrollo sustentable. Para establecer este tipo de comunicación, las empresas deben contar con áreas especializadas que sean capaces de elaborar documentación técnica, informes de cumplimiento normativo y propuestas de gestión alineadas con las exigencias legales peruanas, y presentarlas de forma oportuna y adecuada a los formatos requeridos por el MINEM.</w:t>
      </w:r>
    </w:p>
    <w:p w14:paraId="6A20933C"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Una comunicación eficaz con el MINEM implica </w:t>
      </w:r>
      <w:r w:rsidRPr="00010B48">
        <w:rPr>
          <w:rFonts w:ascii="Helvetica" w:eastAsia="Times New Roman" w:hAnsi="Helvetica" w:cs="Times New Roman"/>
          <w:b/>
          <w:bCs/>
          <w:sz w:val="24"/>
          <w:szCs w:val="24"/>
          <w:lang w:val="es-PE"/>
        </w:rPr>
        <w:t>transparencia informativa y cumplimiento de plazos</w:t>
      </w:r>
      <w:r w:rsidRPr="00010B48">
        <w:rPr>
          <w:rFonts w:ascii="Helvetica" w:eastAsia="Times New Roman" w:hAnsi="Helvetica" w:cs="Times New Roman"/>
          <w:sz w:val="24"/>
          <w:szCs w:val="24"/>
          <w:lang w:val="es-PE"/>
        </w:rPr>
        <w:t>. Las empresas mineras deben responder a requerimientos, emitir reportes periódicos y participar en espacios de coordinación técnica o reuniones sectoriales cuando sean convocadas. De igual manera, es importante que los representantes de la empresa mantengan un diálogo continuo con los funcionarios del ministerio para resolver consultas, aclarar dudas sobre procesos de evaluación y asegurar que las directrices y políticas del sector sean interpretadas y aplicadas de manera correcta. Este diálogo permite también conocer anticipadamente cambios en la normativa, nuevas exigencias o prioridades que el gobierno considere pertinentes para el desarrollo del sector.</w:t>
      </w:r>
    </w:p>
    <w:p w14:paraId="7EBD59FB"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El </w:t>
      </w:r>
      <w:r w:rsidRPr="00010B48">
        <w:rPr>
          <w:rFonts w:ascii="Helvetica" w:eastAsia="Times New Roman" w:hAnsi="Helvetica" w:cs="Times New Roman"/>
          <w:b/>
          <w:bCs/>
          <w:sz w:val="24"/>
          <w:szCs w:val="24"/>
          <w:lang w:val="es-PE"/>
        </w:rPr>
        <w:t>OEFA</w:t>
      </w:r>
      <w:r w:rsidRPr="00010B48">
        <w:rPr>
          <w:rFonts w:ascii="Helvetica" w:eastAsia="Times New Roman" w:hAnsi="Helvetica" w:cs="Times New Roman"/>
          <w:sz w:val="24"/>
          <w:szCs w:val="24"/>
          <w:lang w:val="es-PE"/>
        </w:rPr>
        <w:t>, por su parte, es el organismo encargado de supervisar, fiscalizar y sancionar el cumplimiento de las normas ambientales en las actividades económicas, incluyendo la minería. Su rol es fundamental para garantizar que las operaciones mineras respeten los límites y obligaciones establecidos en las autorizaciones ambientales, los estándares de calidad ambiental y los instrumentos de gestión ambiental. La comunicación con el OEFA debe centrarse en demostrar el cumplimiento de las obligaciones ambientales, en compartir los resultados de los programas de monitoreo y en responder a las solicitudes de información técnica durante las visitas de fiscalización o auditorías ambientales.</w:t>
      </w:r>
    </w:p>
    <w:p w14:paraId="41320126"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Dentro de esta comunicación con el OEFA es indispensable </w:t>
      </w:r>
      <w:r w:rsidRPr="00010B48">
        <w:rPr>
          <w:rFonts w:ascii="Helvetica" w:eastAsia="Times New Roman" w:hAnsi="Helvetica" w:cs="Times New Roman"/>
          <w:b/>
          <w:bCs/>
          <w:sz w:val="24"/>
          <w:szCs w:val="24"/>
          <w:lang w:val="es-PE"/>
        </w:rPr>
        <w:t>entregar información clara, coherente y respaldada técnicamente</w:t>
      </w:r>
      <w:r w:rsidRPr="00010B48">
        <w:rPr>
          <w:rFonts w:ascii="Helvetica" w:eastAsia="Times New Roman" w:hAnsi="Helvetica" w:cs="Times New Roman"/>
          <w:sz w:val="24"/>
          <w:szCs w:val="24"/>
          <w:lang w:val="es-PE"/>
        </w:rPr>
        <w:t>. Esto implica la presentación de reportes de monitoreo ambiental, resultados de indicadores de calidad de aire o agua, registros de manejo de residuos y evidencias de la implementación de los compromisos asumidos en los estudios de impacto ambiental. La forma en que se comunica esta información influye significativamente en la percepción que las autoridades tienen sobre la gestión ambiental de la empresa y puede determinar la continuidad de actividades, la imposición de medidas correctivas o la apertura de procedimientos de fiscalización más estrictos.</w:t>
      </w:r>
    </w:p>
    <w:p w14:paraId="3662D829"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Una comunicación estratégica con autoridades peruanas debe sustentarse en </w:t>
      </w:r>
      <w:r w:rsidRPr="00010B48">
        <w:rPr>
          <w:rFonts w:ascii="Helvetica" w:eastAsia="Times New Roman" w:hAnsi="Helvetica" w:cs="Times New Roman"/>
          <w:b/>
          <w:bCs/>
          <w:sz w:val="24"/>
          <w:szCs w:val="24"/>
          <w:lang w:val="es-PE"/>
        </w:rPr>
        <w:t>buenas prácticas de transparencia y responsabilidad</w:t>
      </w:r>
      <w:r w:rsidRPr="00010B48">
        <w:rPr>
          <w:rFonts w:ascii="Helvetica" w:eastAsia="Times New Roman" w:hAnsi="Helvetica" w:cs="Times New Roman"/>
          <w:sz w:val="24"/>
          <w:szCs w:val="24"/>
          <w:lang w:val="es-PE"/>
        </w:rPr>
        <w:t>. Esto implica no sólo responder a las obligaciones formales, sino también compartir información relevante de manera proactiva, anticipando posibles requerimientos de las autoridades o aclarando dudas antes de que se presenten malentendidos. La transparencia genera confianza institucional y contribuye a que las autoridades perciban a la empresa como un actor que respeta las normas, colabora con los procesos de supervisión y contribuye positivamente al desarrollo regulado de la industria.</w:t>
      </w:r>
    </w:p>
    <w:p w14:paraId="090B7012"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Además, es importante destacar que esta comunicación no debe limitarse a eludir obligaciones o gestionar permisos, sino que también debe </w:t>
      </w:r>
      <w:r w:rsidRPr="00010B48">
        <w:rPr>
          <w:rFonts w:ascii="Helvetica" w:eastAsia="Times New Roman" w:hAnsi="Helvetica" w:cs="Times New Roman"/>
          <w:b/>
          <w:bCs/>
          <w:sz w:val="24"/>
          <w:szCs w:val="24"/>
          <w:lang w:val="es-PE"/>
        </w:rPr>
        <w:t>incorporar diálogos técnicos y de política pública</w:t>
      </w:r>
      <w:r w:rsidRPr="00010B48">
        <w:rPr>
          <w:rFonts w:ascii="Helvetica" w:eastAsia="Times New Roman" w:hAnsi="Helvetica" w:cs="Times New Roman"/>
          <w:sz w:val="24"/>
          <w:szCs w:val="24"/>
          <w:lang w:val="es-PE"/>
        </w:rPr>
        <w:t>. Las empresas mineras pueden contribuir al desarrollo de marcos regulatorios más eficientes mediante la participación en mesas de diálogo, consultas públicas, comités técnicos sectoriales o grupos de trabajo multisectoriales. Esta participación permite aportar experiencias sobre mejores prácticas, lecciones aprendidas y propuestas que fortalezcan la regulación ambiental, la seguridad minera, la gestión de riesgos y la sostenibilidad del sector en su conjunto.</w:t>
      </w:r>
    </w:p>
    <w:p w14:paraId="16D7077B"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comunicación con autoridades también debe ser </w:t>
      </w:r>
      <w:r w:rsidRPr="00010B48">
        <w:rPr>
          <w:rFonts w:ascii="Helvetica" w:eastAsia="Times New Roman" w:hAnsi="Helvetica" w:cs="Times New Roman"/>
          <w:b/>
          <w:bCs/>
          <w:sz w:val="24"/>
          <w:szCs w:val="24"/>
          <w:lang w:val="es-PE"/>
        </w:rPr>
        <w:t>bidireccional</w:t>
      </w:r>
      <w:r w:rsidRPr="00010B48">
        <w:rPr>
          <w:rFonts w:ascii="Helvetica" w:eastAsia="Times New Roman" w:hAnsi="Helvetica" w:cs="Times New Roman"/>
          <w:sz w:val="24"/>
          <w:szCs w:val="24"/>
          <w:lang w:val="es-PE"/>
        </w:rPr>
        <w:t xml:space="preserve"> y receptiva a las prioridades del Estado peruano. En este sentido, las empresas deben atender las inquietudes planteadas por los ministerios y organismos de supervisión, ajustando sus prácticas operativas o comunicativas en función de las directrices oficiales en temas como la protección ambiental, la seguridad laboral, la formalización de pequeños mineros, la evaluación de impacto y los estándares de sostenibilidad. La receptividad a la retroalimentación institucional contribuye a consolidar relaciones más efectivas, reduce el riesgo de sanciones administrativas y fortalece la percepción de la empresa como un socio responsable en el desarrollo del país.</w:t>
      </w:r>
    </w:p>
    <w:p w14:paraId="5246C237"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Finalmente, una adecuada </w:t>
      </w:r>
      <w:r w:rsidRPr="00010B48">
        <w:rPr>
          <w:rFonts w:ascii="Helvetica" w:eastAsia="Times New Roman" w:hAnsi="Helvetica" w:cs="Times New Roman"/>
          <w:b/>
          <w:bCs/>
          <w:sz w:val="24"/>
          <w:szCs w:val="24"/>
          <w:lang w:val="es-PE"/>
        </w:rPr>
        <w:t>gestión de relaciones con autoridades peruanas</w:t>
      </w:r>
      <w:r w:rsidRPr="00010B48">
        <w:rPr>
          <w:rFonts w:ascii="Helvetica" w:eastAsia="Times New Roman" w:hAnsi="Helvetica" w:cs="Times New Roman"/>
          <w:sz w:val="24"/>
          <w:szCs w:val="24"/>
          <w:lang w:val="es-PE"/>
        </w:rPr>
        <w:t xml:space="preserve"> no solo facilita el cumplimiento de obligaciones legales, sino que también fortalece la capacidad de la empresa para anticiparse a tendencias regulatorias, apoyar políticas de desarrollo sostenible y participar de manera activa en los procesos de mejora del entorno normativo. Este enfoque integral eleva el nivel de interlocución entre la empresa y las entidades gubernamentales, promoviendo una industria minera más transparente, responsable y alineada con las expectativas del Estado y de la sociedad en general.</w:t>
      </w:r>
    </w:p>
    <w:p w14:paraId="660BBBCF" w14:textId="77777777" w:rsidR="00010B48" w:rsidRPr="00010B48" w:rsidRDefault="00010B48" w:rsidP="00010B48">
      <w:pPr>
        <w:spacing w:before="100" w:beforeAutospacing="1" w:after="100" w:afterAutospacing="1" w:line="360" w:lineRule="auto"/>
        <w:rPr>
          <w:rFonts w:ascii="Helvetica" w:eastAsia="Times New Roman" w:hAnsi="Helvetica" w:cs="Times New Roman"/>
          <w:sz w:val="28"/>
          <w:szCs w:val="28"/>
          <w:lang w:val="es-PE"/>
        </w:rPr>
      </w:pPr>
      <w:r w:rsidRPr="00010B48">
        <w:rPr>
          <w:rFonts w:ascii="Helvetica" w:eastAsia="Times New Roman" w:hAnsi="Helvetica" w:cs="Times New Roman"/>
          <w:b/>
          <w:bCs/>
          <w:sz w:val="28"/>
          <w:szCs w:val="28"/>
          <w:lang w:val="es-PE"/>
        </w:rPr>
        <w:t>6.2. Participación en política pública minera</w:t>
      </w:r>
    </w:p>
    <w:p w14:paraId="6B30EE7B"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w:t>
      </w:r>
      <w:r w:rsidRPr="00010B48">
        <w:rPr>
          <w:rFonts w:ascii="Helvetica" w:eastAsia="Times New Roman" w:hAnsi="Helvetica" w:cs="Times New Roman"/>
          <w:b/>
          <w:bCs/>
          <w:sz w:val="24"/>
          <w:szCs w:val="24"/>
          <w:lang w:val="es-PE"/>
        </w:rPr>
        <w:t>participación en política pública minera</w:t>
      </w:r>
      <w:r w:rsidRPr="00010B48">
        <w:rPr>
          <w:rFonts w:ascii="Helvetica" w:eastAsia="Times New Roman" w:hAnsi="Helvetica" w:cs="Times New Roman"/>
          <w:sz w:val="24"/>
          <w:szCs w:val="24"/>
          <w:lang w:val="es-PE"/>
        </w:rPr>
        <w:t xml:space="preserve"> es una dimensión estratégica de la comunicación corporativa y de las relaciones gubernamentales que permite a las empresas del sector involucrarse activamente en procesos de definición, mejora y evaluación de las normas, marcos regulatorios y agendas sectoriales que influyen en el desarrollo sostenible de la minería. Esta participación no se limita a cumplir con la normatividad existente, sino que implica aportar experiencias, conocimiento técnico y propuestas constructivas para contribuir a la formulación de políticas públicas que promuevan una minería más segura, transparente, competitiva y socialmente aceptada.</w:t>
      </w:r>
    </w:p>
    <w:p w14:paraId="4F39CF4E" w14:textId="614FD84B"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Entender la participación en política pública minera requiere primero reconocer que la minería es un sector de </w:t>
      </w:r>
      <w:r w:rsidRPr="00010B48">
        <w:rPr>
          <w:rFonts w:ascii="Helvetica" w:eastAsia="Times New Roman" w:hAnsi="Helvetica" w:cs="Times New Roman"/>
          <w:b/>
          <w:bCs/>
          <w:sz w:val="24"/>
          <w:szCs w:val="24"/>
          <w:lang w:val="es-PE"/>
        </w:rPr>
        <w:t>interés estratégico para el desarrollo económico nacional</w:t>
      </w:r>
      <w:r w:rsidRPr="00010B48">
        <w:rPr>
          <w:rFonts w:ascii="Helvetica" w:eastAsia="Times New Roman" w:hAnsi="Helvetica" w:cs="Times New Roman"/>
          <w:sz w:val="24"/>
          <w:szCs w:val="24"/>
          <w:lang w:val="es-PE"/>
        </w:rPr>
        <w:t>, dada su contribución al Producto Interno Bruto, a las exportaciones, a la generación de empleo y a la recaudación tributaria. Por ello, los marcos regulatorios que lo gobiernan incluidas las normas ambientales, laborales, de seguridad, tributarias y de relaciones comunitarias afectan no solo a las empresas, sino también a comunidades, autoridades y al conjunto de la sociedad. Una participación bien enfocada permite que las empresas sean parte activa en la construcción de un entorno regulatorio que equilibra la inversión responsable con la protección del medio ambiente y los derechos de las poblaciones locales.</w:t>
      </w:r>
    </w:p>
    <w:p w14:paraId="77D2CF74"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participación en política pública minera puede darse a través de </w:t>
      </w:r>
      <w:r w:rsidRPr="00010B48">
        <w:rPr>
          <w:rFonts w:ascii="Helvetica" w:eastAsia="Times New Roman" w:hAnsi="Helvetica" w:cs="Times New Roman"/>
          <w:b/>
          <w:bCs/>
          <w:sz w:val="24"/>
          <w:szCs w:val="24"/>
          <w:lang w:val="es-PE"/>
        </w:rPr>
        <w:t>múltiples espacios y mecanismos institucionalizados</w:t>
      </w:r>
      <w:r w:rsidRPr="00010B48">
        <w:rPr>
          <w:rFonts w:ascii="Helvetica" w:eastAsia="Times New Roman" w:hAnsi="Helvetica" w:cs="Times New Roman"/>
          <w:sz w:val="24"/>
          <w:szCs w:val="24"/>
          <w:lang w:val="es-PE"/>
        </w:rPr>
        <w:t xml:space="preserve">. Estos incluyen consultas públicas organizadas por entidades gubernamentales para recibir comentarios sobre proyectos de normas, mesas técnicas sectoriales donde se discuten criterios de gestión ambiental o social, comités consultivos interinstitucionales, talleres de </w:t>
      </w:r>
      <w:proofErr w:type="spellStart"/>
      <w:r w:rsidRPr="00010B48">
        <w:rPr>
          <w:rFonts w:ascii="Helvetica" w:eastAsia="Times New Roman" w:hAnsi="Helvetica" w:cs="Times New Roman"/>
          <w:sz w:val="24"/>
          <w:szCs w:val="24"/>
          <w:lang w:val="es-PE"/>
        </w:rPr>
        <w:t>co-creación</w:t>
      </w:r>
      <w:proofErr w:type="spellEnd"/>
      <w:r w:rsidRPr="00010B48">
        <w:rPr>
          <w:rFonts w:ascii="Helvetica" w:eastAsia="Times New Roman" w:hAnsi="Helvetica" w:cs="Times New Roman"/>
          <w:sz w:val="24"/>
          <w:szCs w:val="24"/>
          <w:lang w:val="es-PE"/>
        </w:rPr>
        <w:t xml:space="preserve"> de políticas y foros de diálogo entre el sector público y privado. Participar en estos espacios exige capacidad técnica y comunicativa para expresar posiciones fundamentadas, responder a inquietudes de otros actores y construir consensos que fortalezcan la calidad de la regulación.</w:t>
      </w:r>
    </w:p>
    <w:p w14:paraId="6D6D9976"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Un aspecto central de esta participación es </w:t>
      </w:r>
      <w:r w:rsidRPr="00010B48">
        <w:rPr>
          <w:rFonts w:ascii="Helvetica" w:eastAsia="Times New Roman" w:hAnsi="Helvetica" w:cs="Times New Roman"/>
          <w:b/>
          <w:bCs/>
          <w:sz w:val="24"/>
          <w:szCs w:val="24"/>
          <w:lang w:val="es-PE"/>
        </w:rPr>
        <w:t>la aportación de evidencia técnica y experiencias operativas</w:t>
      </w:r>
      <w:r w:rsidRPr="00010B48">
        <w:rPr>
          <w:rFonts w:ascii="Helvetica" w:eastAsia="Times New Roman" w:hAnsi="Helvetica" w:cs="Times New Roman"/>
          <w:sz w:val="24"/>
          <w:szCs w:val="24"/>
          <w:lang w:val="es-PE"/>
        </w:rPr>
        <w:t>. Las empresas mineras manejan información detallada sobre procesos de extracción, gestión de impactos, tecnologías disponibles, costos de cumplimiento normativo y resultados de monitoreos ambientales y sociales. Esta información, cuando se presenta de forma rigurosa y contextualizada, puede enriquecer los debates públicos y contribuir a que las políticas mineras atiendan tanto los desafíos técnicos como las expectativas sociales. La presentación de evidencia no debe interpretarse como un ejercicio de presión, sino como una contribución técnica que ayuda a las autoridades a tomar decisiones mejor informadas.</w:t>
      </w:r>
    </w:p>
    <w:p w14:paraId="20A53BAE"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Asimismo, la participación en política pública minera implica </w:t>
      </w:r>
      <w:r w:rsidRPr="00010B48">
        <w:rPr>
          <w:rFonts w:ascii="Helvetica" w:eastAsia="Times New Roman" w:hAnsi="Helvetica" w:cs="Times New Roman"/>
          <w:b/>
          <w:bCs/>
          <w:sz w:val="24"/>
          <w:szCs w:val="24"/>
          <w:lang w:val="es-PE"/>
        </w:rPr>
        <w:t>colaborar en la identificación de brechas y oportunidades</w:t>
      </w:r>
      <w:r w:rsidRPr="00010B48">
        <w:rPr>
          <w:rFonts w:ascii="Helvetica" w:eastAsia="Times New Roman" w:hAnsi="Helvetica" w:cs="Times New Roman"/>
          <w:sz w:val="24"/>
          <w:szCs w:val="24"/>
          <w:lang w:val="es-PE"/>
        </w:rPr>
        <w:t xml:space="preserve"> dentro del marco regulatorio existente. Las empresas, debido a su experiencia operativa, están en posición de identificar normas que puedan resultar ambiguas, contradictorias o poco aplicables en la práctica, y proponer ajustes que clarifiquen obligaciones, faciliten el cumplimiento y reduzcan cargas administrativas innecesarias. Esta colaboración puede traducirse en propuestas de mejora normativa, comentarios estructurados durante procesos de consulta pública o participación en diálogos abiertos organizados por instancias gubernamentales.</w:t>
      </w:r>
    </w:p>
    <w:p w14:paraId="7DEF46C4"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comunicación estratégica juega un rol clave en todo este proceso, ya que </w:t>
      </w:r>
      <w:r w:rsidRPr="00010B48">
        <w:rPr>
          <w:rFonts w:ascii="Helvetica" w:eastAsia="Times New Roman" w:hAnsi="Helvetica" w:cs="Times New Roman"/>
          <w:b/>
          <w:bCs/>
          <w:sz w:val="24"/>
          <w:szCs w:val="24"/>
          <w:lang w:val="es-PE"/>
        </w:rPr>
        <w:t>permite articular posiciones de manera clara, transparente y coherente</w:t>
      </w:r>
      <w:r w:rsidRPr="00010B48">
        <w:rPr>
          <w:rFonts w:ascii="Helvetica" w:eastAsia="Times New Roman" w:hAnsi="Helvetica" w:cs="Times New Roman"/>
          <w:sz w:val="24"/>
          <w:szCs w:val="24"/>
          <w:lang w:val="es-PE"/>
        </w:rPr>
        <w:t>. Las empresas mineras deben diseñar mensajes que reflejen sus contribuciones y preocupaciones de forma que sean comprensibles no solo para autoridades técnicas, sino también para representantes de comunidades, organizaciones de la sociedad civil y otros grupos interesados. Esta comunicación debe evitar tecnicismos innecesarios, centrarse en los hechos y estar alineada con los valores y compromisos de sostenibilidad que la empresa promueve públicamente.</w:t>
      </w:r>
    </w:p>
    <w:p w14:paraId="5F7AD51F"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Participar en política pública también requiere de </w:t>
      </w:r>
      <w:r w:rsidRPr="00010B48">
        <w:rPr>
          <w:rFonts w:ascii="Helvetica" w:eastAsia="Times New Roman" w:hAnsi="Helvetica" w:cs="Times New Roman"/>
          <w:b/>
          <w:bCs/>
          <w:sz w:val="24"/>
          <w:szCs w:val="24"/>
          <w:lang w:val="es-PE"/>
        </w:rPr>
        <w:t>ética y responsabilidad</w:t>
      </w:r>
      <w:r w:rsidRPr="00010B48">
        <w:rPr>
          <w:rFonts w:ascii="Helvetica" w:eastAsia="Times New Roman" w:hAnsi="Helvetica" w:cs="Times New Roman"/>
          <w:sz w:val="24"/>
          <w:szCs w:val="24"/>
          <w:lang w:val="es-PE"/>
        </w:rPr>
        <w:t>, evitando prácticas que puedan interpretarse como intentos de influir de manera inadecuada en decisiones regulatorias en beneficio exclusivo de una empresa. La participación debe enmarcarse en mecanismos transparentes, respetando los procedimientos establecidos por el Estado, presentando información verificable y manteniendo un enfoque orientado al bien común. Esta forma de participación fortalece la legitimidad de las posiciones empresariales y evita percepciones de captura regulatoria o de injerencia indebida.</w:t>
      </w:r>
    </w:p>
    <w:p w14:paraId="064EF349"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Otro componente importante es la </w:t>
      </w:r>
      <w:r w:rsidRPr="00010B48">
        <w:rPr>
          <w:rFonts w:ascii="Helvetica" w:eastAsia="Times New Roman" w:hAnsi="Helvetica" w:cs="Times New Roman"/>
          <w:b/>
          <w:bCs/>
          <w:sz w:val="24"/>
          <w:szCs w:val="24"/>
          <w:lang w:val="es-PE"/>
        </w:rPr>
        <w:t>articulación con asociaciones y gremios del sector minero</w:t>
      </w:r>
      <w:r w:rsidRPr="00010B48">
        <w:rPr>
          <w:rFonts w:ascii="Helvetica" w:eastAsia="Times New Roman" w:hAnsi="Helvetica" w:cs="Times New Roman"/>
          <w:sz w:val="24"/>
          <w:szCs w:val="24"/>
          <w:lang w:val="es-PE"/>
        </w:rPr>
        <w:t>. La participación individual de una empresa puede resultar limitada frente a debates amplios sobre política pública; sin embargo, cuando varias compañías se agrupan bajo una misma asociación, pueden aportar propuestas consolidada y representativas que reflejen mejores prácticas sectoriales. Esta articulación debe mantener siempre una comunicación coherente, basada en evidencia y orientada a contribuir al avance del marco regulatorio, reconociendo la diversidad de realidades dentro del sector minero.</w:t>
      </w:r>
    </w:p>
    <w:p w14:paraId="1DD7F603"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interacción con autoridades también incluye </w:t>
      </w:r>
      <w:r w:rsidRPr="00010B48">
        <w:rPr>
          <w:rFonts w:ascii="Helvetica" w:eastAsia="Times New Roman" w:hAnsi="Helvetica" w:cs="Times New Roman"/>
          <w:b/>
          <w:bCs/>
          <w:sz w:val="24"/>
          <w:szCs w:val="24"/>
          <w:lang w:val="es-PE"/>
        </w:rPr>
        <w:t>la retroalimentación sobre la implementación y los efectos de las políticas vigentes</w:t>
      </w:r>
      <w:r w:rsidRPr="00010B48">
        <w:rPr>
          <w:rFonts w:ascii="Helvetica" w:eastAsia="Times New Roman" w:hAnsi="Helvetica" w:cs="Times New Roman"/>
          <w:sz w:val="24"/>
          <w:szCs w:val="24"/>
          <w:lang w:val="es-PE"/>
        </w:rPr>
        <w:t>. La empresa puede aportar información sobre cómo ciertas normas están funcionando en la práctica, evidenciar impactos no previstos o sugerir mecanismos de monitoreo y evaluación que mejoren la efectividad de la regulación. Esta retroalimentación contribuye a que las políticas públicas sean más adaptables, eficaces y alineadas con la realidad operativa sin perder de vista los objetivos de sostenibilidad, protección ambiental y justicia social.</w:t>
      </w:r>
    </w:p>
    <w:p w14:paraId="0105974D"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Finalmente, la participación en política pública minera forma parte de un </w:t>
      </w:r>
      <w:r w:rsidRPr="00010B48">
        <w:rPr>
          <w:rFonts w:ascii="Helvetica" w:eastAsia="Times New Roman" w:hAnsi="Helvetica" w:cs="Times New Roman"/>
          <w:b/>
          <w:bCs/>
          <w:sz w:val="24"/>
          <w:szCs w:val="24"/>
          <w:lang w:val="es-PE"/>
        </w:rPr>
        <w:t>diálogo permanente con el Estado y con la sociedad</w:t>
      </w:r>
      <w:r w:rsidRPr="00010B48">
        <w:rPr>
          <w:rFonts w:ascii="Helvetica" w:eastAsia="Times New Roman" w:hAnsi="Helvetica" w:cs="Times New Roman"/>
          <w:sz w:val="24"/>
          <w:szCs w:val="24"/>
          <w:lang w:val="es-PE"/>
        </w:rPr>
        <w:t>, que permite abordar desafíos estructurales como la formalización minera, la gestión de pasivos ambientales, la participación comunitaria en la toma de decisiones, la transparencia fiscal y la promoción de inversiones responsables. Cuando las empresas asumen un rol activo, informado y ético en estos procesos, no solo contribuyen al desarrollo de políticas públicas más robustas, sino que también fortalecen su reputación, su legitimidad y su capacidad de operar de manera sostenible dentro de un marco regulatorio dinámico y exigente.</w:t>
      </w:r>
    </w:p>
    <w:p w14:paraId="7769B2E2" w14:textId="77777777" w:rsidR="00010B48" w:rsidRPr="00010B48" w:rsidRDefault="00010B48" w:rsidP="00010B48">
      <w:pPr>
        <w:spacing w:before="100" w:beforeAutospacing="1" w:after="100" w:afterAutospacing="1" w:line="360" w:lineRule="auto"/>
        <w:rPr>
          <w:rFonts w:ascii="Helvetica" w:eastAsia="Times New Roman" w:hAnsi="Helvetica" w:cs="Times New Roman"/>
          <w:sz w:val="28"/>
          <w:szCs w:val="28"/>
          <w:lang w:val="es-PE"/>
        </w:rPr>
      </w:pPr>
      <w:r w:rsidRPr="00010B48">
        <w:rPr>
          <w:rFonts w:ascii="Helvetica" w:eastAsia="Times New Roman" w:hAnsi="Helvetica" w:cs="Times New Roman"/>
          <w:b/>
          <w:bCs/>
          <w:sz w:val="28"/>
          <w:szCs w:val="28"/>
          <w:lang w:val="es-PE"/>
        </w:rPr>
        <w:t>6.3. Transparencia y canon minero</w:t>
      </w:r>
    </w:p>
    <w:p w14:paraId="2D00775F"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w:t>
      </w:r>
      <w:r w:rsidRPr="00010B48">
        <w:rPr>
          <w:rFonts w:ascii="Helvetica" w:eastAsia="Times New Roman" w:hAnsi="Helvetica" w:cs="Times New Roman"/>
          <w:b/>
          <w:bCs/>
          <w:sz w:val="24"/>
          <w:szCs w:val="24"/>
          <w:lang w:val="es-PE"/>
        </w:rPr>
        <w:t>transparencia</w:t>
      </w:r>
      <w:r w:rsidRPr="00010B48">
        <w:rPr>
          <w:rFonts w:ascii="Helvetica" w:eastAsia="Times New Roman" w:hAnsi="Helvetica" w:cs="Times New Roman"/>
          <w:sz w:val="24"/>
          <w:szCs w:val="24"/>
          <w:lang w:val="es-PE"/>
        </w:rPr>
        <w:t xml:space="preserve"> y el </w:t>
      </w:r>
      <w:r w:rsidRPr="00010B48">
        <w:rPr>
          <w:rFonts w:ascii="Helvetica" w:eastAsia="Times New Roman" w:hAnsi="Helvetica" w:cs="Times New Roman"/>
          <w:b/>
          <w:bCs/>
          <w:sz w:val="24"/>
          <w:szCs w:val="24"/>
          <w:lang w:val="es-PE"/>
        </w:rPr>
        <w:t>canon minero</w:t>
      </w:r>
      <w:r w:rsidRPr="00010B48">
        <w:rPr>
          <w:rFonts w:ascii="Helvetica" w:eastAsia="Times New Roman" w:hAnsi="Helvetica" w:cs="Times New Roman"/>
          <w:sz w:val="24"/>
          <w:szCs w:val="24"/>
          <w:lang w:val="es-PE"/>
        </w:rPr>
        <w:t xml:space="preserve"> son dos conceptos estrechamente vinculados con la legitimidad, la confianza social y la sostenibilidad de la actividad minera en el Perú. Mientras que la transparencia refiere a la apertura, claridad y accesibilidad de la información relativa a la gestión, resultados y compromisos de una empresa o de un gobierno, el canon minero es el mecanismo mediante el cual parte de los ingresos generados por la explotación de recursos minerales se distribuye a favor de las regiones y localidades de donde provienen, con el objetivo de fomentar el desarrollo local y regional. La gestión comunicativa de estos procesos es clave para fortalecer la percepción pública, mejorar la gobernabilidad territorial y asegurar que los beneficios de la minería se traduzcan en impactos positivos y tangibles para las poblaciones afectadas.</w:t>
      </w:r>
    </w:p>
    <w:p w14:paraId="05F04750"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w:t>
      </w:r>
      <w:r w:rsidRPr="00010B48">
        <w:rPr>
          <w:rFonts w:ascii="Helvetica" w:eastAsia="Times New Roman" w:hAnsi="Helvetica" w:cs="Times New Roman"/>
          <w:b/>
          <w:bCs/>
          <w:sz w:val="24"/>
          <w:szCs w:val="24"/>
          <w:lang w:val="es-PE"/>
        </w:rPr>
        <w:t>transparencia en minería</w:t>
      </w:r>
      <w:r w:rsidRPr="00010B48">
        <w:rPr>
          <w:rFonts w:ascii="Helvetica" w:eastAsia="Times New Roman" w:hAnsi="Helvetica" w:cs="Times New Roman"/>
          <w:sz w:val="24"/>
          <w:szCs w:val="24"/>
          <w:lang w:val="es-PE"/>
        </w:rPr>
        <w:t xml:space="preserve"> implica comunicar de manera clara, veraz y oportuna información relevante sobre la operación, los impactos ambientales y sociales, la gestión de recursos económicos, los compromisos asumidos con comunidades y autoridades, y los resultados de cumplimiento legal y voluntario. Esta información debe ser presentada en formatos que sean comprensibles para audiencias diversas, incluyendo comunidades locales, autoridades, medios de comunicación, inversionistas y ciudadanos interesados. La transparencia no solo contribuye a reducir la desinformación y las percepciones de opacidad, sino que también fortalece la credibilidad de las empresas mineras y de las autoridades en su rol de supervisión y administración de los recursos públicos.</w:t>
      </w:r>
    </w:p>
    <w:p w14:paraId="6DEC8CB2"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En el Perú, la transparencia adquiere una dimensión adicional cuando se trata del </w:t>
      </w:r>
      <w:r w:rsidRPr="00010B48">
        <w:rPr>
          <w:rFonts w:ascii="Helvetica" w:eastAsia="Times New Roman" w:hAnsi="Helvetica" w:cs="Times New Roman"/>
          <w:b/>
          <w:bCs/>
          <w:sz w:val="24"/>
          <w:szCs w:val="24"/>
          <w:lang w:val="es-PE"/>
        </w:rPr>
        <w:t>manejo de los recursos generados por la minería</w:t>
      </w:r>
      <w:r w:rsidRPr="00010B48">
        <w:rPr>
          <w:rFonts w:ascii="Helvetica" w:eastAsia="Times New Roman" w:hAnsi="Helvetica" w:cs="Times New Roman"/>
          <w:sz w:val="24"/>
          <w:szCs w:val="24"/>
          <w:lang w:val="es-PE"/>
        </w:rPr>
        <w:t>, especialmente aquellos relacionados con el canon minero. El canon es una participación de los ingresos tributarios que el Estado destina a favor de los gobiernos regionales y locales en proporción a la producción minera de cada jurisdicción. Estos recursos están diseñados para financiar proyectos de inversión pública en sectores como educación, salud, infraestructura, agua y saneamiento, vivienda y proyectos productivos, contribuyendo así al desarrollo económico local y a la mejora de la calidad de vida de las poblaciones residentes en zonas mineras.</w:t>
      </w:r>
    </w:p>
    <w:p w14:paraId="26DE7131"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comunicación efectiva sobre el </w:t>
      </w:r>
      <w:r w:rsidRPr="00010B48">
        <w:rPr>
          <w:rFonts w:ascii="Helvetica" w:eastAsia="Times New Roman" w:hAnsi="Helvetica" w:cs="Times New Roman"/>
          <w:b/>
          <w:bCs/>
          <w:sz w:val="24"/>
          <w:szCs w:val="24"/>
          <w:lang w:val="es-PE"/>
        </w:rPr>
        <w:t>canon minero</w:t>
      </w:r>
      <w:r w:rsidRPr="00010B48">
        <w:rPr>
          <w:rFonts w:ascii="Helvetica" w:eastAsia="Times New Roman" w:hAnsi="Helvetica" w:cs="Times New Roman"/>
          <w:sz w:val="24"/>
          <w:szCs w:val="24"/>
          <w:lang w:val="es-PE"/>
        </w:rPr>
        <w:t xml:space="preserve"> requiere que las empresas, las autoridades nacionales, regionales y locales, y los actores sociales compartan información estructurada sobre cómo se calcula, cuánto se recauda, cómo se distribuye y en qué se invierte este recurso. Informar sobre estos aspectos permite que las comunidades comprendan mejor el flujo de recursos, identifiquen oportunidades de participación y evalúen la eficacia de los proyectos financiados. Asimismo, la comunicación transparente sobre el canon reduce sospechas de mal manejo o desvío de recursos, y promueve la percepción de que los beneficios económicos de la minería están siendo utilizados de manera responsable y orientados al bien común.</w:t>
      </w:r>
    </w:p>
    <w:p w14:paraId="3EA92743"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w:t>
      </w:r>
      <w:r w:rsidRPr="00010B48">
        <w:rPr>
          <w:rFonts w:ascii="Helvetica" w:eastAsia="Times New Roman" w:hAnsi="Helvetica" w:cs="Times New Roman"/>
          <w:b/>
          <w:bCs/>
          <w:sz w:val="24"/>
          <w:szCs w:val="24"/>
          <w:lang w:val="es-PE"/>
        </w:rPr>
        <w:t>rendición de cuentas</w:t>
      </w:r>
      <w:r w:rsidRPr="00010B48">
        <w:rPr>
          <w:rFonts w:ascii="Helvetica" w:eastAsia="Times New Roman" w:hAnsi="Helvetica" w:cs="Times New Roman"/>
          <w:sz w:val="24"/>
          <w:szCs w:val="24"/>
          <w:lang w:val="es-PE"/>
        </w:rPr>
        <w:t xml:space="preserve"> es un elemento fundamental dentro de este proceso. Las autoridades regionales y locales, así como las propias empresas cuando actúan como administradoras de fondos, deben publicar de forma periódica informes que detallen cómo se han utilizado los recursos del canon, qué proyectos se han ejecutado, cuáles han sido los avances y cuáles son las metas pendientes. Estos informes deben ser accesibles públicamente y presentados en un lenguaje claro y, de ser posible, acompañado de mecanismos visuales como gráficos o mapas que faciliten su comprensión. La rendición de cuentas no solo contribuye a fortalecer la transparencia, sino que también empodera a la ciudadanía para participar activamente en la supervisión y en la promoción de prioridades de desarrollo.</w:t>
      </w:r>
    </w:p>
    <w:p w14:paraId="7A541399"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Además, la </w:t>
      </w:r>
      <w:r w:rsidRPr="00010B48">
        <w:rPr>
          <w:rFonts w:ascii="Helvetica" w:eastAsia="Times New Roman" w:hAnsi="Helvetica" w:cs="Times New Roman"/>
          <w:b/>
          <w:bCs/>
          <w:sz w:val="24"/>
          <w:szCs w:val="24"/>
          <w:lang w:val="es-PE"/>
        </w:rPr>
        <w:t>participación ciudadana</w:t>
      </w:r>
      <w:r w:rsidRPr="00010B48">
        <w:rPr>
          <w:rFonts w:ascii="Helvetica" w:eastAsia="Times New Roman" w:hAnsi="Helvetica" w:cs="Times New Roman"/>
          <w:sz w:val="24"/>
          <w:szCs w:val="24"/>
          <w:lang w:val="es-PE"/>
        </w:rPr>
        <w:t xml:space="preserve"> es un componente clave para asegurar que la transparencia del canon minero tenga un efecto real en la gestión pública y social. Las comunidades, organizaciones sociales y autoridades locales deben tener espacios y mecanismos para expresar sus prioridades, evaluar los resultados de las inversiones financiadas con canon, y plantear propuestas que respondan a sus necesidades reales. La escucha activa y la respuesta oportuna por parte de los gobernantes y las empresas refuerzan la confianza, reducen riesgos de conflictos y promueven una gobernanza más inclusiva y participativa.</w:t>
      </w:r>
    </w:p>
    <w:p w14:paraId="0680C1C2"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La comunicación de estos procesos también debe considerar mecanismos que faciliten el acceso a la información en zonas rurales o con limitaciones tecnológicas. Por ejemplo, utilizar formatos impresos accesibles, reuniones comunitarias, radios locales, y otros medios que permitan a poblaciones con acceso limitado a internet o tecnologías digitales comprender y participar en la gestión del canon minero. Adaptar los canales de comunicación a las características culturales y tecnológicas de cada localidad es fundamental para que la transparencia no se quede en un discurso, sino que se traduzca en práctica efectiva.</w:t>
      </w:r>
    </w:p>
    <w:p w14:paraId="1495D59E"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Otro aspecto importante es la </w:t>
      </w:r>
      <w:r w:rsidRPr="00010B48">
        <w:rPr>
          <w:rFonts w:ascii="Helvetica" w:eastAsia="Times New Roman" w:hAnsi="Helvetica" w:cs="Times New Roman"/>
          <w:b/>
          <w:bCs/>
          <w:sz w:val="24"/>
          <w:szCs w:val="24"/>
          <w:lang w:val="es-PE"/>
        </w:rPr>
        <w:t>educación y capacitación de los actores locales</w:t>
      </w:r>
      <w:r w:rsidRPr="00010B48">
        <w:rPr>
          <w:rFonts w:ascii="Helvetica" w:eastAsia="Times New Roman" w:hAnsi="Helvetica" w:cs="Times New Roman"/>
          <w:sz w:val="24"/>
          <w:szCs w:val="24"/>
          <w:lang w:val="es-PE"/>
        </w:rPr>
        <w:t xml:space="preserve"> sobre temas de transparencia y canon minero. Capacitar a líderes comunitarios, representantes de organizaciones sociales y autoridades locales sobre cómo interpretar informes, cómo participar en procesos de planificación y seguimiento, y cómo fiscalizar la ejecución de los recursos fortalece la capacidad de la sociedad para exigir responsabilidades, formular propuestas y monitorear resultados.</w:t>
      </w:r>
    </w:p>
    <w:p w14:paraId="5330D355"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La comunicación estratégica de la transparencia y el canon minero también contribuye a mejorar </w:t>
      </w:r>
      <w:r w:rsidRPr="00010B48">
        <w:rPr>
          <w:rFonts w:ascii="Helvetica" w:eastAsia="Times New Roman" w:hAnsi="Helvetica" w:cs="Times New Roman"/>
          <w:b/>
          <w:bCs/>
          <w:sz w:val="24"/>
          <w:szCs w:val="24"/>
          <w:lang w:val="es-PE"/>
        </w:rPr>
        <w:t>la percepción de justicia distributiva</w:t>
      </w:r>
      <w:r w:rsidRPr="00010B48">
        <w:rPr>
          <w:rFonts w:ascii="Helvetica" w:eastAsia="Times New Roman" w:hAnsi="Helvetica" w:cs="Times New Roman"/>
          <w:sz w:val="24"/>
          <w:szCs w:val="24"/>
          <w:lang w:val="es-PE"/>
        </w:rPr>
        <w:t>, es decir, la percepción de que los recursos derivados de la explotación de recursos naturales se están utilizando de manera equitativa para beneficiar a quienes viven en las zonas de impacto. Una percepción positiva en este sentido reduce tensiones, fortalece la legitimidad de las instituciones y promueve un entorno más estable para las operaciones mineras y los proyectos de desarrollo.</w:t>
      </w:r>
    </w:p>
    <w:p w14:paraId="132841EB" w14:textId="77777777" w:rsidR="00010B48" w:rsidRPr="00010B48" w:rsidRDefault="00010B48" w:rsidP="00010B48">
      <w:pPr>
        <w:spacing w:before="100" w:beforeAutospacing="1" w:after="100" w:afterAutospacing="1" w:line="360" w:lineRule="auto"/>
        <w:ind w:firstLine="720"/>
        <w:rPr>
          <w:rFonts w:ascii="Helvetica" w:eastAsia="Times New Roman" w:hAnsi="Helvetica" w:cs="Times New Roman"/>
          <w:sz w:val="24"/>
          <w:szCs w:val="24"/>
          <w:lang w:val="es-PE"/>
        </w:rPr>
      </w:pPr>
      <w:r w:rsidRPr="00010B48">
        <w:rPr>
          <w:rFonts w:ascii="Helvetica" w:eastAsia="Times New Roman" w:hAnsi="Helvetica" w:cs="Times New Roman"/>
          <w:sz w:val="24"/>
          <w:szCs w:val="24"/>
          <w:lang w:val="es-PE"/>
        </w:rPr>
        <w:t xml:space="preserve">Finalmente, la gestión comunicativa del canon minero y de los procesos de transparencia forma parte de un </w:t>
      </w:r>
      <w:r w:rsidRPr="00010B48">
        <w:rPr>
          <w:rFonts w:ascii="Helvetica" w:eastAsia="Times New Roman" w:hAnsi="Helvetica" w:cs="Times New Roman"/>
          <w:b/>
          <w:bCs/>
          <w:sz w:val="24"/>
          <w:szCs w:val="24"/>
          <w:lang w:val="es-PE"/>
        </w:rPr>
        <w:t>compromiso con la sostenibilidad</w:t>
      </w:r>
      <w:r w:rsidRPr="00010B48">
        <w:rPr>
          <w:rFonts w:ascii="Helvetica" w:eastAsia="Times New Roman" w:hAnsi="Helvetica" w:cs="Times New Roman"/>
          <w:sz w:val="24"/>
          <w:szCs w:val="24"/>
          <w:lang w:val="es-PE"/>
        </w:rPr>
        <w:t>, porque asegura que la minería no sea percibida únicamente como una actividad extractiva que explota recursos, sino como una actividad que promueve el desarrollo integral, la mejora de servicios públicos, la creación de oportunidades económicas y la construcción de relaciones más equitativas entre empresas, autoridades y comunidades. En este sentido, una comunicación clara, abierta y continua sobre transparencia y canon minero es una herramienta poderosa para fortalecer la gobernabilidad, promover la confianza y asegurar que los beneficios de la minería se traduzcan en mejoras tangibles y sostenibles para la sociedad.</w:t>
      </w:r>
    </w:p>
    <w:p w14:paraId="1AE9F478" w14:textId="77777777" w:rsidR="00BD013A" w:rsidRPr="00BD013A" w:rsidRDefault="00BD013A" w:rsidP="00BD013A">
      <w:pPr>
        <w:spacing w:before="100" w:beforeAutospacing="1" w:after="100" w:afterAutospacing="1" w:line="360" w:lineRule="auto"/>
        <w:rPr>
          <w:rFonts w:ascii="Helvetica" w:eastAsia="Times New Roman" w:hAnsi="Helvetica" w:cs="Times New Roman"/>
          <w:sz w:val="28"/>
          <w:szCs w:val="28"/>
          <w:lang w:val="es-PE"/>
        </w:rPr>
      </w:pPr>
      <w:r w:rsidRPr="00BD013A">
        <w:rPr>
          <w:rFonts w:ascii="Helvetica" w:eastAsia="Times New Roman" w:hAnsi="Helvetica" w:cs="Times New Roman"/>
          <w:b/>
          <w:bCs/>
          <w:sz w:val="28"/>
          <w:szCs w:val="28"/>
          <w:lang w:val="es-PE"/>
        </w:rPr>
        <w:t xml:space="preserve">6.4. </w:t>
      </w:r>
      <w:proofErr w:type="spellStart"/>
      <w:r w:rsidRPr="00BD013A">
        <w:rPr>
          <w:rFonts w:ascii="Helvetica" w:eastAsia="Times New Roman" w:hAnsi="Helvetica" w:cs="Times New Roman"/>
          <w:b/>
          <w:bCs/>
          <w:sz w:val="28"/>
          <w:szCs w:val="28"/>
          <w:lang w:val="es-PE"/>
        </w:rPr>
        <w:t>Compliance</w:t>
      </w:r>
      <w:proofErr w:type="spellEnd"/>
      <w:r w:rsidRPr="00BD013A">
        <w:rPr>
          <w:rFonts w:ascii="Helvetica" w:eastAsia="Times New Roman" w:hAnsi="Helvetica" w:cs="Times New Roman"/>
          <w:b/>
          <w:bCs/>
          <w:sz w:val="28"/>
          <w:szCs w:val="28"/>
          <w:lang w:val="es-PE"/>
        </w:rPr>
        <w:t xml:space="preserve"> y gobierno corporativo</w:t>
      </w:r>
    </w:p>
    <w:p w14:paraId="1C54564B" w14:textId="77777777"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El </w:t>
      </w:r>
      <w:proofErr w:type="spellStart"/>
      <w:r w:rsidRPr="00BD013A">
        <w:rPr>
          <w:rFonts w:ascii="Helvetica" w:eastAsia="Times New Roman" w:hAnsi="Helvetica" w:cs="Times New Roman"/>
          <w:b/>
          <w:bCs/>
          <w:sz w:val="24"/>
          <w:szCs w:val="24"/>
          <w:lang w:val="es-PE"/>
        </w:rPr>
        <w:t>compliance</w:t>
      </w:r>
      <w:proofErr w:type="spellEnd"/>
      <w:r w:rsidRPr="00BD013A">
        <w:rPr>
          <w:rFonts w:ascii="Helvetica" w:eastAsia="Times New Roman" w:hAnsi="Helvetica" w:cs="Times New Roman"/>
          <w:b/>
          <w:bCs/>
          <w:sz w:val="24"/>
          <w:szCs w:val="24"/>
          <w:lang w:val="es-PE"/>
        </w:rPr>
        <w:t xml:space="preserve"> y el gobierno corporativo</w:t>
      </w:r>
      <w:r w:rsidRPr="00BD013A">
        <w:rPr>
          <w:rFonts w:ascii="Helvetica" w:eastAsia="Times New Roman" w:hAnsi="Helvetica" w:cs="Times New Roman"/>
          <w:sz w:val="24"/>
          <w:szCs w:val="24"/>
          <w:lang w:val="es-PE"/>
        </w:rPr>
        <w:t xml:space="preserve"> son componentes integrales de la gestión empresarial moderna y, en el sector minero, se han convertido en pilares sobre los cuales se sustenta la </w:t>
      </w:r>
      <w:r w:rsidRPr="00BD013A">
        <w:rPr>
          <w:rFonts w:ascii="Helvetica" w:eastAsia="Times New Roman" w:hAnsi="Helvetica" w:cs="Times New Roman"/>
          <w:b/>
          <w:bCs/>
          <w:sz w:val="24"/>
          <w:szCs w:val="24"/>
          <w:lang w:val="es-PE"/>
        </w:rPr>
        <w:t>confianza, la sostenibilidad y la legitimidad</w:t>
      </w:r>
      <w:r w:rsidRPr="00BD013A">
        <w:rPr>
          <w:rFonts w:ascii="Helvetica" w:eastAsia="Times New Roman" w:hAnsi="Helvetica" w:cs="Times New Roman"/>
          <w:sz w:val="24"/>
          <w:szCs w:val="24"/>
          <w:lang w:val="es-PE"/>
        </w:rPr>
        <w:t xml:space="preserve"> de las operaciones. Ambos conceptos están orientados a asegurar que las actividades de la empresa se desarrollen dentro de un marco ético, legal y transparente, reduciendo riesgos de conducta indebida, fortaleciendo el cumplimiento de normas, salvaguardando los intereses de los distintos públicos y promoviendo altos estándares de responsabilidad empresarial.</w:t>
      </w:r>
    </w:p>
    <w:p w14:paraId="6A7F45A6" w14:textId="4F9D2DDE"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El término </w:t>
      </w:r>
      <w:proofErr w:type="spellStart"/>
      <w:r w:rsidRPr="00BD013A">
        <w:rPr>
          <w:rFonts w:ascii="Helvetica" w:eastAsia="Times New Roman" w:hAnsi="Helvetica" w:cs="Times New Roman"/>
          <w:b/>
          <w:bCs/>
          <w:sz w:val="24"/>
          <w:szCs w:val="24"/>
          <w:lang w:val="es-PE"/>
        </w:rPr>
        <w:t>compliance</w:t>
      </w:r>
      <w:proofErr w:type="spellEnd"/>
      <w:r w:rsidRPr="00BD013A">
        <w:rPr>
          <w:rFonts w:ascii="Helvetica" w:eastAsia="Times New Roman" w:hAnsi="Helvetica" w:cs="Times New Roman"/>
          <w:sz w:val="24"/>
          <w:szCs w:val="24"/>
          <w:lang w:val="es-PE"/>
        </w:rPr>
        <w:t xml:space="preserve"> o cumplimiento normativo se refiere al conjunto de políticas, procedimientos y controles internos que una organización implementa para asegurar que sus operaciones cumplen con las leyes, regulaciones, estándares voluntarios y códigos de conducta internos. En minería, esto incluye aspectos como el cumplimiento de las normas ambientales, laborales, de seguridad, tributarias, de transparencia, anticorrupción y de relaciones con comunidades. La función de </w:t>
      </w:r>
      <w:proofErr w:type="spellStart"/>
      <w:r w:rsidRPr="00BD013A">
        <w:rPr>
          <w:rFonts w:ascii="Helvetica" w:eastAsia="Times New Roman" w:hAnsi="Helvetica" w:cs="Times New Roman"/>
          <w:sz w:val="24"/>
          <w:szCs w:val="24"/>
          <w:lang w:val="es-PE"/>
        </w:rPr>
        <w:t>compliance</w:t>
      </w:r>
      <w:proofErr w:type="spellEnd"/>
      <w:r w:rsidRPr="00BD013A">
        <w:rPr>
          <w:rFonts w:ascii="Helvetica" w:eastAsia="Times New Roman" w:hAnsi="Helvetica" w:cs="Times New Roman"/>
          <w:sz w:val="24"/>
          <w:szCs w:val="24"/>
          <w:lang w:val="es-PE"/>
        </w:rPr>
        <w:t xml:space="preserve"> no se limita a evitar sanciones legales, sino que busca crear una cultura ética dentro de la empresa, donde cada colaborador comprenda cuáles son los comportamientos esperados y las consecuencias de actuar de manera contraria a los principios corporativos.</w:t>
      </w:r>
    </w:p>
    <w:p w14:paraId="2F9FD94E" w14:textId="77777777"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Un sistema de </w:t>
      </w:r>
      <w:proofErr w:type="spellStart"/>
      <w:r w:rsidRPr="00BD013A">
        <w:rPr>
          <w:rFonts w:ascii="Helvetica" w:eastAsia="Times New Roman" w:hAnsi="Helvetica" w:cs="Times New Roman"/>
          <w:sz w:val="24"/>
          <w:szCs w:val="24"/>
          <w:lang w:val="es-PE"/>
        </w:rPr>
        <w:t>compliance</w:t>
      </w:r>
      <w:proofErr w:type="spellEnd"/>
      <w:r w:rsidRPr="00BD013A">
        <w:rPr>
          <w:rFonts w:ascii="Helvetica" w:eastAsia="Times New Roman" w:hAnsi="Helvetica" w:cs="Times New Roman"/>
          <w:sz w:val="24"/>
          <w:szCs w:val="24"/>
          <w:lang w:val="es-PE"/>
        </w:rPr>
        <w:t xml:space="preserve"> efectivo en una empresa minera incluye diversas </w:t>
      </w:r>
      <w:r w:rsidRPr="00BD013A">
        <w:rPr>
          <w:rFonts w:ascii="Helvetica" w:eastAsia="Times New Roman" w:hAnsi="Helvetica" w:cs="Times New Roman"/>
          <w:b/>
          <w:bCs/>
          <w:sz w:val="24"/>
          <w:szCs w:val="24"/>
          <w:lang w:val="es-PE"/>
        </w:rPr>
        <w:t>herramientas de gestión</w:t>
      </w:r>
      <w:r w:rsidRPr="00BD013A">
        <w:rPr>
          <w:rFonts w:ascii="Helvetica" w:eastAsia="Times New Roman" w:hAnsi="Helvetica" w:cs="Times New Roman"/>
          <w:sz w:val="24"/>
          <w:szCs w:val="24"/>
          <w:lang w:val="es-PE"/>
        </w:rPr>
        <w:t>, tales como códigos de ética, políticas internas claras, manuales de procedimiento, capacitaciones periódicas para el personal, mecanismos de reporte confidencial de conductas indebidas (por ejemplo, buzones o líneas éticas), sistemas de auditoría interna y procesos de evaluación de riesgos. Estas herramientas permiten no solo cumplir con la normatividad vigente sino también anticipar posibles conflictos o situaciones de riesgo, adoptar medidas preventivas y demostrar a los públicos de interés que la empresa actúa con integridad y responsabilidad.</w:t>
      </w:r>
    </w:p>
    <w:p w14:paraId="226063AC" w14:textId="77777777"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El </w:t>
      </w:r>
      <w:r w:rsidRPr="00BD013A">
        <w:rPr>
          <w:rFonts w:ascii="Helvetica" w:eastAsia="Times New Roman" w:hAnsi="Helvetica" w:cs="Times New Roman"/>
          <w:b/>
          <w:bCs/>
          <w:sz w:val="24"/>
          <w:szCs w:val="24"/>
          <w:lang w:val="es-PE"/>
        </w:rPr>
        <w:t>gobierno corporativo</w:t>
      </w:r>
      <w:r w:rsidRPr="00BD013A">
        <w:rPr>
          <w:rFonts w:ascii="Helvetica" w:eastAsia="Times New Roman" w:hAnsi="Helvetica" w:cs="Times New Roman"/>
          <w:sz w:val="24"/>
          <w:szCs w:val="24"/>
          <w:lang w:val="es-PE"/>
        </w:rPr>
        <w:t>, por su parte, hace referencia a la forma en que se estructuran los órganos de dirección de una empresa, las relaciones entre la junta directiva, la alta dirección y los accionistas, así como los mecanismos que aseguran la transparencia, la rendición de cuentas y la toma de decisiones responsable. Un buen gobierno corporativo establece claridades sobre roles, funciones y responsabilidades, definiendo cómo se toman, supervisan y evalúan las decisiones estratégicas. En minería, donde las inversiones son de largo plazo, los proyectos son complejos y los impactos pueden ser significativos, un gobierno corporativo sólido asegura que las decisiones se adopten con una visión equilibrada, basada en datos, en ética y en alineación con los valores institucionales.</w:t>
      </w:r>
    </w:p>
    <w:p w14:paraId="66DC8B42" w14:textId="77777777"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Uno de los principios clave tanto del </w:t>
      </w:r>
      <w:proofErr w:type="spellStart"/>
      <w:r w:rsidRPr="00BD013A">
        <w:rPr>
          <w:rFonts w:ascii="Helvetica" w:eastAsia="Times New Roman" w:hAnsi="Helvetica" w:cs="Times New Roman"/>
          <w:sz w:val="24"/>
          <w:szCs w:val="24"/>
          <w:lang w:val="es-PE"/>
        </w:rPr>
        <w:t>compliance</w:t>
      </w:r>
      <w:proofErr w:type="spellEnd"/>
      <w:r w:rsidRPr="00BD013A">
        <w:rPr>
          <w:rFonts w:ascii="Helvetica" w:eastAsia="Times New Roman" w:hAnsi="Helvetica" w:cs="Times New Roman"/>
          <w:sz w:val="24"/>
          <w:szCs w:val="24"/>
          <w:lang w:val="es-PE"/>
        </w:rPr>
        <w:t xml:space="preserve"> como del gobierno corporativo es la </w:t>
      </w:r>
      <w:r w:rsidRPr="00BD013A">
        <w:rPr>
          <w:rFonts w:ascii="Helvetica" w:eastAsia="Times New Roman" w:hAnsi="Helvetica" w:cs="Times New Roman"/>
          <w:b/>
          <w:bCs/>
          <w:sz w:val="24"/>
          <w:szCs w:val="24"/>
          <w:lang w:val="es-PE"/>
        </w:rPr>
        <w:t>transparencia</w:t>
      </w:r>
      <w:r w:rsidRPr="00BD013A">
        <w:rPr>
          <w:rFonts w:ascii="Helvetica" w:eastAsia="Times New Roman" w:hAnsi="Helvetica" w:cs="Times New Roman"/>
          <w:sz w:val="24"/>
          <w:szCs w:val="24"/>
          <w:lang w:val="es-PE"/>
        </w:rPr>
        <w:t xml:space="preserve"> en la gestión. La transparencia implica comunicar de manera oportuna, veraz y accesible información relevante sobre los aspectos financieros, operativos, ambientales y sociales de la empresa. Esto se traduce en la publicación de informes de sostenibilidad, reportes financieros auditados, políticas anticorrupción y mecanismos claros de gestión de riesgos. La transparencia no solo fortalece la confianza de los inversionistas y las autoridades, sino también de las comunidades y la sociedad en general, quienes esperan que la empresa minera actúe con responsabilidad y coherencia entre lo que dice y lo que hace.</w:t>
      </w:r>
    </w:p>
    <w:p w14:paraId="35D751A6" w14:textId="77777777"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La </w:t>
      </w:r>
      <w:r w:rsidRPr="00BD013A">
        <w:rPr>
          <w:rFonts w:ascii="Helvetica" w:eastAsia="Times New Roman" w:hAnsi="Helvetica" w:cs="Times New Roman"/>
          <w:b/>
          <w:bCs/>
          <w:sz w:val="24"/>
          <w:szCs w:val="24"/>
          <w:lang w:val="es-PE"/>
        </w:rPr>
        <w:t>ética empresarial</w:t>
      </w:r>
      <w:r w:rsidRPr="00BD013A">
        <w:rPr>
          <w:rFonts w:ascii="Helvetica" w:eastAsia="Times New Roman" w:hAnsi="Helvetica" w:cs="Times New Roman"/>
          <w:sz w:val="24"/>
          <w:szCs w:val="24"/>
          <w:lang w:val="es-PE"/>
        </w:rPr>
        <w:t xml:space="preserve"> es otro componente esencial. Esta se refiere a los valores que guían las decisiones y comportamientos de la organización y de sus colaboradores. Un marco ético robusto establece normas de conducta que van más allá del cumplimiento legal, promoviendo acciones que favorezcan el respeto de los derechos humanos, la equidad, la no discriminación, la lucha contra la corrupción, la calidad de vida de los trabajadores y el respeto por el entorno. La ética se manifiesta en la cultura organizacional, en la conducta de los líderes y en la forma en que la empresa responde ante situaciones complejas o dilemas morales.</w:t>
      </w:r>
    </w:p>
    <w:p w14:paraId="20640BA6" w14:textId="77777777"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La implementación de </w:t>
      </w:r>
      <w:proofErr w:type="spellStart"/>
      <w:r w:rsidRPr="00BD013A">
        <w:rPr>
          <w:rFonts w:ascii="Helvetica" w:eastAsia="Times New Roman" w:hAnsi="Helvetica" w:cs="Times New Roman"/>
          <w:sz w:val="24"/>
          <w:szCs w:val="24"/>
          <w:lang w:val="es-PE"/>
        </w:rPr>
        <w:t>compliance</w:t>
      </w:r>
      <w:proofErr w:type="spellEnd"/>
      <w:r w:rsidRPr="00BD013A">
        <w:rPr>
          <w:rFonts w:ascii="Helvetica" w:eastAsia="Times New Roman" w:hAnsi="Helvetica" w:cs="Times New Roman"/>
          <w:sz w:val="24"/>
          <w:szCs w:val="24"/>
          <w:lang w:val="es-PE"/>
        </w:rPr>
        <w:t xml:space="preserve"> y gobierno corporativo en minería también responde a </w:t>
      </w:r>
      <w:r w:rsidRPr="00BD013A">
        <w:rPr>
          <w:rFonts w:ascii="Helvetica" w:eastAsia="Times New Roman" w:hAnsi="Helvetica" w:cs="Times New Roman"/>
          <w:b/>
          <w:bCs/>
          <w:sz w:val="24"/>
          <w:szCs w:val="24"/>
          <w:lang w:val="es-PE"/>
        </w:rPr>
        <w:t>exigencias de los mercados internacionales y de inversionistas</w:t>
      </w:r>
      <w:r w:rsidRPr="00BD013A">
        <w:rPr>
          <w:rFonts w:ascii="Helvetica" w:eastAsia="Times New Roman" w:hAnsi="Helvetica" w:cs="Times New Roman"/>
          <w:sz w:val="24"/>
          <w:szCs w:val="24"/>
          <w:lang w:val="es-PE"/>
        </w:rPr>
        <w:t xml:space="preserve">. Cada vez más, los fondos de inversión, agencias calificadoras y mercados financieros consideran criterios ambientales, sociales y de gobernanza (ESG) como parte de sus decisiones de financiamiento. Empresas que demuestran un sólido gobierno corporativo y sistemas de </w:t>
      </w:r>
      <w:proofErr w:type="spellStart"/>
      <w:r w:rsidRPr="00BD013A">
        <w:rPr>
          <w:rFonts w:ascii="Helvetica" w:eastAsia="Times New Roman" w:hAnsi="Helvetica" w:cs="Times New Roman"/>
          <w:sz w:val="24"/>
          <w:szCs w:val="24"/>
          <w:lang w:val="es-PE"/>
        </w:rPr>
        <w:t>compliance</w:t>
      </w:r>
      <w:proofErr w:type="spellEnd"/>
      <w:r w:rsidRPr="00BD013A">
        <w:rPr>
          <w:rFonts w:ascii="Helvetica" w:eastAsia="Times New Roman" w:hAnsi="Helvetica" w:cs="Times New Roman"/>
          <w:sz w:val="24"/>
          <w:szCs w:val="24"/>
          <w:lang w:val="es-PE"/>
        </w:rPr>
        <w:t xml:space="preserve"> eficaces son percibidas como menos riesgosas y más confiables, lo cual puede traducirse en mejores condiciones de acceso a capital, mayor interés de inversionistas y mayor competitividad en mercados globales.</w:t>
      </w:r>
    </w:p>
    <w:p w14:paraId="391F9794" w14:textId="77777777"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Otro aspecto relevante es la </w:t>
      </w:r>
      <w:r w:rsidRPr="00BD013A">
        <w:rPr>
          <w:rFonts w:ascii="Helvetica" w:eastAsia="Times New Roman" w:hAnsi="Helvetica" w:cs="Times New Roman"/>
          <w:b/>
          <w:bCs/>
          <w:sz w:val="24"/>
          <w:szCs w:val="24"/>
          <w:lang w:val="es-PE"/>
        </w:rPr>
        <w:t>prevención de la corrupción y prácticas indebidas</w:t>
      </w:r>
      <w:r w:rsidRPr="00BD013A">
        <w:rPr>
          <w:rFonts w:ascii="Helvetica" w:eastAsia="Times New Roman" w:hAnsi="Helvetica" w:cs="Times New Roman"/>
          <w:sz w:val="24"/>
          <w:szCs w:val="24"/>
          <w:lang w:val="es-PE"/>
        </w:rPr>
        <w:t>. Dado que la minería moviliza recursos significativos y opera en entornos donde las interacciones con autoridades, contratistas y proveedores son frecuentes, es fundamental contar con normas estrictas de conducta que prohíban prácticas como sobornos, conflictos de interés, trato preferencial o manejo irregular de recursos. Las políticas anticorrupción deben estar claramente establecidas, difundidas entre todos los niveles de la organización y acompañadas por mecanismos eficaces de supervisión y sanción para quienes incumplan las normas.</w:t>
      </w:r>
    </w:p>
    <w:p w14:paraId="0C06CC0E" w14:textId="77777777"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La comunicación corporativa juega un rol clave en todos estos procesos, ya que </w:t>
      </w:r>
      <w:r w:rsidRPr="00BD013A">
        <w:rPr>
          <w:rFonts w:ascii="Helvetica" w:eastAsia="Times New Roman" w:hAnsi="Helvetica" w:cs="Times New Roman"/>
          <w:b/>
          <w:bCs/>
          <w:sz w:val="24"/>
          <w:szCs w:val="24"/>
          <w:lang w:val="es-PE"/>
        </w:rPr>
        <w:t>articula la forma en que la empresa comunica sus compromisos, avances y mecanismos de control</w:t>
      </w:r>
      <w:r w:rsidRPr="00BD013A">
        <w:rPr>
          <w:rFonts w:ascii="Helvetica" w:eastAsia="Times New Roman" w:hAnsi="Helvetica" w:cs="Times New Roman"/>
          <w:sz w:val="24"/>
          <w:szCs w:val="24"/>
          <w:lang w:val="es-PE"/>
        </w:rPr>
        <w:t xml:space="preserve"> a los públicos internos y externos. Esto incluye la divulgación de políticas de </w:t>
      </w:r>
      <w:proofErr w:type="spellStart"/>
      <w:r w:rsidRPr="00BD013A">
        <w:rPr>
          <w:rFonts w:ascii="Helvetica" w:eastAsia="Times New Roman" w:hAnsi="Helvetica" w:cs="Times New Roman"/>
          <w:sz w:val="24"/>
          <w:szCs w:val="24"/>
          <w:lang w:val="es-PE"/>
        </w:rPr>
        <w:t>compliance</w:t>
      </w:r>
      <w:proofErr w:type="spellEnd"/>
      <w:r w:rsidRPr="00BD013A">
        <w:rPr>
          <w:rFonts w:ascii="Helvetica" w:eastAsia="Times New Roman" w:hAnsi="Helvetica" w:cs="Times New Roman"/>
          <w:sz w:val="24"/>
          <w:szCs w:val="24"/>
          <w:lang w:val="es-PE"/>
        </w:rPr>
        <w:t>, estructuras de gobierno, mecanismos de denuncia, resultados de auditorías internas y externas, y acciones correctivas adoptadas. Comunicar de forma transparente y consistente fortalece la percepción de que la empresa no solo tiene sistemas internos, sino que los aplica con rigor y responsabilidad.</w:t>
      </w:r>
    </w:p>
    <w:p w14:paraId="7BCEECE7" w14:textId="77777777"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Además, el gobierno corporativo robusto facilita la </w:t>
      </w:r>
      <w:r w:rsidRPr="00BD013A">
        <w:rPr>
          <w:rFonts w:ascii="Helvetica" w:eastAsia="Times New Roman" w:hAnsi="Helvetica" w:cs="Times New Roman"/>
          <w:b/>
          <w:bCs/>
          <w:sz w:val="24"/>
          <w:szCs w:val="24"/>
          <w:lang w:val="es-PE"/>
        </w:rPr>
        <w:t>toma de decisiones informada</w:t>
      </w:r>
      <w:r w:rsidRPr="00BD013A">
        <w:rPr>
          <w:rFonts w:ascii="Helvetica" w:eastAsia="Times New Roman" w:hAnsi="Helvetica" w:cs="Times New Roman"/>
          <w:sz w:val="24"/>
          <w:szCs w:val="24"/>
          <w:lang w:val="es-PE"/>
        </w:rPr>
        <w:t>, ya que integra criterios de sostenibilidad, gestión de riesgos y respeto por los intereses de múltiples públicos. Las juntas directivas y comités especializados, como los de auditoría y de sostenibilidad, desempeñan un papel central en garantizar que las decisiones estratégicas se adopten con una perspectiva integral, considerando no solo los aspectos económicos, sino también los impactos ambientales, sociales y de reputación.</w:t>
      </w:r>
    </w:p>
    <w:p w14:paraId="4C63667C" w14:textId="77777777" w:rsidR="00BD013A" w:rsidRPr="00BD013A" w:rsidRDefault="00BD013A" w:rsidP="00BD013A">
      <w:pPr>
        <w:spacing w:before="100" w:beforeAutospacing="1" w:after="100" w:afterAutospacing="1" w:line="360" w:lineRule="auto"/>
        <w:ind w:firstLine="720"/>
        <w:rPr>
          <w:rFonts w:ascii="Helvetica" w:eastAsia="Times New Roman" w:hAnsi="Helvetica" w:cs="Times New Roman"/>
          <w:sz w:val="24"/>
          <w:szCs w:val="24"/>
          <w:lang w:val="es-PE"/>
        </w:rPr>
      </w:pPr>
      <w:r w:rsidRPr="00BD013A">
        <w:rPr>
          <w:rFonts w:ascii="Helvetica" w:eastAsia="Times New Roman" w:hAnsi="Helvetica" w:cs="Times New Roman"/>
          <w:sz w:val="24"/>
          <w:szCs w:val="24"/>
          <w:lang w:val="es-PE"/>
        </w:rPr>
        <w:t xml:space="preserve">Finalmente, la implementación y fortalecimiento de programas de </w:t>
      </w:r>
      <w:proofErr w:type="spellStart"/>
      <w:r w:rsidRPr="00BD013A">
        <w:rPr>
          <w:rFonts w:ascii="Helvetica" w:eastAsia="Times New Roman" w:hAnsi="Helvetica" w:cs="Times New Roman"/>
          <w:sz w:val="24"/>
          <w:szCs w:val="24"/>
          <w:lang w:val="es-PE"/>
        </w:rPr>
        <w:t>compliance</w:t>
      </w:r>
      <w:proofErr w:type="spellEnd"/>
      <w:r w:rsidRPr="00BD013A">
        <w:rPr>
          <w:rFonts w:ascii="Helvetica" w:eastAsia="Times New Roman" w:hAnsi="Helvetica" w:cs="Times New Roman"/>
          <w:sz w:val="24"/>
          <w:szCs w:val="24"/>
          <w:lang w:val="es-PE"/>
        </w:rPr>
        <w:t xml:space="preserve"> y gobierno corporativo </w:t>
      </w:r>
      <w:r w:rsidRPr="00BD013A">
        <w:rPr>
          <w:rFonts w:ascii="Helvetica" w:eastAsia="Times New Roman" w:hAnsi="Helvetica" w:cs="Times New Roman"/>
          <w:b/>
          <w:bCs/>
          <w:sz w:val="24"/>
          <w:szCs w:val="24"/>
          <w:lang w:val="es-PE"/>
        </w:rPr>
        <w:t>contribuyen a la sostenibilidad a largo plazo</w:t>
      </w:r>
      <w:r w:rsidRPr="00BD013A">
        <w:rPr>
          <w:rFonts w:ascii="Helvetica" w:eastAsia="Times New Roman" w:hAnsi="Helvetica" w:cs="Times New Roman"/>
          <w:sz w:val="24"/>
          <w:szCs w:val="24"/>
          <w:lang w:val="es-PE"/>
        </w:rPr>
        <w:t xml:space="preserve"> de la empresa minera. Empresas que actúan con integridad, que establecen estructuras de control robustas, que comunican de manera clara y que respetan principios éticos, no solo reducen riesgos legales y operativos, sino que también generan relaciones de confianza con autoridades, comunidades, inversionistas y otros grupos de interés. Esta confianza se traduce en mayor legitimidad para operar, mayor estabilidad en su entorno y una mejor capacidad para enfrentar desafíos presentes y futuros en un contexto global cada vez más exigente en materia de responsabilidad empresarial.</w:t>
      </w:r>
    </w:p>
    <w:p w14:paraId="53C6944C" w14:textId="7CA467FA" w:rsidR="00265352" w:rsidRPr="00010B48" w:rsidRDefault="00265352" w:rsidP="00010B48">
      <w:pPr>
        <w:pStyle w:val="NormalWeb"/>
        <w:rPr>
          <w:rFonts w:ascii="Arial" w:hAnsi="Arial" w:cs="Arial"/>
          <w:lang w:val="es-PE"/>
        </w:rPr>
      </w:pPr>
    </w:p>
    <w:p w14:paraId="589E9C2A" w14:textId="57D9EC25" w:rsidR="00265352" w:rsidRDefault="00265352" w:rsidP="009F652E">
      <w:pPr>
        <w:pStyle w:val="NormalWeb"/>
        <w:ind w:firstLine="720"/>
        <w:rPr>
          <w:rFonts w:ascii="Arial" w:hAnsi="Arial" w:cs="Arial"/>
          <w:lang w:val="es-PE"/>
        </w:rPr>
      </w:pPr>
    </w:p>
    <w:p w14:paraId="5E452F11" w14:textId="1F2B8109" w:rsidR="00265352" w:rsidRDefault="00265352" w:rsidP="009F652E">
      <w:pPr>
        <w:pStyle w:val="NormalWeb"/>
        <w:ind w:firstLine="720"/>
        <w:rPr>
          <w:rFonts w:ascii="Arial" w:hAnsi="Arial" w:cs="Arial"/>
          <w:lang w:val="es-PE"/>
        </w:rPr>
      </w:pPr>
    </w:p>
    <w:p w14:paraId="6301F249" w14:textId="5CB8C750" w:rsidR="00265352" w:rsidRDefault="00265352" w:rsidP="009F652E">
      <w:pPr>
        <w:pStyle w:val="NormalWeb"/>
        <w:ind w:firstLine="720"/>
        <w:rPr>
          <w:rFonts w:ascii="Arial" w:hAnsi="Arial" w:cs="Arial"/>
          <w:lang w:val="es-PE"/>
        </w:rPr>
      </w:pPr>
    </w:p>
    <w:p w14:paraId="37C33E60" w14:textId="583CBB72" w:rsidR="00265352" w:rsidRDefault="00265352" w:rsidP="009F652E">
      <w:pPr>
        <w:pStyle w:val="NormalWeb"/>
        <w:ind w:firstLine="720"/>
        <w:rPr>
          <w:rFonts w:ascii="Arial" w:hAnsi="Arial" w:cs="Arial"/>
          <w:lang w:val="es-PE"/>
        </w:rPr>
      </w:pPr>
    </w:p>
    <w:p w14:paraId="2CEFE4B3" w14:textId="0A256A2B" w:rsidR="00265352" w:rsidRDefault="00265352" w:rsidP="009F652E">
      <w:pPr>
        <w:pStyle w:val="NormalWeb"/>
        <w:ind w:firstLine="720"/>
        <w:rPr>
          <w:rFonts w:ascii="Arial" w:hAnsi="Arial" w:cs="Arial"/>
          <w:lang w:val="es-PE"/>
        </w:rPr>
      </w:pPr>
    </w:p>
    <w:p w14:paraId="58669D81" w14:textId="73B54C4E" w:rsidR="00265352" w:rsidRDefault="00265352" w:rsidP="009F652E">
      <w:pPr>
        <w:pStyle w:val="NormalWeb"/>
        <w:ind w:firstLine="720"/>
        <w:rPr>
          <w:rFonts w:ascii="Arial" w:hAnsi="Arial" w:cs="Arial"/>
          <w:lang w:val="es-PE"/>
        </w:rPr>
      </w:pPr>
    </w:p>
    <w:p w14:paraId="0D3D4280" w14:textId="022CED37" w:rsidR="00265352" w:rsidRDefault="00265352" w:rsidP="009F652E">
      <w:pPr>
        <w:pStyle w:val="NormalWeb"/>
        <w:ind w:firstLine="720"/>
        <w:rPr>
          <w:rFonts w:ascii="Arial" w:hAnsi="Arial" w:cs="Arial"/>
          <w:lang w:val="es-PE"/>
        </w:rPr>
      </w:pPr>
    </w:p>
    <w:p w14:paraId="1094F9C0" w14:textId="3E3DF905" w:rsidR="00265352" w:rsidRDefault="00265352" w:rsidP="009F652E">
      <w:pPr>
        <w:pStyle w:val="NormalWeb"/>
        <w:ind w:firstLine="720"/>
        <w:rPr>
          <w:rFonts w:ascii="Arial" w:hAnsi="Arial" w:cs="Arial"/>
          <w:lang w:val="es-PE"/>
        </w:rPr>
      </w:pPr>
    </w:p>
    <w:p w14:paraId="6A86FD1F" w14:textId="57A972F7" w:rsidR="00265352" w:rsidRDefault="00265352" w:rsidP="009F652E">
      <w:pPr>
        <w:pStyle w:val="NormalWeb"/>
        <w:ind w:firstLine="720"/>
        <w:rPr>
          <w:rFonts w:ascii="Arial" w:hAnsi="Arial" w:cs="Arial"/>
          <w:lang w:val="es-PE"/>
        </w:rPr>
      </w:pPr>
    </w:p>
    <w:p w14:paraId="1AAC4C5E" w14:textId="5EFA756F" w:rsidR="00265352" w:rsidRDefault="00265352" w:rsidP="009F652E">
      <w:pPr>
        <w:pStyle w:val="NormalWeb"/>
        <w:ind w:firstLine="720"/>
        <w:rPr>
          <w:rFonts w:ascii="Arial" w:hAnsi="Arial" w:cs="Arial"/>
          <w:lang w:val="es-PE"/>
        </w:rPr>
      </w:pPr>
    </w:p>
    <w:p w14:paraId="49780182" w14:textId="1BDEBE6E" w:rsidR="00265352" w:rsidRDefault="00265352" w:rsidP="009F652E">
      <w:pPr>
        <w:pStyle w:val="NormalWeb"/>
        <w:ind w:firstLine="720"/>
        <w:rPr>
          <w:rFonts w:ascii="Arial" w:hAnsi="Arial" w:cs="Arial"/>
          <w:lang w:val="es-PE"/>
        </w:rPr>
      </w:pPr>
    </w:p>
    <w:p w14:paraId="0F79BC44" w14:textId="71F1D15E" w:rsidR="004C1A30" w:rsidRDefault="004C1A30" w:rsidP="00DF02BF">
      <w:pPr>
        <w:spacing w:before="100" w:beforeAutospacing="1" w:after="100" w:afterAutospacing="1" w:line="276" w:lineRule="auto"/>
        <w:ind w:firstLine="720"/>
        <w:rPr>
          <w:rFonts w:ascii="Helvetica" w:eastAsia="Times New Roman" w:hAnsi="Helvetica" w:cs="Times New Roman"/>
          <w:i/>
          <w:iCs/>
          <w:sz w:val="24"/>
          <w:szCs w:val="24"/>
          <w:lang w:val="es-PE"/>
        </w:rPr>
      </w:pPr>
    </w:p>
    <w:p w14:paraId="64F9F8C9" w14:textId="64CA17C0" w:rsidR="0051141B" w:rsidRDefault="0051141B" w:rsidP="00DF02BF">
      <w:pPr>
        <w:spacing w:before="100" w:beforeAutospacing="1" w:after="100" w:afterAutospacing="1" w:line="276" w:lineRule="auto"/>
        <w:ind w:firstLine="720"/>
        <w:rPr>
          <w:rFonts w:ascii="Helvetica" w:eastAsia="Times New Roman" w:hAnsi="Helvetica" w:cs="Times New Roman"/>
          <w:i/>
          <w:iCs/>
          <w:sz w:val="24"/>
          <w:szCs w:val="24"/>
          <w:lang w:val="es-PE"/>
        </w:rPr>
      </w:pPr>
    </w:p>
    <w:p w14:paraId="100C428E" w14:textId="77777777" w:rsidR="0051141B" w:rsidRDefault="0051141B" w:rsidP="00DF02BF">
      <w:pPr>
        <w:spacing w:before="100" w:beforeAutospacing="1" w:after="100" w:afterAutospacing="1" w:line="276" w:lineRule="auto"/>
        <w:ind w:firstLine="720"/>
        <w:rPr>
          <w:rFonts w:ascii="Helvetica" w:eastAsia="Times New Roman" w:hAnsi="Helvetica" w:cs="Times New Roman"/>
          <w:i/>
          <w:iCs/>
          <w:sz w:val="24"/>
          <w:szCs w:val="24"/>
          <w:lang w:val="es-PE"/>
        </w:rPr>
      </w:pPr>
    </w:p>
    <w:p w14:paraId="61578E0C" w14:textId="5B70BFC4" w:rsidR="00EE1085" w:rsidRPr="00EE1085" w:rsidRDefault="00EE1085" w:rsidP="00DF02BF">
      <w:pPr>
        <w:spacing w:before="100" w:beforeAutospacing="1" w:after="100" w:afterAutospacing="1" w:line="276" w:lineRule="auto"/>
        <w:ind w:firstLine="720"/>
        <w:rPr>
          <w:rFonts w:ascii="Helvetica" w:eastAsia="Times New Roman" w:hAnsi="Helvetica" w:cs="Times New Roman"/>
          <w:i/>
          <w:iCs/>
          <w:sz w:val="24"/>
          <w:szCs w:val="24"/>
          <w:lang w:val="es-PE"/>
        </w:rPr>
      </w:pPr>
      <w:r w:rsidRPr="00EE1085">
        <w:rPr>
          <w:rFonts w:ascii="Helvetica" w:eastAsia="Times New Roman" w:hAnsi="Helvetica" w:cs="Times New Roman"/>
          <w:i/>
          <w:iCs/>
          <w:sz w:val="24"/>
          <w:szCs w:val="24"/>
          <w:lang w:val="es-PE"/>
        </w:rPr>
        <w:t xml:space="preserve">Este curso ha sido desarrollado por </w:t>
      </w:r>
      <w:r w:rsidRPr="00EE1085">
        <w:rPr>
          <w:rFonts w:ascii="Helvetica" w:eastAsia="Times New Roman" w:hAnsi="Helvetica" w:cs="Times New Roman"/>
          <w:b/>
          <w:bCs/>
          <w:i/>
          <w:iCs/>
          <w:sz w:val="24"/>
          <w:szCs w:val="24"/>
          <w:lang w:val="es-PE"/>
        </w:rPr>
        <w:t>INFOSET</w:t>
      </w:r>
      <w:r w:rsidRPr="00EE1085">
        <w:rPr>
          <w:rFonts w:ascii="Helvetica" w:eastAsia="Times New Roman" w:hAnsi="Helvetica" w:cs="Times New Roman"/>
          <w:i/>
          <w:iCs/>
          <w:sz w:val="24"/>
          <w:szCs w:val="24"/>
          <w:lang w:val="es-PE"/>
        </w:rPr>
        <w:t xml:space="preserve"> con el objetivo de proporcionar a trabajadores, técnicos, profesionales y responsables de comunicación del sector minero en el Perú las herramientas estratégicas necesarias para gestionar de manera eficaz la comunicación corporativa en un entorno altamente dinámico, regulado y expuesto al escrutinio público.</w:t>
      </w:r>
    </w:p>
    <w:p w14:paraId="76F14A5B" w14:textId="77777777" w:rsidR="00EE1085" w:rsidRPr="00EE1085" w:rsidRDefault="00EE1085" w:rsidP="00DF02BF">
      <w:pPr>
        <w:spacing w:before="100" w:beforeAutospacing="1" w:after="100" w:afterAutospacing="1" w:line="276" w:lineRule="auto"/>
        <w:ind w:firstLine="720"/>
        <w:rPr>
          <w:rFonts w:ascii="Helvetica" w:eastAsia="Times New Roman" w:hAnsi="Helvetica" w:cs="Times New Roman"/>
          <w:i/>
          <w:iCs/>
          <w:sz w:val="24"/>
          <w:szCs w:val="24"/>
          <w:lang w:val="es-PE"/>
        </w:rPr>
      </w:pPr>
      <w:r w:rsidRPr="00EE1085">
        <w:rPr>
          <w:rFonts w:ascii="Helvetica" w:eastAsia="Times New Roman" w:hAnsi="Helvetica" w:cs="Times New Roman"/>
          <w:i/>
          <w:iCs/>
          <w:sz w:val="24"/>
          <w:szCs w:val="24"/>
          <w:lang w:val="es-PE"/>
        </w:rPr>
        <w:t xml:space="preserve">Creemos firmemente que la </w:t>
      </w:r>
      <w:r w:rsidRPr="00EE1085">
        <w:rPr>
          <w:rFonts w:ascii="Helvetica" w:eastAsia="Times New Roman" w:hAnsi="Helvetica" w:cs="Times New Roman"/>
          <w:b/>
          <w:bCs/>
          <w:i/>
          <w:iCs/>
          <w:sz w:val="24"/>
          <w:szCs w:val="24"/>
          <w:lang w:val="es-PE"/>
        </w:rPr>
        <w:t>comunicación corporativa en minería</w:t>
      </w:r>
      <w:r w:rsidRPr="00EE1085">
        <w:rPr>
          <w:rFonts w:ascii="Helvetica" w:eastAsia="Times New Roman" w:hAnsi="Helvetica" w:cs="Times New Roman"/>
          <w:i/>
          <w:iCs/>
          <w:sz w:val="24"/>
          <w:szCs w:val="24"/>
          <w:lang w:val="es-PE"/>
        </w:rPr>
        <w:t xml:space="preserve"> no es un componente accesorio, sino un eje estratégico que influye directamente en la reputación institucional, la licencia social para operar, la relación con comunidades, autoridades, medios de comunicación y otros grupos de interés. En un contexto donde la información circula de forma inmediata y las percepciones pueden impactar la estabilidad de un proyecto, contar con competencias sólidas en comunicación se convierte en una ventaja competitiva y en una responsabilidad organizacional.</w:t>
      </w:r>
    </w:p>
    <w:p w14:paraId="21BE89C2" w14:textId="77777777" w:rsidR="00EE1085" w:rsidRPr="00EE1085" w:rsidRDefault="00EE1085" w:rsidP="00DF02BF">
      <w:pPr>
        <w:spacing w:before="100" w:beforeAutospacing="1" w:after="100" w:afterAutospacing="1" w:line="276" w:lineRule="auto"/>
        <w:ind w:firstLine="720"/>
        <w:rPr>
          <w:rFonts w:ascii="Helvetica" w:eastAsia="Times New Roman" w:hAnsi="Helvetica" w:cs="Times New Roman"/>
          <w:i/>
          <w:iCs/>
          <w:sz w:val="24"/>
          <w:szCs w:val="24"/>
          <w:lang w:val="es-PE"/>
        </w:rPr>
      </w:pPr>
      <w:r w:rsidRPr="00EE1085">
        <w:rPr>
          <w:rFonts w:ascii="Helvetica" w:eastAsia="Times New Roman" w:hAnsi="Helvetica" w:cs="Times New Roman"/>
          <w:i/>
          <w:iCs/>
          <w:sz w:val="24"/>
          <w:szCs w:val="24"/>
          <w:lang w:val="es-PE"/>
        </w:rPr>
        <w:t xml:space="preserve">Este curso busca acercar los principios de la comunicación estratégica a la realidad cotidiana de la actividad minera: desde la gestión de relaciones comunitarias y el manejo de medios, hasta el monitoreo de opinión pública, la comunicación digital, la gestión de crisis, la transparencia, el </w:t>
      </w:r>
      <w:proofErr w:type="spellStart"/>
      <w:r w:rsidRPr="00EE1085">
        <w:rPr>
          <w:rFonts w:ascii="Helvetica" w:eastAsia="Times New Roman" w:hAnsi="Helvetica" w:cs="Times New Roman"/>
          <w:i/>
          <w:iCs/>
          <w:sz w:val="24"/>
          <w:szCs w:val="24"/>
          <w:lang w:val="es-PE"/>
        </w:rPr>
        <w:t>compliance</w:t>
      </w:r>
      <w:proofErr w:type="spellEnd"/>
      <w:r w:rsidRPr="00EE1085">
        <w:rPr>
          <w:rFonts w:ascii="Helvetica" w:eastAsia="Times New Roman" w:hAnsi="Helvetica" w:cs="Times New Roman"/>
          <w:i/>
          <w:iCs/>
          <w:sz w:val="24"/>
          <w:szCs w:val="24"/>
          <w:lang w:val="es-PE"/>
        </w:rPr>
        <w:t xml:space="preserve"> y la relación con entidades gubernamentales. Todos los contenidos han sido desarrollados en un lenguaje claro, práctico y aplicable, evitando tecnicismos innecesarios y priorizando herramientas útiles para el desempeño profesional.</w:t>
      </w:r>
    </w:p>
    <w:p w14:paraId="25B7A554" w14:textId="77777777" w:rsidR="00EE1085" w:rsidRPr="00EE1085" w:rsidRDefault="00EE1085" w:rsidP="00DF02BF">
      <w:pPr>
        <w:spacing w:before="100" w:beforeAutospacing="1" w:after="100" w:afterAutospacing="1" w:line="276" w:lineRule="auto"/>
        <w:ind w:firstLine="720"/>
        <w:rPr>
          <w:rFonts w:ascii="Helvetica" w:eastAsia="Times New Roman" w:hAnsi="Helvetica" w:cs="Times New Roman"/>
          <w:i/>
          <w:iCs/>
          <w:sz w:val="24"/>
          <w:szCs w:val="24"/>
          <w:lang w:val="es-PE"/>
        </w:rPr>
      </w:pPr>
      <w:r w:rsidRPr="00EE1085">
        <w:rPr>
          <w:rFonts w:ascii="Helvetica" w:eastAsia="Times New Roman" w:hAnsi="Helvetica" w:cs="Times New Roman"/>
          <w:i/>
          <w:iCs/>
          <w:sz w:val="24"/>
          <w:szCs w:val="24"/>
          <w:lang w:val="es-PE"/>
        </w:rPr>
        <w:t>Es fundamental que los participantes apliquen lo aprendido en sus funciones diarias, promoviendo una cultura organizacional basada en la transparencia, la coherencia del mensaje, la ética y el diálogo constructivo. Una minería sostenible no depende únicamente de la tecnología o la inversión, sino también de la calidad de su comunicación, de su capacidad para escuchar y de su compromiso con la información veraz y responsable.</w:t>
      </w:r>
    </w:p>
    <w:p w14:paraId="114E56CB" w14:textId="77777777" w:rsidR="00EE1085" w:rsidRPr="00EE1085" w:rsidRDefault="00EE1085" w:rsidP="00DF02BF">
      <w:pPr>
        <w:spacing w:before="100" w:beforeAutospacing="1" w:after="100" w:afterAutospacing="1" w:line="276" w:lineRule="auto"/>
        <w:ind w:firstLine="720"/>
        <w:rPr>
          <w:rFonts w:ascii="Helvetica" w:eastAsia="Times New Roman" w:hAnsi="Helvetica" w:cs="Times New Roman"/>
          <w:i/>
          <w:iCs/>
          <w:sz w:val="24"/>
          <w:szCs w:val="24"/>
          <w:lang w:val="es-PE"/>
        </w:rPr>
      </w:pPr>
      <w:r w:rsidRPr="00EE1085">
        <w:rPr>
          <w:rFonts w:ascii="Helvetica" w:eastAsia="Times New Roman" w:hAnsi="Helvetica" w:cs="Times New Roman"/>
          <w:i/>
          <w:iCs/>
          <w:sz w:val="24"/>
          <w:szCs w:val="24"/>
          <w:lang w:val="es-PE"/>
        </w:rPr>
        <w:t xml:space="preserve">La difusión de este contenido está permitida siempre que se mantenga el reconocimiento a </w:t>
      </w:r>
      <w:r w:rsidRPr="00DF02BF">
        <w:rPr>
          <w:rFonts w:ascii="Helvetica" w:eastAsia="Times New Roman" w:hAnsi="Helvetica" w:cs="Times New Roman"/>
          <w:i/>
          <w:iCs/>
          <w:sz w:val="24"/>
          <w:szCs w:val="24"/>
          <w:lang w:val="es-PE"/>
        </w:rPr>
        <w:t>INFOSET</w:t>
      </w:r>
      <w:r w:rsidRPr="00EE1085">
        <w:rPr>
          <w:rFonts w:ascii="Helvetica" w:eastAsia="Times New Roman" w:hAnsi="Helvetica" w:cs="Times New Roman"/>
          <w:i/>
          <w:iCs/>
          <w:sz w:val="24"/>
          <w:szCs w:val="24"/>
          <w:lang w:val="es-PE"/>
        </w:rPr>
        <w:t xml:space="preserve"> como entidad autora. Compartir conocimiento forma parte de nuestra misión institucional: fortalecer las capacidades del sector minero peruano mediante formación accesible, pertinente y alineada con los desafíos actuales de reputación, sostenibilidad y gobernanza.</w:t>
      </w:r>
    </w:p>
    <w:p w14:paraId="056463F8" w14:textId="77777777" w:rsidR="00EE1085" w:rsidRPr="00EE1085" w:rsidRDefault="00EE1085" w:rsidP="00DF02BF">
      <w:pPr>
        <w:spacing w:before="100" w:beforeAutospacing="1" w:after="100" w:afterAutospacing="1" w:line="276" w:lineRule="auto"/>
        <w:ind w:firstLine="720"/>
        <w:rPr>
          <w:rFonts w:ascii="Helvetica" w:eastAsia="Times New Roman" w:hAnsi="Helvetica" w:cs="Times New Roman"/>
          <w:i/>
          <w:iCs/>
          <w:sz w:val="24"/>
          <w:szCs w:val="24"/>
          <w:lang w:val="es-PE"/>
        </w:rPr>
      </w:pPr>
      <w:r w:rsidRPr="00EE1085">
        <w:rPr>
          <w:rFonts w:ascii="Helvetica" w:eastAsia="Times New Roman" w:hAnsi="Helvetica" w:cs="Times New Roman"/>
          <w:i/>
          <w:iCs/>
          <w:sz w:val="24"/>
          <w:szCs w:val="24"/>
          <w:lang w:val="es-PE"/>
        </w:rPr>
        <w:t>Agradecemos a cada participante por su interés, compromiso y disposición para fortalecer sus competencias en comunicación corporativa. Cada profesional que mejora su capacidad para comunicar con responsabilidad y estrategia contribuye a una minería peruana más transparente, dialogante y sostenible.</w:t>
      </w:r>
    </w:p>
    <w:p w14:paraId="775BD9BD" w14:textId="77777777" w:rsidR="00EE1085" w:rsidRPr="00EE1085" w:rsidRDefault="00EE1085" w:rsidP="00EE1085">
      <w:pPr>
        <w:spacing w:before="100" w:beforeAutospacing="1" w:after="100" w:afterAutospacing="1" w:line="276" w:lineRule="auto"/>
        <w:rPr>
          <w:rFonts w:ascii="Helvetica" w:eastAsia="Times New Roman" w:hAnsi="Helvetica" w:cs="Times New Roman"/>
          <w:i/>
          <w:iCs/>
          <w:sz w:val="24"/>
          <w:szCs w:val="24"/>
        </w:rPr>
      </w:pPr>
      <w:proofErr w:type="spellStart"/>
      <w:r w:rsidRPr="00EE1085">
        <w:rPr>
          <w:rFonts w:ascii="Helvetica" w:eastAsia="Times New Roman" w:hAnsi="Helvetica" w:cs="Times New Roman"/>
          <w:b/>
          <w:bCs/>
          <w:i/>
          <w:iCs/>
          <w:sz w:val="24"/>
          <w:szCs w:val="24"/>
        </w:rPr>
        <w:t>Administración</w:t>
      </w:r>
      <w:proofErr w:type="spellEnd"/>
      <w:r w:rsidRPr="00EE1085">
        <w:rPr>
          <w:rFonts w:ascii="Helvetica" w:eastAsia="Times New Roman" w:hAnsi="Helvetica" w:cs="Times New Roman"/>
          <w:b/>
          <w:bCs/>
          <w:i/>
          <w:iCs/>
          <w:sz w:val="24"/>
          <w:szCs w:val="24"/>
        </w:rPr>
        <w:t xml:space="preserve"> de INFOSET</w:t>
      </w:r>
    </w:p>
    <w:p w14:paraId="79954B77" w14:textId="77777777" w:rsidR="001A241E" w:rsidRPr="00712E56" w:rsidRDefault="001A241E" w:rsidP="00EE1085">
      <w:pPr>
        <w:pStyle w:val="NormalWeb"/>
        <w:ind w:firstLine="720"/>
        <w:rPr>
          <w:rFonts w:ascii="Arial" w:hAnsi="Arial" w:cs="Arial"/>
          <w:b/>
          <w:bCs/>
          <w:sz w:val="28"/>
          <w:szCs w:val="28"/>
          <w:lang w:val="es-PE"/>
        </w:rPr>
      </w:pPr>
    </w:p>
    <w:sectPr w:rsidR="001A241E" w:rsidRPr="00712E56" w:rsidSect="00E97280">
      <w:headerReference w:type="default" r:id="rId9"/>
      <w:footerReference w:type="default" r:id="rId10"/>
      <w:pgSz w:w="11907" w:h="16840" w:code="9"/>
      <w:pgMar w:top="1702" w:right="567" w:bottom="1702"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05F23" w14:textId="77777777" w:rsidR="00371C3C" w:rsidRDefault="00371C3C" w:rsidP="00B955C7">
      <w:pPr>
        <w:spacing w:after="0" w:line="240" w:lineRule="auto"/>
      </w:pPr>
      <w:r>
        <w:separator/>
      </w:r>
    </w:p>
  </w:endnote>
  <w:endnote w:type="continuationSeparator" w:id="0">
    <w:p w14:paraId="1DFA6A63" w14:textId="77777777" w:rsidR="00371C3C" w:rsidRDefault="00371C3C" w:rsidP="00B955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AFF" w:usb1="5000785B" w:usb2="00000000" w:usb3="00000000" w:csb0="000001FF" w:csb1="00000000"/>
  </w:font>
  <w:font w:name="Montserrat Medium">
    <w:panose1 w:val="00000600000000000000"/>
    <w:charset w:val="00"/>
    <w:family w:val="modern"/>
    <w:notTrueType/>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740BF3" w14:textId="5C4B483C" w:rsidR="009A7E03" w:rsidRPr="009A7E03" w:rsidRDefault="009A7E03" w:rsidP="009A43FC">
    <w:pPr>
      <w:pStyle w:val="Piedepgina"/>
      <w:ind w:firstLine="1440"/>
      <w:jc w:val="right"/>
      <w:rPr>
        <w:rFonts w:ascii="Arial" w:hAnsi="Arial" w:cs="Arial"/>
      </w:rPr>
    </w:pPr>
    <w:r>
      <w:rPr>
        <w:noProof/>
        <w:color w:val="4472C4" w:themeColor="accent1"/>
      </w:rPr>
      <mc:AlternateContent>
        <mc:Choice Requires="wps">
          <w:drawing>
            <wp:anchor distT="0" distB="0" distL="114300" distR="114300" simplePos="0" relativeHeight="251661312" behindDoc="0" locked="0" layoutInCell="1" allowOverlap="1" wp14:anchorId="6FDF3506" wp14:editId="744F80DA">
              <wp:simplePos x="0" y="0"/>
              <wp:positionH relativeFrom="column">
                <wp:posOffset>-25400</wp:posOffset>
              </wp:positionH>
              <wp:positionV relativeFrom="paragraph">
                <wp:posOffset>-292216</wp:posOffset>
              </wp:positionV>
              <wp:extent cx="6280150" cy="19166"/>
              <wp:effectExtent l="0" t="0" r="25400" b="19050"/>
              <wp:wrapNone/>
              <wp:docPr id="12" name="Conector recto 12"/>
              <wp:cNvGraphicFramePr/>
              <a:graphic xmlns:a="http://schemas.openxmlformats.org/drawingml/2006/main">
                <a:graphicData uri="http://schemas.microsoft.com/office/word/2010/wordprocessingShape">
                  <wps:wsp>
                    <wps:cNvCnPr/>
                    <wps:spPr>
                      <a:xfrm>
                        <a:off x="0" y="0"/>
                        <a:ext cx="6280150" cy="19166"/>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E0AD1FB" id="Conector recto 12"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pt,-23pt" to="492.5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" strokecolor="black [3200]" strokeweight=".5pt">
              <v:stroke joinstyle="miter"/>
            </v:line>
          </w:pict>
        </mc:Fallback>
      </mc:AlternateContent>
    </w:r>
    <w:r>
      <w:rPr>
        <w:noProof/>
        <w:color w:val="4472C4" w:themeColor="accent1"/>
      </w:rPr>
      <mc:AlternateContent>
        <mc:Choice Requires="wps">
          <w:drawing>
            <wp:anchor distT="0" distB="0" distL="114300" distR="114300" simplePos="0" relativeHeight="251659264" behindDoc="0" locked="0" layoutInCell="1" allowOverlap="1" wp14:anchorId="2E8F55F8" wp14:editId="4BE1C47D">
              <wp:simplePos x="0" y="0"/>
              <wp:positionH relativeFrom="page">
                <wp:align>center</wp:align>
              </wp:positionH>
              <wp:positionV relativeFrom="page">
                <wp:align>center</wp:align>
              </wp:positionV>
              <wp:extent cx="7364730" cy="9528810"/>
              <wp:effectExtent l="0" t="0" r="26670" b="26670"/>
              <wp:wrapNone/>
              <wp:docPr id="452" name="Rectangle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9BB5F84" id="Rectangle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" filled="f" strokecolor="#747070 [1614]" strokeweight="1.25pt">
              <w10:wrap anchorx="page" anchory="page"/>
            </v:rect>
          </w:pict>
        </mc:Fallback>
      </mc:AlternateContent>
    </w:r>
    <w:r>
      <w:rPr>
        <w:color w:val="4472C4" w:themeColor="accent1"/>
      </w:rPr>
      <w:t xml:space="preserve"> </w:t>
    </w:r>
    <w:proofErr w:type="spellStart"/>
    <w:r w:rsidR="00DA6579">
      <w:rPr>
        <w:rFonts w:ascii="Arial" w:eastAsiaTheme="majorEastAsia" w:hAnsi="Arial" w:cs="Arial"/>
        <w:sz w:val="20"/>
        <w:szCs w:val="20"/>
        <w:lang w:val="es-PE"/>
      </w:rPr>
      <w:t>p</w:t>
    </w:r>
    <w:r w:rsidR="003C44E6" w:rsidRPr="009A7E03">
      <w:rPr>
        <w:rFonts w:ascii="Arial" w:eastAsiaTheme="majorEastAsia" w:hAnsi="Arial" w:cs="Arial"/>
        <w:sz w:val="20"/>
        <w:szCs w:val="20"/>
        <w:lang w:val="es-PE"/>
      </w:rPr>
      <w:t>ág</w:t>
    </w:r>
    <w:proofErr w:type="spellEnd"/>
    <w:r w:rsidR="003C44E6" w:rsidRPr="009A7E03">
      <w:rPr>
        <w:rFonts w:ascii="Arial" w:eastAsiaTheme="majorEastAsia" w:hAnsi="Arial" w:cs="Arial"/>
        <w:sz w:val="20"/>
        <w:szCs w:val="20"/>
      </w:rPr>
      <w:t>.</w:t>
    </w:r>
    <w:r w:rsidRPr="009A7E03">
      <w:rPr>
        <w:rFonts w:ascii="Arial" w:eastAsiaTheme="majorEastAsia" w:hAnsi="Arial" w:cs="Arial"/>
        <w:sz w:val="20"/>
        <w:szCs w:val="20"/>
      </w:rPr>
      <w:t xml:space="preserve"> </w:t>
    </w:r>
    <w:r w:rsidRPr="009A7E03">
      <w:rPr>
        <w:rFonts w:ascii="Arial" w:eastAsiaTheme="minorEastAsia" w:hAnsi="Arial" w:cs="Arial"/>
        <w:sz w:val="20"/>
        <w:szCs w:val="20"/>
      </w:rPr>
      <w:fldChar w:fldCharType="begin"/>
    </w:r>
    <w:r w:rsidRPr="009A7E03">
      <w:rPr>
        <w:rFonts w:ascii="Arial" w:hAnsi="Arial" w:cs="Arial"/>
        <w:sz w:val="20"/>
        <w:szCs w:val="20"/>
      </w:rPr>
      <w:instrText xml:space="preserve"> PAGE    \* MERGEFORMAT </w:instrText>
    </w:r>
    <w:r w:rsidRPr="009A7E03">
      <w:rPr>
        <w:rFonts w:ascii="Arial" w:eastAsiaTheme="minorEastAsia" w:hAnsi="Arial" w:cs="Arial"/>
        <w:sz w:val="20"/>
        <w:szCs w:val="20"/>
      </w:rPr>
      <w:fldChar w:fldCharType="separate"/>
    </w:r>
    <w:r w:rsidRPr="009A7E03">
      <w:rPr>
        <w:rFonts w:ascii="Arial" w:eastAsiaTheme="majorEastAsia" w:hAnsi="Arial" w:cs="Arial"/>
        <w:noProof/>
        <w:sz w:val="20"/>
        <w:szCs w:val="20"/>
      </w:rPr>
      <w:t>2</w:t>
    </w:r>
    <w:r w:rsidRPr="009A7E03">
      <w:rPr>
        <w:rFonts w:ascii="Arial" w:eastAsiaTheme="majorEastAsia"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9905A2" w14:textId="77777777" w:rsidR="00371C3C" w:rsidRDefault="00371C3C" w:rsidP="00B955C7">
      <w:pPr>
        <w:spacing w:after="0" w:line="240" w:lineRule="auto"/>
      </w:pPr>
      <w:r>
        <w:separator/>
      </w:r>
    </w:p>
  </w:footnote>
  <w:footnote w:type="continuationSeparator" w:id="0">
    <w:p w14:paraId="78D19013" w14:textId="77777777" w:rsidR="00371C3C" w:rsidRDefault="00371C3C" w:rsidP="00B955C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0CED94" w14:textId="77777777" w:rsidR="002169D7" w:rsidRDefault="009A7E03" w:rsidP="009A43FC">
    <w:pPr>
      <w:pStyle w:val="Encabezado"/>
      <w:jc w:val="right"/>
      <w:rPr>
        <w:rFonts w:ascii="Arial" w:hAnsi="Arial" w:cs="Arial"/>
        <w:sz w:val="24"/>
        <w:szCs w:val="24"/>
      </w:rPr>
    </w:pPr>
    <w:r w:rsidRPr="002169D7">
      <w:rPr>
        <w:rFonts w:ascii="Arial" w:hAnsi="Arial" w:cs="Arial"/>
        <w:noProof/>
        <w:sz w:val="24"/>
        <w:szCs w:val="24"/>
      </w:rPr>
      <mc:AlternateContent>
        <mc:Choice Requires="wps">
          <w:drawing>
            <wp:anchor distT="0" distB="0" distL="114300" distR="114300" simplePos="0" relativeHeight="251660288" behindDoc="0" locked="0" layoutInCell="1" allowOverlap="1" wp14:anchorId="47A03351" wp14:editId="2C28B817">
              <wp:simplePos x="0" y="0"/>
              <wp:positionH relativeFrom="column">
                <wp:posOffset>-69850</wp:posOffset>
              </wp:positionH>
              <wp:positionV relativeFrom="paragraph">
                <wp:posOffset>482600</wp:posOffset>
              </wp:positionV>
              <wp:extent cx="6286500" cy="0"/>
              <wp:effectExtent l="0" t="0" r="0" b="0"/>
              <wp:wrapNone/>
              <wp:docPr id="11" name="Conector recto 11"/>
              <wp:cNvGraphicFramePr/>
              <a:graphic xmlns:a="http://schemas.openxmlformats.org/drawingml/2006/main">
                <a:graphicData uri="http://schemas.microsoft.com/office/word/2010/wordprocessingShape">
                  <wps:wsp>
                    <wps:cNvCnPr/>
                    <wps:spPr>
                      <a:xfrm>
                        <a:off x="0" y="0"/>
                        <a:ext cx="62865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7C0FCE72" id="Conector recto 11"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5pt,38pt" to="489.5pt,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" strokecolor="black [3200]" strokeweight=".5pt">
              <v:stroke joinstyle="miter"/>
            </v:line>
          </w:pict>
        </mc:Fallback>
      </mc:AlternateContent>
    </w:r>
    <w:r w:rsidRPr="002169D7">
      <w:rPr>
        <w:rFonts w:ascii="Arial" w:hAnsi="Arial" w:cs="Arial"/>
        <w:noProof/>
        <w:sz w:val="24"/>
        <w:szCs w:val="24"/>
      </w:rPr>
      <w:drawing>
        <wp:anchor distT="0" distB="0" distL="114300" distR="114300" simplePos="0" relativeHeight="251662336" behindDoc="0" locked="0" layoutInCell="1" allowOverlap="1" wp14:anchorId="4725FDAA" wp14:editId="21F86EF3">
          <wp:simplePos x="0" y="0"/>
          <wp:positionH relativeFrom="margin">
            <wp:posOffset>0</wp:posOffset>
          </wp:positionH>
          <wp:positionV relativeFrom="paragraph">
            <wp:posOffset>38100</wp:posOffset>
          </wp:positionV>
          <wp:extent cx="1663700" cy="317500"/>
          <wp:effectExtent l="0" t="0" r="0" b="6350"/>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1">
                    <a:extLst>
                      <a:ext uri="{28A0092B-C50C-407E-A947-70E740481C1C}">
                        <a14:useLocalDpi xmlns:a14="http://schemas.microsoft.com/office/drawing/2010/main" val="0"/>
                      </a:ext>
                    </a:extLst>
                  </a:blip>
                  <a:stretch>
                    <a:fillRect/>
                  </a:stretch>
                </pic:blipFill>
                <pic:spPr>
                  <a:xfrm>
                    <a:off x="0" y="0"/>
                    <a:ext cx="1663700" cy="317500"/>
                  </a:xfrm>
                  <a:prstGeom prst="rect">
                    <a:avLst/>
                  </a:prstGeom>
                </pic:spPr>
              </pic:pic>
            </a:graphicData>
          </a:graphic>
        </wp:anchor>
      </w:drawing>
    </w:r>
  </w:p>
  <w:p w14:paraId="6150CBEA" w14:textId="437586C4" w:rsidR="00B955C7" w:rsidRPr="002C0080" w:rsidRDefault="002169D7" w:rsidP="002169D7">
    <w:pPr>
      <w:pStyle w:val="Encabezado"/>
      <w:jc w:val="center"/>
      <w:rPr>
        <w:rFonts w:ascii="Montserrat Medium" w:hAnsi="Montserrat Medium" w:cs="Arial"/>
        <w:sz w:val="24"/>
        <w:szCs w:val="24"/>
      </w:rPr>
    </w:pPr>
    <w:r>
      <w:rPr>
        <w:rFonts w:ascii="Arial" w:hAnsi="Arial" w:cs="Arial"/>
        <w:i/>
        <w:iCs/>
        <w:sz w:val="24"/>
        <w:szCs w:val="24"/>
      </w:rPr>
      <w:t xml:space="preserve">    </w:t>
    </w:r>
    <w:r>
      <w:rPr>
        <w:rFonts w:ascii="Arial" w:hAnsi="Arial" w:cs="Arial"/>
        <w:i/>
        <w:iCs/>
        <w:sz w:val="24"/>
        <w:szCs w:val="24"/>
      </w:rPr>
      <w:tab/>
    </w:r>
    <w:r>
      <w:rPr>
        <w:rFonts w:ascii="Arial" w:hAnsi="Arial" w:cs="Arial"/>
        <w:i/>
        <w:iCs/>
        <w:sz w:val="24"/>
        <w:szCs w:val="24"/>
      </w:rPr>
      <w:tab/>
    </w:r>
    <w:r w:rsidRPr="002C0080">
      <w:rPr>
        <w:rFonts w:ascii="Arial" w:hAnsi="Arial" w:cs="Arial"/>
        <w:i/>
        <w:iCs/>
        <w:sz w:val="24"/>
        <w:szCs w:val="24"/>
      </w:rPr>
      <w:t xml:space="preserve">    </w:t>
    </w:r>
    <w:r w:rsidR="002C0080" w:rsidRPr="002C0080">
      <w:rPr>
        <w:rFonts w:ascii="Arial" w:hAnsi="Arial" w:cs="Arial"/>
        <w:i/>
        <w:iCs/>
        <w:sz w:val="24"/>
        <w:szCs w:val="24"/>
        <w:lang w:val="ru-RU"/>
      </w:rPr>
      <w:t xml:space="preserve"> </w:t>
    </w:r>
    <w:hyperlink r:id="rId2" w:history="1">
      <w:r w:rsidR="002C0080" w:rsidRPr="002C0080">
        <w:rPr>
          <w:rStyle w:val="Hipervnculo"/>
          <w:rFonts w:ascii="Arial" w:hAnsi="Arial"/>
          <w:i/>
          <w:iCs/>
          <w:sz w:val="24"/>
          <w:szCs w:val="24"/>
        </w:rPr>
        <w:t>http://infoset.org.pe</w:t>
      </w:r>
    </w:hyperlink>
    <w:r w:rsidR="009A43FC" w:rsidRPr="002C0080">
      <w:rPr>
        <w:rFonts w:ascii="Montserrat Medium" w:hAnsi="Montserrat Medium" w:cs="Arial"/>
        <w:sz w:val="24"/>
        <w:szCs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365"/>
    <w:multiLevelType w:val="multilevel"/>
    <w:tmpl w:val="E0141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23C3A"/>
    <w:multiLevelType w:val="multilevel"/>
    <w:tmpl w:val="798C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3444B"/>
    <w:multiLevelType w:val="multilevel"/>
    <w:tmpl w:val="729E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45911"/>
    <w:multiLevelType w:val="multilevel"/>
    <w:tmpl w:val="623C3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B36D3E"/>
    <w:multiLevelType w:val="multilevel"/>
    <w:tmpl w:val="808C1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510F50"/>
    <w:multiLevelType w:val="multilevel"/>
    <w:tmpl w:val="3F261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9C40EE"/>
    <w:multiLevelType w:val="multilevel"/>
    <w:tmpl w:val="4D869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190187"/>
    <w:multiLevelType w:val="multilevel"/>
    <w:tmpl w:val="7A884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4A58E4"/>
    <w:multiLevelType w:val="multilevel"/>
    <w:tmpl w:val="B158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32783"/>
    <w:multiLevelType w:val="multilevel"/>
    <w:tmpl w:val="07D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00A31"/>
    <w:multiLevelType w:val="multilevel"/>
    <w:tmpl w:val="6D9A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177BE1"/>
    <w:multiLevelType w:val="multilevel"/>
    <w:tmpl w:val="723E2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23295D"/>
    <w:multiLevelType w:val="multilevel"/>
    <w:tmpl w:val="15CC7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B6903"/>
    <w:multiLevelType w:val="multilevel"/>
    <w:tmpl w:val="E2B2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3C3AE7"/>
    <w:multiLevelType w:val="multilevel"/>
    <w:tmpl w:val="C478A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4630CC"/>
    <w:multiLevelType w:val="multilevel"/>
    <w:tmpl w:val="87F8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8C11EA"/>
    <w:multiLevelType w:val="multilevel"/>
    <w:tmpl w:val="C77E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FF4633"/>
    <w:multiLevelType w:val="multilevel"/>
    <w:tmpl w:val="BAC2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AF3BD0"/>
    <w:multiLevelType w:val="multilevel"/>
    <w:tmpl w:val="96BE7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256469"/>
    <w:multiLevelType w:val="multilevel"/>
    <w:tmpl w:val="D66C8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3C658B"/>
    <w:multiLevelType w:val="multilevel"/>
    <w:tmpl w:val="B1B6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EE2947"/>
    <w:multiLevelType w:val="multilevel"/>
    <w:tmpl w:val="A180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760C60"/>
    <w:multiLevelType w:val="multilevel"/>
    <w:tmpl w:val="EAE0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A06A87"/>
    <w:multiLevelType w:val="multilevel"/>
    <w:tmpl w:val="FAE25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9195AE1"/>
    <w:multiLevelType w:val="multilevel"/>
    <w:tmpl w:val="416E9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0F32E8"/>
    <w:multiLevelType w:val="multilevel"/>
    <w:tmpl w:val="496E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A56523E"/>
    <w:multiLevelType w:val="multilevel"/>
    <w:tmpl w:val="C638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B5350C"/>
    <w:multiLevelType w:val="multilevel"/>
    <w:tmpl w:val="9130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20D15"/>
    <w:multiLevelType w:val="multilevel"/>
    <w:tmpl w:val="1DF8F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D11A33"/>
    <w:multiLevelType w:val="multilevel"/>
    <w:tmpl w:val="BEC2C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145E0C"/>
    <w:multiLevelType w:val="multilevel"/>
    <w:tmpl w:val="74D44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B3599E"/>
    <w:multiLevelType w:val="multilevel"/>
    <w:tmpl w:val="99302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42453F"/>
    <w:multiLevelType w:val="multilevel"/>
    <w:tmpl w:val="658E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15CA4"/>
    <w:multiLevelType w:val="multilevel"/>
    <w:tmpl w:val="7E00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A40601A"/>
    <w:multiLevelType w:val="multilevel"/>
    <w:tmpl w:val="17068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7A6E34"/>
    <w:multiLevelType w:val="multilevel"/>
    <w:tmpl w:val="22C6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5110EC"/>
    <w:multiLevelType w:val="multilevel"/>
    <w:tmpl w:val="B8E2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5F72D9"/>
    <w:multiLevelType w:val="multilevel"/>
    <w:tmpl w:val="9912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0F6610C"/>
    <w:multiLevelType w:val="multilevel"/>
    <w:tmpl w:val="97B0E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6A2C78"/>
    <w:multiLevelType w:val="multilevel"/>
    <w:tmpl w:val="6B02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16543E"/>
    <w:multiLevelType w:val="multilevel"/>
    <w:tmpl w:val="1A7C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BE436D"/>
    <w:multiLevelType w:val="multilevel"/>
    <w:tmpl w:val="D9B46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CA6123"/>
    <w:multiLevelType w:val="multilevel"/>
    <w:tmpl w:val="A26EB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BE6912"/>
    <w:multiLevelType w:val="multilevel"/>
    <w:tmpl w:val="3028C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0384288"/>
    <w:multiLevelType w:val="multilevel"/>
    <w:tmpl w:val="5F56E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0B507F6"/>
    <w:multiLevelType w:val="multilevel"/>
    <w:tmpl w:val="0F663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1543A45"/>
    <w:multiLevelType w:val="multilevel"/>
    <w:tmpl w:val="4EF2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E90008"/>
    <w:multiLevelType w:val="multilevel"/>
    <w:tmpl w:val="DC7E4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C13140"/>
    <w:multiLevelType w:val="multilevel"/>
    <w:tmpl w:val="36B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46312D"/>
    <w:multiLevelType w:val="multilevel"/>
    <w:tmpl w:val="6E8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8952108"/>
    <w:multiLevelType w:val="multilevel"/>
    <w:tmpl w:val="C59EB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92B184C"/>
    <w:multiLevelType w:val="multilevel"/>
    <w:tmpl w:val="ADD6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AC3CE6"/>
    <w:multiLevelType w:val="multilevel"/>
    <w:tmpl w:val="081EA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6A02AD"/>
    <w:multiLevelType w:val="multilevel"/>
    <w:tmpl w:val="8746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0E0723"/>
    <w:multiLevelType w:val="multilevel"/>
    <w:tmpl w:val="039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EF76EA2"/>
    <w:multiLevelType w:val="multilevel"/>
    <w:tmpl w:val="288A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02077F1"/>
    <w:multiLevelType w:val="multilevel"/>
    <w:tmpl w:val="3EC8E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18161B0"/>
    <w:multiLevelType w:val="multilevel"/>
    <w:tmpl w:val="EC3E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3EE636B"/>
    <w:multiLevelType w:val="multilevel"/>
    <w:tmpl w:val="8A6A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C5303D"/>
    <w:multiLevelType w:val="multilevel"/>
    <w:tmpl w:val="AC0A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852522B"/>
    <w:multiLevelType w:val="multilevel"/>
    <w:tmpl w:val="E49E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CE037D"/>
    <w:multiLevelType w:val="multilevel"/>
    <w:tmpl w:val="ED28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507518"/>
    <w:multiLevelType w:val="multilevel"/>
    <w:tmpl w:val="CE066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CC02B9"/>
    <w:multiLevelType w:val="multilevel"/>
    <w:tmpl w:val="4CC6B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3B7385"/>
    <w:multiLevelType w:val="multilevel"/>
    <w:tmpl w:val="EA94E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DE82D31"/>
    <w:multiLevelType w:val="multilevel"/>
    <w:tmpl w:val="BBDEC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5D2F75"/>
    <w:multiLevelType w:val="multilevel"/>
    <w:tmpl w:val="B1C4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F793DC3"/>
    <w:multiLevelType w:val="multilevel"/>
    <w:tmpl w:val="30F2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FE14991"/>
    <w:multiLevelType w:val="multilevel"/>
    <w:tmpl w:val="1694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7C67B6"/>
    <w:multiLevelType w:val="multilevel"/>
    <w:tmpl w:val="FFE8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8225CE"/>
    <w:multiLevelType w:val="multilevel"/>
    <w:tmpl w:val="03566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E61FD8"/>
    <w:multiLevelType w:val="multilevel"/>
    <w:tmpl w:val="AB22A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3EF5A60"/>
    <w:multiLevelType w:val="multilevel"/>
    <w:tmpl w:val="BCB4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9654DF"/>
    <w:multiLevelType w:val="multilevel"/>
    <w:tmpl w:val="6F1A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6F31D16"/>
    <w:multiLevelType w:val="multilevel"/>
    <w:tmpl w:val="FE42B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7902030"/>
    <w:multiLevelType w:val="multilevel"/>
    <w:tmpl w:val="35C0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582924"/>
    <w:multiLevelType w:val="multilevel"/>
    <w:tmpl w:val="F0325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B755EE"/>
    <w:multiLevelType w:val="multilevel"/>
    <w:tmpl w:val="9F0279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DFE3E51"/>
    <w:multiLevelType w:val="multilevel"/>
    <w:tmpl w:val="C970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66"/>
  </w:num>
  <w:num w:numId="3">
    <w:abstractNumId w:val="34"/>
  </w:num>
  <w:num w:numId="4">
    <w:abstractNumId w:val="59"/>
  </w:num>
  <w:num w:numId="5">
    <w:abstractNumId w:val="24"/>
  </w:num>
  <w:num w:numId="6">
    <w:abstractNumId w:val="23"/>
  </w:num>
  <w:num w:numId="7">
    <w:abstractNumId w:val="11"/>
  </w:num>
  <w:num w:numId="8">
    <w:abstractNumId w:val="38"/>
  </w:num>
  <w:num w:numId="9">
    <w:abstractNumId w:val="76"/>
  </w:num>
  <w:num w:numId="10">
    <w:abstractNumId w:val="72"/>
  </w:num>
  <w:num w:numId="11">
    <w:abstractNumId w:val="43"/>
  </w:num>
  <w:num w:numId="12">
    <w:abstractNumId w:val="49"/>
  </w:num>
  <w:num w:numId="13">
    <w:abstractNumId w:val="32"/>
  </w:num>
  <w:num w:numId="14">
    <w:abstractNumId w:val="53"/>
  </w:num>
  <w:num w:numId="15">
    <w:abstractNumId w:val="20"/>
  </w:num>
  <w:num w:numId="16">
    <w:abstractNumId w:val="13"/>
  </w:num>
  <w:num w:numId="17">
    <w:abstractNumId w:val="30"/>
  </w:num>
  <w:num w:numId="18">
    <w:abstractNumId w:val="65"/>
  </w:num>
  <w:num w:numId="19">
    <w:abstractNumId w:val="56"/>
  </w:num>
  <w:num w:numId="20">
    <w:abstractNumId w:val="46"/>
  </w:num>
  <w:num w:numId="21">
    <w:abstractNumId w:val="10"/>
  </w:num>
  <w:num w:numId="22">
    <w:abstractNumId w:val="33"/>
  </w:num>
  <w:num w:numId="23">
    <w:abstractNumId w:val="9"/>
  </w:num>
  <w:num w:numId="24">
    <w:abstractNumId w:val="67"/>
  </w:num>
  <w:num w:numId="25">
    <w:abstractNumId w:val="69"/>
  </w:num>
  <w:num w:numId="26">
    <w:abstractNumId w:val="5"/>
  </w:num>
  <w:num w:numId="27">
    <w:abstractNumId w:val="78"/>
  </w:num>
  <w:num w:numId="28">
    <w:abstractNumId w:val="75"/>
  </w:num>
  <w:num w:numId="29">
    <w:abstractNumId w:val="26"/>
  </w:num>
  <w:num w:numId="30">
    <w:abstractNumId w:val="44"/>
  </w:num>
  <w:num w:numId="31">
    <w:abstractNumId w:val="60"/>
  </w:num>
  <w:num w:numId="32">
    <w:abstractNumId w:val="68"/>
  </w:num>
  <w:num w:numId="33">
    <w:abstractNumId w:val="1"/>
  </w:num>
  <w:num w:numId="34">
    <w:abstractNumId w:val="47"/>
  </w:num>
  <w:num w:numId="35">
    <w:abstractNumId w:val="2"/>
  </w:num>
  <w:num w:numId="36">
    <w:abstractNumId w:val="27"/>
  </w:num>
  <w:num w:numId="37">
    <w:abstractNumId w:val="18"/>
  </w:num>
  <w:num w:numId="38">
    <w:abstractNumId w:val="64"/>
  </w:num>
  <w:num w:numId="39">
    <w:abstractNumId w:val="15"/>
  </w:num>
  <w:num w:numId="40">
    <w:abstractNumId w:val="73"/>
  </w:num>
  <w:num w:numId="41">
    <w:abstractNumId w:val="71"/>
  </w:num>
  <w:num w:numId="42">
    <w:abstractNumId w:val="17"/>
  </w:num>
  <w:num w:numId="43">
    <w:abstractNumId w:val="4"/>
  </w:num>
  <w:num w:numId="44">
    <w:abstractNumId w:val="55"/>
  </w:num>
  <w:num w:numId="45">
    <w:abstractNumId w:val="62"/>
  </w:num>
  <w:num w:numId="46">
    <w:abstractNumId w:val="45"/>
  </w:num>
  <w:num w:numId="47">
    <w:abstractNumId w:val="42"/>
  </w:num>
  <w:num w:numId="48">
    <w:abstractNumId w:val="39"/>
  </w:num>
  <w:num w:numId="49">
    <w:abstractNumId w:val="31"/>
  </w:num>
  <w:num w:numId="50">
    <w:abstractNumId w:val="51"/>
  </w:num>
  <w:num w:numId="51">
    <w:abstractNumId w:val="22"/>
  </w:num>
  <w:num w:numId="52">
    <w:abstractNumId w:val="0"/>
  </w:num>
  <w:num w:numId="53">
    <w:abstractNumId w:val="3"/>
  </w:num>
  <w:num w:numId="54">
    <w:abstractNumId w:val="12"/>
  </w:num>
  <w:num w:numId="55">
    <w:abstractNumId w:val="54"/>
  </w:num>
  <w:num w:numId="56">
    <w:abstractNumId w:val="14"/>
  </w:num>
  <w:num w:numId="57">
    <w:abstractNumId w:val="77"/>
  </w:num>
  <w:num w:numId="58">
    <w:abstractNumId w:val="19"/>
  </w:num>
  <w:num w:numId="59">
    <w:abstractNumId w:val="58"/>
  </w:num>
  <w:num w:numId="60">
    <w:abstractNumId w:val="29"/>
  </w:num>
  <w:num w:numId="61">
    <w:abstractNumId w:val="16"/>
  </w:num>
  <w:num w:numId="62">
    <w:abstractNumId w:val="35"/>
  </w:num>
  <w:num w:numId="63">
    <w:abstractNumId w:val="28"/>
  </w:num>
  <w:num w:numId="64">
    <w:abstractNumId w:val="25"/>
  </w:num>
  <w:num w:numId="65">
    <w:abstractNumId w:val="61"/>
  </w:num>
  <w:num w:numId="66">
    <w:abstractNumId w:val="21"/>
  </w:num>
  <w:num w:numId="67">
    <w:abstractNumId w:val="7"/>
  </w:num>
  <w:num w:numId="68">
    <w:abstractNumId w:val="57"/>
  </w:num>
  <w:num w:numId="69">
    <w:abstractNumId w:val="6"/>
  </w:num>
  <w:num w:numId="70">
    <w:abstractNumId w:val="37"/>
  </w:num>
  <w:num w:numId="71">
    <w:abstractNumId w:val="36"/>
  </w:num>
  <w:num w:numId="72">
    <w:abstractNumId w:val="63"/>
  </w:num>
  <w:num w:numId="73">
    <w:abstractNumId w:val="50"/>
  </w:num>
  <w:num w:numId="74">
    <w:abstractNumId w:val="48"/>
  </w:num>
  <w:num w:numId="75">
    <w:abstractNumId w:val="52"/>
  </w:num>
  <w:num w:numId="76">
    <w:abstractNumId w:val="8"/>
  </w:num>
  <w:num w:numId="77">
    <w:abstractNumId w:val="70"/>
  </w:num>
  <w:num w:numId="78">
    <w:abstractNumId w:val="40"/>
  </w:num>
  <w:num w:numId="79">
    <w:abstractNumId w:val="74"/>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55C7"/>
    <w:rsid w:val="00010B48"/>
    <w:rsid w:val="0004418B"/>
    <w:rsid w:val="00046E71"/>
    <w:rsid w:val="000471D4"/>
    <w:rsid w:val="000F38F6"/>
    <w:rsid w:val="000F6FFA"/>
    <w:rsid w:val="0011791E"/>
    <w:rsid w:val="00163A73"/>
    <w:rsid w:val="001756B9"/>
    <w:rsid w:val="00177CBF"/>
    <w:rsid w:val="001A241E"/>
    <w:rsid w:val="001A38F5"/>
    <w:rsid w:val="001E0EAF"/>
    <w:rsid w:val="002169D7"/>
    <w:rsid w:val="00222FD4"/>
    <w:rsid w:val="002534C9"/>
    <w:rsid w:val="00256870"/>
    <w:rsid w:val="00265352"/>
    <w:rsid w:val="002879DA"/>
    <w:rsid w:val="002A44C9"/>
    <w:rsid w:val="002B2D65"/>
    <w:rsid w:val="002B6919"/>
    <w:rsid w:val="002C0080"/>
    <w:rsid w:val="002C18E2"/>
    <w:rsid w:val="00312514"/>
    <w:rsid w:val="0036245F"/>
    <w:rsid w:val="003700EB"/>
    <w:rsid w:val="00371C3C"/>
    <w:rsid w:val="003721BB"/>
    <w:rsid w:val="00392F2C"/>
    <w:rsid w:val="0039383D"/>
    <w:rsid w:val="003C44E6"/>
    <w:rsid w:val="003C45C1"/>
    <w:rsid w:val="003D225B"/>
    <w:rsid w:val="003E027F"/>
    <w:rsid w:val="003E328B"/>
    <w:rsid w:val="00414952"/>
    <w:rsid w:val="00427647"/>
    <w:rsid w:val="00430252"/>
    <w:rsid w:val="00453B7D"/>
    <w:rsid w:val="00460AD8"/>
    <w:rsid w:val="0046646B"/>
    <w:rsid w:val="0049678C"/>
    <w:rsid w:val="004C1A30"/>
    <w:rsid w:val="0051141B"/>
    <w:rsid w:val="00530B16"/>
    <w:rsid w:val="00534320"/>
    <w:rsid w:val="00555D73"/>
    <w:rsid w:val="005A7863"/>
    <w:rsid w:val="005B3FC9"/>
    <w:rsid w:val="00613FB4"/>
    <w:rsid w:val="006144B0"/>
    <w:rsid w:val="00631589"/>
    <w:rsid w:val="006B0E95"/>
    <w:rsid w:val="006B1736"/>
    <w:rsid w:val="006B7D32"/>
    <w:rsid w:val="006D754A"/>
    <w:rsid w:val="006F19B3"/>
    <w:rsid w:val="006F50EA"/>
    <w:rsid w:val="0070677D"/>
    <w:rsid w:val="00712E56"/>
    <w:rsid w:val="00714614"/>
    <w:rsid w:val="007203D8"/>
    <w:rsid w:val="007477F9"/>
    <w:rsid w:val="00756068"/>
    <w:rsid w:val="00773917"/>
    <w:rsid w:val="00773E0C"/>
    <w:rsid w:val="00847594"/>
    <w:rsid w:val="00922E76"/>
    <w:rsid w:val="00961D64"/>
    <w:rsid w:val="00962A8A"/>
    <w:rsid w:val="009A43FC"/>
    <w:rsid w:val="009A7E03"/>
    <w:rsid w:val="009C00F5"/>
    <w:rsid w:val="009F4BBD"/>
    <w:rsid w:val="009F652E"/>
    <w:rsid w:val="00A7288E"/>
    <w:rsid w:val="00A7603B"/>
    <w:rsid w:val="00AC724A"/>
    <w:rsid w:val="00AF3314"/>
    <w:rsid w:val="00AF59EF"/>
    <w:rsid w:val="00B10275"/>
    <w:rsid w:val="00B32139"/>
    <w:rsid w:val="00B35B68"/>
    <w:rsid w:val="00B61B44"/>
    <w:rsid w:val="00B64F32"/>
    <w:rsid w:val="00B7418F"/>
    <w:rsid w:val="00B955C7"/>
    <w:rsid w:val="00BD013A"/>
    <w:rsid w:val="00BD48D8"/>
    <w:rsid w:val="00BF1C9F"/>
    <w:rsid w:val="00C02956"/>
    <w:rsid w:val="00C06F54"/>
    <w:rsid w:val="00C100E7"/>
    <w:rsid w:val="00C55160"/>
    <w:rsid w:val="00C6100D"/>
    <w:rsid w:val="00C61820"/>
    <w:rsid w:val="00C923EF"/>
    <w:rsid w:val="00CB4847"/>
    <w:rsid w:val="00CB660E"/>
    <w:rsid w:val="00CE227C"/>
    <w:rsid w:val="00CE7943"/>
    <w:rsid w:val="00D1568D"/>
    <w:rsid w:val="00D1688F"/>
    <w:rsid w:val="00D506B4"/>
    <w:rsid w:val="00D814EE"/>
    <w:rsid w:val="00D85800"/>
    <w:rsid w:val="00D92EB7"/>
    <w:rsid w:val="00DA6579"/>
    <w:rsid w:val="00DB675D"/>
    <w:rsid w:val="00DB7D75"/>
    <w:rsid w:val="00DF02BF"/>
    <w:rsid w:val="00E14051"/>
    <w:rsid w:val="00E43E00"/>
    <w:rsid w:val="00E97280"/>
    <w:rsid w:val="00EB65A8"/>
    <w:rsid w:val="00EE1085"/>
    <w:rsid w:val="00EE61BC"/>
    <w:rsid w:val="00EF214E"/>
    <w:rsid w:val="00EF3326"/>
    <w:rsid w:val="00F03E14"/>
    <w:rsid w:val="00F03F91"/>
    <w:rsid w:val="00F70ABF"/>
    <w:rsid w:val="00F73898"/>
    <w:rsid w:val="00FB1E64"/>
    <w:rsid w:val="00FB255B"/>
    <w:rsid w:val="00FE78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D46BC7"/>
  <w15:chartTrackingRefBased/>
  <w15:docId w15:val="{A3FF8632-CB77-4165-B053-4684F2B50E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241E"/>
  </w:style>
  <w:style w:type="paragraph" w:styleId="Ttulo2">
    <w:name w:val="heading 2"/>
    <w:basedOn w:val="Normal"/>
    <w:next w:val="Normal"/>
    <w:link w:val="Ttulo2Car"/>
    <w:uiPriority w:val="9"/>
    <w:semiHidden/>
    <w:unhideWhenUsed/>
    <w:qFormat/>
    <w:rsid w:val="007560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B955C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qFormat/>
    <w:rsid w:val="00B955C7"/>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Ttulo5">
    <w:name w:val="heading 5"/>
    <w:basedOn w:val="Normal"/>
    <w:next w:val="Normal"/>
    <w:link w:val="Ttulo5Car"/>
    <w:uiPriority w:val="9"/>
    <w:semiHidden/>
    <w:unhideWhenUsed/>
    <w:qFormat/>
    <w:rsid w:val="007739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basedOn w:val="Fuentedeprrafopredeter"/>
    <w:link w:val="Ttulo4"/>
    <w:uiPriority w:val="9"/>
    <w:rsid w:val="00B955C7"/>
    <w:rPr>
      <w:rFonts w:ascii="Times New Roman" w:eastAsia="Times New Roman" w:hAnsi="Times New Roman" w:cs="Times New Roman"/>
      <w:b/>
      <w:bCs/>
      <w:sz w:val="24"/>
      <w:szCs w:val="24"/>
    </w:rPr>
  </w:style>
  <w:style w:type="character" w:styleId="Textoennegrita">
    <w:name w:val="Strong"/>
    <w:basedOn w:val="Fuentedeprrafopredeter"/>
    <w:uiPriority w:val="22"/>
    <w:qFormat/>
    <w:rsid w:val="00B955C7"/>
    <w:rPr>
      <w:b/>
      <w:bCs/>
    </w:rPr>
  </w:style>
  <w:style w:type="paragraph" w:styleId="Encabezado">
    <w:name w:val="header"/>
    <w:basedOn w:val="Normal"/>
    <w:link w:val="EncabezadoCar"/>
    <w:uiPriority w:val="99"/>
    <w:unhideWhenUsed/>
    <w:rsid w:val="00B955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B955C7"/>
  </w:style>
  <w:style w:type="paragraph" w:styleId="Piedepgina">
    <w:name w:val="footer"/>
    <w:basedOn w:val="Normal"/>
    <w:link w:val="PiedepginaCar"/>
    <w:uiPriority w:val="99"/>
    <w:unhideWhenUsed/>
    <w:rsid w:val="00B955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B955C7"/>
  </w:style>
  <w:style w:type="character" w:customStyle="1" w:styleId="Ttulo3Car">
    <w:name w:val="Título 3 Car"/>
    <w:basedOn w:val="Fuentedeprrafopredeter"/>
    <w:link w:val="Ttulo3"/>
    <w:uiPriority w:val="9"/>
    <w:rsid w:val="00B955C7"/>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B955C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tulo5Car">
    <w:name w:val="Título 5 Car"/>
    <w:basedOn w:val="Fuentedeprrafopredeter"/>
    <w:link w:val="Ttulo5"/>
    <w:uiPriority w:val="9"/>
    <w:semiHidden/>
    <w:rsid w:val="00773917"/>
    <w:rPr>
      <w:rFonts w:asciiTheme="majorHAnsi" w:eastAsiaTheme="majorEastAsia" w:hAnsiTheme="majorHAnsi" w:cstheme="majorBidi"/>
      <w:color w:val="2F5496" w:themeColor="accent1" w:themeShade="BF"/>
    </w:rPr>
  </w:style>
  <w:style w:type="character" w:styleId="Hipervnculo">
    <w:name w:val="Hyperlink"/>
    <w:basedOn w:val="Fuentedeprrafopredeter"/>
    <w:uiPriority w:val="99"/>
    <w:unhideWhenUsed/>
    <w:rsid w:val="009A7E03"/>
    <w:rPr>
      <w:color w:val="0563C1" w:themeColor="hyperlink"/>
      <w:u w:val="single"/>
    </w:rPr>
  </w:style>
  <w:style w:type="character" w:styleId="Mencinsinresolver">
    <w:name w:val="Unresolved Mention"/>
    <w:basedOn w:val="Fuentedeprrafopredeter"/>
    <w:uiPriority w:val="99"/>
    <w:semiHidden/>
    <w:unhideWhenUsed/>
    <w:rsid w:val="009A7E03"/>
    <w:rPr>
      <w:color w:val="605E5C"/>
      <w:shd w:val="clear" w:color="auto" w:fill="E1DFDD"/>
    </w:rPr>
  </w:style>
  <w:style w:type="character" w:styleId="Hipervnculovisitado">
    <w:name w:val="FollowedHyperlink"/>
    <w:basedOn w:val="Fuentedeprrafopredeter"/>
    <w:uiPriority w:val="99"/>
    <w:semiHidden/>
    <w:unhideWhenUsed/>
    <w:rsid w:val="00B10275"/>
    <w:rPr>
      <w:color w:val="954F72" w:themeColor="followedHyperlink"/>
      <w:u w:val="single"/>
    </w:rPr>
  </w:style>
  <w:style w:type="character" w:customStyle="1" w:styleId="Ttulo2Car">
    <w:name w:val="Título 2 Car"/>
    <w:basedOn w:val="Fuentedeprrafopredeter"/>
    <w:link w:val="Ttulo2"/>
    <w:uiPriority w:val="9"/>
    <w:semiHidden/>
    <w:rsid w:val="00756068"/>
    <w:rPr>
      <w:rFonts w:asciiTheme="majorHAnsi" w:eastAsiaTheme="majorEastAsia" w:hAnsiTheme="majorHAnsi" w:cstheme="majorBidi"/>
      <w:color w:val="2F5496" w:themeColor="accent1" w:themeShade="BF"/>
      <w:sz w:val="26"/>
      <w:szCs w:val="26"/>
    </w:rPr>
  </w:style>
  <w:style w:type="character" w:customStyle="1" w:styleId="relative">
    <w:name w:val="relative"/>
    <w:basedOn w:val="Fuentedeprrafopredeter"/>
    <w:rsid w:val="003E027F"/>
  </w:style>
  <w:style w:type="character" w:customStyle="1" w:styleId="ms-1">
    <w:name w:val="ms-1"/>
    <w:basedOn w:val="Fuentedeprrafopredeter"/>
    <w:rsid w:val="003E027F"/>
  </w:style>
  <w:style w:type="character" w:customStyle="1" w:styleId="max-w-full">
    <w:name w:val="max-w-full"/>
    <w:basedOn w:val="Fuentedeprrafopredeter"/>
    <w:rsid w:val="003E027F"/>
  </w:style>
  <w:style w:type="character" w:customStyle="1" w:styleId="-me-1">
    <w:name w:val="-me-1"/>
    <w:basedOn w:val="Fuentedeprrafopredeter"/>
    <w:rsid w:val="003E027F"/>
  </w:style>
  <w:style w:type="character" w:styleId="CdigoHTML">
    <w:name w:val="HTML Code"/>
    <w:basedOn w:val="Fuentedeprrafopredeter"/>
    <w:uiPriority w:val="99"/>
    <w:semiHidden/>
    <w:unhideWhenUsed/>
    <w:rsid w:val="006B7D32"/>
    <w:rPr>
      <w:rFonts w:ascii="Courier New" w:eastAsia="Times New Roman" w:hAnsi="Courier New" w:cs="Courier New"/>
      <w:sz w:val="20"/>
      <w:szCs w:val="20"/>
    </w:rPr>
  </w:style>
  <w:style w:type="paragraph" w:customStyle="1" w:styleId="font-claude-response-body">
    <w:name w:val="font-claude-response-body"/>
    <w:basedOn w:val="Normal"/>
    <w:rsid w:val="00265352"/>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26535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3228">
      <w:bodyDiv w:val="1"/>
      <w:marLeft w:val="0"/>
      <w:marRight w:val="0"/>
      <w:marTop w:val="0"/>
      <w:marBottom w:val="0"/>
      <w:divBdr>
        <w:top w:val="none" w:sz="0" w:space="0" w:color="auto"/>
        <w:left w:val="none" w:sz="0" w:space="0" w:color="auto"/>
        <w:bottom w:val="none" w:sz="0" w:space="0" w:color="auto"/>
        <w:right w:val="none" w:sz="0" w:space="0" w:color="auto"/>
      </w:divBdr>
    </w:div>
    <w:div w:id="15428961">
      <w:bodyDiv w:val="1"/>
      <w:marLeft w:val="0"/>
      <w:marRight w:val="0"/>
      <w:marTop w:val="0"/>
      <w:marBottom w:val="0"/>
      <w:divBdr>
        <w:top w:val="none" w:sz="0" w:space="0" w:color="auto"/>
        <w:left w:val="none" w:sz="0" w:space="0" w:color="auto"/>
        <w:bottom w:val="none" w:sz="0" w:space="0" w:color="auto"/>
        <w:right w:val="none" w:sz="0" w:space="0" w:color="auto"/>
      </w:divBdr>
      <w:divsChild>
        <w:div w:id="1124470555">
          <w:marLeft w:val="0"/>
          <w:marRight w:val="0"/>
          <w:marTop w:val="0"/>
          <w:marBottom w:val="0"/>
          <w:divBdr>
            <w:top w:val="none" w:sz="0" w:space="0" w:color="auto"/>
            <w:left w:val="none" w:sz="0" w:space="0" w:color="auto"/>
            <w:bottom w:val="none" w:sz="0" w:space="0" w:color="auto"/>
            <w:right w:val="none" w:sz="0" w:space="0" w:color="auto"/>
          </w:divBdr>
          <w:divsChild>
            <w:div w:id="61822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25074">
      <w:bodyDiv w:val="1"/>
      <w:marLeft w:val="0"/>
      <w:marRight w:val="0"/>
      <w:marTop w:val="0"/>
      <w:marBottom w:val="0"/>
      <w:divBdr>
        <w:top w:val="none" w:sz="0" w:space="0" w:color="auto"/>
        <w:left w:val="none" w:sz="0" w:space="0" w:color="auto"/>
        <w:bottom w:val="none" w:sz="0" w:space="0" w:color="auto"/>
        <w:right w:val="none" w:sz="0" w:space="0" w:color="auto"/>
      </w:divBdr>
    </w:div>
    <w:div w:id="44647420">
      <w:bodyDiv w:val="1"/>
      <w:marLeft w:val="0"/>
      <w:marRight w:val="0"/>
      <w:marTop w:val="0"/>
      <w:marBottom w:val="0"/>
      <w:divBdr>
        <w:top w:val="none" w:sz="0" w:space="0" w:color="auto"/>
        <w:left w:val="none" w:sz="0" w:space="0" w:color="auto"/>
        <w:bottom w:val="none" w:sz="0" w:space="0" w:color="auto"/>
        <w:right w:val="none" w:sz="0" w:space="0" w:color="auto"/>
      </w:divBdr>
    </w:div>
    <w:div w:id="48578367">
      <w:bodyDiv w:val="1"/>
      <w:marLeft w:val="0"/>
      <w:marRight w:val="0"/>
      <w:marTop w:val="0"/>
      <w:marBottom w:val="0"/>
      <w:divBdr>
        <w:top w:val="none" w:sz="0" w:space="0" w:color="auto"/>
        <w:left w:val="none" w:sz="0" w:space="0" w:color="auto"/>
        <w:bottom w:val="none" w:sz="0" w:space="0" w:color="auto"/>
        <w:right w:val="none" w:sz="0" w:space="0" w:color="auto"/>
      </w:divBdr>
    </w:div>
    <w:div w:id="51271250">
      <w:bodyDiv w:val="1"/>
      <w:marLeft w:val="0"/>
      <w:marRight w:val="0"/>
      <w:marTop w:val="0"/>
      <w:marBottom w:val="0"/>
      <w:divBdr>
        <w:top w:val="none" w:sz="0" w:space="0" w:color="auto"/>
        <w:left w:val="none" w:sz="0" w:space="0" w:color="auto"/>
        <w:bottom w:val="none" w:sz="0" w:space="0" w:color="auto"/>
        <w:right w:val="none" w:sz="0" w:space="0" w:color="auto"/>
      </w:divBdr>
    </w:div>
    <w:div w:id="84346817">
      <w:bodyDiv w:val="1"/>
      <w:marLeft w:val="0"/>
      <w:marRight w:val="0"/>
      <w:marTop w:val="0"/>
      <w:marBottom w:val="0"/>
      <w:divBdr>
        <w:top w:val="none" w:sz="0" w:space="0" w:color="auto"/>
        <w:left w:val="none" w:sz="0" w:space="0" w:color="auto"/>
        <w:bottom w:val="none" w:sz="0" w:space="0" w:color="auto"/>
        <w:right w:val="none" w:sz="0" w:space="0" w:color="auto"/>
      </w:divBdr>
    </w:div>
    <w:div w:id="102767803">
      <w:bodyDiv w:val="1"/>
      <w:marLeft w:val="0"/>
      <w:marRight w:val="0"/>
      <w:marTop w:val="0"/>
      <w:marBottom w:val="0"/>
      <w:divBdr>
        <w:top w:val="none" w:sz="0" w:space="0" w:color="auto"/>
        <w:left w:val="none" w:sz="0" w:space="0" w:color="auto"/>
        <w:bottom w:val="none" w:sz="0" w:space="0" w:color="auto"/>
        <w:right w:val="none" w:sz="0" w:space="0" w:color="auto"/>
      </w:divBdr>
    </w:div>
    <w:div w:id="107895348">
      <w:bodyDiv w:val="1"/>
      <w:marLeft w:val="0"/>
      <w:marRight w:val="0"/>
      <w:marTop w:val="0"/>
      <w:marBottom w:val="0"/>
      <w:divBdr>
        <w:top w:val="none" w:sz="0" w:space="0" w:color="auto"/>
        <w:left w:val="none" w:sz="0" w:space="0" w:color="auto"/>
        <w:bottom w:val="none" w:sz="0" w:space="0" w:color="auto"/>
        <w:right w:val="none" w:sz="0" w:space="0" w:color="auto"/>
      </w:divBdr>
    </w:div>
    <w:div w:id="135730656">
      <w:bodyDiv w:val="1"/>
      <w:marLeft w:val="0"/>
      <w:marRight w:val="0"/>
      <w:marTop w:val="0"/>
      <w:marBottom w:val="0"/>
      <w:divBdr>
        <w:top w:val="none" w:sz="0" w:space="0" w:color="auto"/>
        <w:left w:val="none" w:sz="0" w:space="0" w:color="auto"/>
        <w:bottom w:val="none" w:sz="0" w:space="0" w:color="auto"/>
        <w:right w:val="none" w:sz="0" w:space="0" w:color="auto"/>
      </w:divBdr>
    </w:div>
    <w:div w:id="150870163">
      <w:bodyDiv w:val="1"/>
      <w:marLeft w:val="0"/>
      <w:marRight w:val="0"/>
      <w:marTop w:val="0"/>
      <w:marBottom w:val="0"/>
      <w:divBdr>
        <w:top w:val="none" w:sz="0" w:space="0" w:color="auto"/>
        <w:left w:val="none" w:sz="0" w:space="0" w:color="auto"/>
        <w:bottom w:val="none" w:sz="0" w:space="0" w:color="auto"/>
        <w:right w:val="none" w:sz="0" w:space="0" w:color="auto"/>
      </w:divBdr>
    </w:div>
    <w:div w:id="171263061">
      <w:bodyDiv w:val="1"/>
      <w:marLeft w:val="0"/>
      <w:marRight w:val="0"/>
      <w:marTop w:val="0"/>
      <w:marBottom w:val="0"/>
      <w:divBdr>
        <w:top w:val="none" w:sz="0" w:space="0" w:color="auto"/>
        <w:left w:val="none" w:sz="0" w:space="0" w:color="auto"/>
        <w:bottom w:val="none" w:sz="0" w:space="0" w:color="auto"/>
        <w:right w:val="none" w:sz="0" w:space="0" w:color="auto"/>
      </w:divBdr>
    </w:div>
    <w:div w:id="181554410">
      <w:bodyDiv w:val="1"/>
      <w:marLeft w:val="0"/>
      <w:marRight w:val="0"/>
      <w:marTop w:val="0"/>
      <w:marBottom w:val="0"/>
      <w:divBdr>
        <w:top w:val="none" w:sz="0" w:space="0" w:color="auto"/>
        <w:left w:val="none" w:sz="0" w:space="0" w:color="auto"/>
        <w:bottom w:val="none" w:sz="0" w:space="0" w:color="auto"/>
        <w:right w:val="none" w:sz="0" w:space="0" w:color="auto"/>
      </w:divBdr>
    </w:div>
    <w:div w:id="186994366">
      <w:bodyDiv w:val="1"/>
      <w:marLeft w:val="0"/>
      <w:marRight w:val="0"/>
      <w:marTop w:val="0"/>
      <w:marBottom w:val="0"/>
      <w:divBdr>
        <w:top w:val="none" w:sz="0" w:space="0" w:color="auto"/>
        <w:left w:val="none" w:sz="0" w:space="0" w:color="auto"/>
        <w:bottom w:val="none" w:sz="0" w:space="0" w:color="auto"/>
        <w:right w:val="none" w:sz="0" w:space="0" w:color="auto"/>
      </w:divBdr>
      <w:divsChild>
        <w:div w:id="804812455">
          <w:marLeft w:val="0"/>
          <w:marRight w:val="0"/>
          <w:marTop w:val="0"/>
          <w:marBottom w:val="0"/>
          <w:divBdr>
            <w:top w:val="none" w:sz="0" w:space="0" w:color="auto"/>
            <w:left w:val="none" w:sz="0" w:space="0" w:color="auto"/>
            <w:bottom w:val="none" w:sz="0" w:space="0" w:color="auto"/>
            <w:right w:val="none" w:sz="0" w:space="0" w:color="auto"/>
          </w:divBdr>
          <w:divsChild>
            <w:div w:id="155154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1472">
      <w:bodyDiv w:val="1"/>
      <w:marLeft w:val="0"/>
      <w:marRight w:val="0"/>
      <w:marTop w:val="0"/>
      <w:marBottom w:val="0"/>
      <w:divBdr>
        <w:top w:val="none" w:sz="0" w:space="0" w:color="auto"/>
        <w:left w:val="none" w:sz="0" w:space="0" w:color="auto"/>
        <w:bottom w:val="none" w:sz="0" w:space="0" w:color="auto"/>
        <w:right w:val="none" w:sz="0" w:space="0" w:color="auto"/>
      </w:divBdr>
    </w:div>
    <w:div w:id="219097491">
      <w:bodyDiv w:val="1"/>
      <w:marLeft w:val="0"/>
      <w:marRight w:val="0"/>
      <w:marTop w:val="0"/>
      <w:marBottom w:val="0"/>
      <w:divBdr>
        <w:top w:val="none" w:sz="0" w:space="0" w:color="auto"/>
        <w:left w:val="none" w:sz="0" w:space="0" w:color="auto"/>
        <w:bottom w:val="none" w:sz="0" w:space="0" w:color="auto"/>
        <w:right w:val="none" w:sz="0" w:space="0" w:color="auto"/>
      </w:divBdr>
    </w:div>
    <w:div w:id="253438928">
      <w:bodyDiv w:val="1"/>
      <w:marLeft w:val="0"/>
      <w:marRight w:val="0"/>
      <w:marTop w:val="0"/>
      <w:marBottom w:val="0"/>
      <w:divBdr>
        <w:top w:val="none" w:sz="0" w:space="0" w:color="auto"/>
        <w:left w:val="none" w:sz="0" w:space="0" w:color="auto"/>
        <w:bottom w:val="none" w:sz="0" w:space="0" w:color="auto"/>
        <w:right w:val="none" w:sz="0" w:space="0" w:color="auto"/>
      </w:divBdr>
      <w:divsChild>
        <w:div w:id="1049575489">
          <w:marLeft w:val="0"/>
          <w:marRight w:val="0"/>
          <w:marTop w:val="0"/>
          <w:marBottom w:val="0"/>
          <w:divBdr>
            <w:top w:val="none" w:sz="0" w:space="0" w:color="auto"/>
            <w:left w:val="none" w:sz="0" w:space="0" w:color="auto"/>
            <w:bottom w:val="none" w:sz="0" w:space="0" w:color="auto"/>
            <w:right w:val="none" w:sz="0" w:space="0" w:color="auto"/>
          </w:divBdr>
          <w:divsChild>
            <w:div w:id="853151446">
              <w:marLeft w:val="0"/>
              <w:marRight w:val="0"/>
              <w:marTop w:val="0"/>
              <w:marBottom w:val="0"/>
              <w:divBdr>
                <w:top w:val="none" w:sz="0" w:space="0" w:color="auto"/>
                <w:left w:val="none" w:sz="0" w:space="0" w:color="auto"/>
                <w:bottom w:val="none" w:sz="0" w:space="0" w:color="auto"/>
                <w:right w:val="none" w:sz="0" w:space="0" w:color="auto"/>
              </w:divBdr>
              <w:divsChild>
                <w:div w:id="1589121360">
                  <w:marLeft w:val="0"/>
                  <w:marRight w:val="0"/>
                  <w:marTop w:val="0"/>
                  <w:marBottom w:val="0"/>
                  <w:divBdr>
                    <w:top w:val="none" w:sz="0" w:space="0" w:color="auto"/>
                    <w:left w:val="none" w:sz="0" w:space="0" w:color="auto"/>
                    <w:bottom w:val="none" w:sz="0" w:space="0" w:color="auto"/>
                    <w:right w:val="none" w:sz="0" w:space="0" w:color="auto"/>
                  </w:divBdr>
                  <w:divsChild>
                    <w:div w:id="176038493">
                      <w:marLeft w:val="0"/>
                      <w:marRight w:val="0"/>
                      <w:marTop w:val="0"/>
                      <w:marBottom w:val="0"/>
                      <w:divBdr>
                        <w:top w:val="none" w:sz="0" w:space="0" w:color="auto"/>
                        <w:left w:val="none" w:sz="0" w:space="0" w:color="auto"/>
                        <w:bottom w:val="none" w:sz="0" w:space="0" w:color="auto"/>
                        <w:right w:val="none" w:sz="0" w:space="0" w:color="auto"/>
                      </w:divBdr>
                      <w:divsChild>
                        <w:div w:id="1913389667">
                          <w:marLeft w:val="0"/>
                          <w:marRight w:val="0"/>
                          <w:marTop w:val="0"/>
                          <w:marBottom w:val="0"/>
                          <w:divBdr>
                            <w:top w:val="none" w:sz="0" w:space="0" w:color="auto"/>
                            <w:left w:val="none" w:sz="0" w:space="0" w:color="auto"/>
                            <w:bottom w:val="none" w:sz="0" w:space="0" w:color="auto"/>
                            <w:right w:val="none" w:sz="0" w:space="0" w:color="auto"/>
                          </w:divBdr>
                          <w:divsChild>
                            <w:div w:id="7418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0691281">
      <w:bodyDiv w:val="1"/>
      <w:marLeft w:val="0"/>
      <w:marRight w:val="0"/>
      <w:marTop w:val="0"/>
      <w:marBottom w:val="0"/>
      <w:divBdr>
        <w:top w:val="none" w:sz="0" w:space="0" w:color="auto"/>
        <w:left w:val="none" w:sz="0" w:space="0" w:color="auto"/>
        <w:bottom w:val="none" w:sz="0" w:space="0" w:color="auto"/>
        <w:right w:val="none" w:sz="0" w:space="0" w:color="auto"/>
      </w:divBdr>
    </w:div>
    <w:div w:id="292490051">
      <w:bodyDiv w:val="1"/>
      <w:marLeft w:val="0"/>
      <w:marRight w:val="0"/>
      <w:marTop w:val="0"/>
      <w:marBottom w:val="0"/>
      <w:divBdr>
        <w:top w:val="none" w:sz="0" w:space="0" w:color="auto"/>
        <w:left w:val="none" w:sz="0" w:space="0" w:color="auto"/>
        <w:bottom w:val="none" w:sz="0" w:space="0" w:color="auto"/>
        <w:right w:val="none" w:sz="0" w:space="0" w:color="auto"/>
      </w:divBdr>
    </w:div>
    <w:div w:id="324747499">
      <w:bodyDiv w:val="1"/>
      <w:marLeft w:val="0"/>
      <w:marRight w:val="0"/>
      <w:marTop w:val="0"/>
      <w:marBottom w:val="0"/>
      <w:divBdr>
        <w:top w:val="none" w:sz="0" w:space="0" w:color="auto"/>
        <w:left w:val="none" w:sz="0" w:space="0" w:color="auto"/>
        <w:bottom w:val="none" w:sz="0" w:space="0" w:color="auto"/>
        <w:right w:val="none" w:sz="0" w:space="0" w:color="auto"/>
      </w:divBdr>
    </w:div>
    <w:div w:id="337998454">
      <w:bodyDiv w:val="1"/>
      <w:marLeft w:val="0"/>
      <w:marRight w:val="0"/>
      <w:marTop w:val="0"/>
      <w:marBottom w:val="0"/>
      <w:divBdr>
        <w:top w:val="none" w:sz="0" w:space="0" w:color="auto"/>
        <w:left w:val="none" w:sz="0" w:space="0" w:color="auto"/>
        <w:bottom w:val="none" w:sz="0" w:space="0" w:color="auto"/>
        <w:right w:val="none" w:sz="0" w:space="0" w:color="auto"/>
      </w:divBdr>
    </w:div>
    <w:div w:id="347830327">
      <w:bodyDiv w:val="1"/>
      <w:marLeft w:val="0"/>
      <w:marRight w:val="0"/>
      <w:marTop w:val="0"/>
      <w:marBottom w:val="0"/>
      <w:divBdr>
        <w:top w:val="none" w:sz="0" w:space="0" w:color="auto"/>
        <w:left w:val="none" w:sz="0" w:space="0" w:color="auto"/>
        <w:bottom w:val="none" w:sz="0" w:space="0" w:color="auto"/>
        <w:right w:val="none" w:sz="0" w:space="0" w:color="auto"/>
      </w:divBdr>
    </w:div>
    <w:div w:id="352074025">
      <w:bodyDiv w:val="1"/>
      <w:marLeft w:val="0"/>
      <w:marRight w:val="0"/>
      <w:marTop w:val="0"/>
      <w:marBottom w:val="0"/>
      <w:divBdr>
        <w:top w:val="none" w:sz="0" w:space="0" w:color="auto"/>
        <w:left w:val="none" w:sz="0" w:space="0" w:color="auto"/>
        <w:bottom w:val="none" w:sz="0" w:space="0" w:color="auto"/>
        <w:right w:val="none" w:sz="0" w:space="0" w:color="auto"/>
      </w:divBdr>
    </w:div>
    <w:div w:id="354237577">
      <w:bodyDiv w:val="1"/>
      <w:marLeft w:val="0"/>
      <w:marRight w:val="0"/>
      <w:marTop w:val="0"/>
      <w:marBottom w:val="0"/>
      <w:divBdr>
        <w:top w:val="none" w:sz="0" w:space="0" w:color="auto"/>
        <w:left w:val="none" w:sz="0" w:space="0" w:color="auto"/>
        <w:bottom w:val="none" w:sz="0" w:space="0" w:color="auto"/>
        <w:right w:val="none" w:sz="0" w:space="0" w:color="auto"/>
      </w:divBdr>
    </w:div>
    <w:div w:id="367340208">
      <w:bodyDiv w:val="1"/>
      <w:marLeft w:val="0"/>
      <w:marRight w:val="0"/>
      <w:marTop w:val="0"/>
      <w:marBottom w:val="0"/>
      <w:divBdr>
        <w:top w:val="none" w:sz="0" w:space="0" w:color="auto"/>
        <w:left w:val="none" w:sz="0" w:space="0" w:color="auto"/>
        <w:bottom w:val="none" w:sz="0" w:space="0" w:color="auto"/>
        <w:right w:val="none" w:sz="0" w:space="0" w:color="auto"/>
      </w:divBdr>
      <w:divsChild>
        <w:div w:id="1096513845">
          <w:marLeft w:val="0"/>
          <w:marRight w:val="0"/>
          <w:marTop w:val="0"/>
          <w:marBottom w:val="0"/>
          <w:divBdr>
            <w:top w:val="none" w:sz="0" w:space="0" w:color="auto"/>
            <w:left w:val="none" w:sz="0" w:space="0" w:color="auto"/>
            <w:bottom w:val="none" w:sz="0" w:space="0" w:color="auto"/>
            <w:right w:val="none" w:sz="0" w:space="0" w:color="auto"/>
          </w:divBdr>
          <w:divsChild>
            <w:div w:id="660352608">
              <w:marLeft w:val="0"/>
              <w:marRight w:val="0"/>
              <w:marTop w:val="0"/>
              <w:marBottom w:val="0"/>
              <w:divBdr>
                <w:top w:val="none" w:sz="0" w:space="0" w:color="auto"/>
                <w:left w:val="none" w:sz="0" w:space="0" w:color="auto"/>
                <w:bottom w:val="none" w:sz="0" w:space="0" w:color="auto"/>
                <w:right w:val="none" w:sz="0" w:space="0" w:color="auto"/>
              </w:divBdr>
              <w:divsChild>
                <w:div w:id="2130925688">
                  <w:marLeft w:val="0"/>
                  <w:marRight w:val="0"/>
                  <w:marTop w:val="0"/>
                  <w:marBottom w:val="0"/>
                  <w:divBdr>
                    <w:top w:val="none" w:sz="0" w:space="0" w:color="auto"/>
                    <w:left w:val="none" w:sz="0" w:space="0" w:color="auto"/>
                    <w:bottom w:val="none" w:sz="0" w:space="0" w:color="auto"/>
                    <w:right w:val="none" w:sz="0" w:space="0" w:color="auto"/>
                  </w:divBdr>
                  <w:divsChild>
                    <w:div w:id="1591622874">
                      <w:marLeft w:val="0"/>
                      <w:marRight w:val="0"/>
                      <w:marTop w:val="0"/>
                      <w:marBottom w:val="0"/>
                      <w:divBdr>
                        <w:top w:val="none" w:sz="0" w:space="0" w:color="auto"/>
                        <w:left w:val="none" w:sz="0" w:space="0" w:color="auto"/>
                        <w:bottom w:val="none" w:sz="0" w:space="0" w:color="auto"/>
                        <w:right w:val="none" w:sz="0" w:space="0" w:color="auto"/>
                      </w:divBdr>
                      <w:divsChild>
                        <w:div w:id="1976180377">
                          <w:marLeft w:val="0"/>
                          <w:marRight w:val="0"/>
                          <w:marTop w:val="0"/>
                          <w:marBottom w:val="0"/>
                          <w:divBdr>
                            <w:top w:val="none" w:sz="0" w:space="0" w:color="auto"/>
                            <w:left w:val="none" w:sz="0" w:space="0" w:color="auto"/>
                            <w:bottom w:val="none" w:sz="0" w:space="0" w:color="auto"/>
                            <w:right w:val="none" w:sz="0" w:space="0" w:color="auto"/>
                          </w:divBdr>
                          <w:divsChild>
                            <w:div w:id="88907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738143">
      <w:bodyDiv w:val="1"/>
      <w:marLeft w:val="0"/>
      <w:marRight w:val="0"/>
      <w:marTop w:val="0"/>
      <w:marBottom w:val="0"/>
      <w:divBdr>
        <w:top w:val="none" w:sz="0" w:space="0" w:color="auto"/>
        <w:left w:val="none" w:sz="0" w:space="0" w:color="auto"/>
        <w:bottom w:val="none" w:sz="0" w:space="0" w:color="auto"/>
        <w:right w:val="none" w:sz="0" w:space="0" w:color="auto"/>
      </w:divBdr>
    </w:div>
    <w:div w:id="423258853">
      <w:bodyDiv w:val="1"/>
      <w:marLeft w:val="0"/>
      <w:marRight w:val="0"/>
      <w:marTop w:val="0"/>
      <w:marBottom w:val="0"/>
      <w:divBdr>
        <w:top w:val="none" w:sz="0" w:space="0" w:color="auto"/>
        <w:left w:val="none" w:sz="0" w:space="0" w:color="auto"/>
        <w:bottom w:val="none" w:sz="0" w:space="0" w:color="auto"/>
        <w:right w:val="none" w:sz="0" w:space="0" w:color="auto"/>
      </w:divBdr>
      <w:divsChild>
        <w:div w:id="25493678">
          <w:marLeft w:val="0"/>
          <w:marRight w:val="0"/>
          <w:marTop w:val="0"/>
          <w:marBottom w:val="0"/>
          <w:divBdr>
            <w:top w:val="none" w:sz="0" w:space="0" w:color="auto"/>
            <w:left w:val="none" w:sz="0" w:space="0" w:color="auto"/>
            <w:bottom w:val="none" w:sz="0" w:space="0" w:color="auto"/>
            <w:right w:val="none" w:sz="0" w:space="0" w:color="auto"/>
          </w:divBdr>
          <w:divsChild>
            <w:div w:id="521015280">
              <w:marLeft w:val="0"/>
              <w:marRight w:val="0"/>
              <w:marTop w:val="0"/>
              <w:marBottom w:val="0"/>
              <w:divBdr>
                <w:top w:val="none" w:sz="0" w:space="0" w:color="auto"/>
                <w:left w:val="none" w:sz="0" w:space="0" w:color="auto"/>
                <w:bottom w:val="none" w:sz="0" w:space="0" w:color="auto"/>
                <w:right w:val="none" w:sz="0" w:space="0" w:color="auto"/>
              </w:divBdr>
              <w:divsChild>
                <w:div w:id="1100179527">
                  <w:marLeft w:val="0"/>
                  <w:marRight w:val="0"/>
                  <w:marTop w:val="0"/>
                  <w:marBottom w:val="0"/>
                  <w:divBdr>
                    <w:top w:val="none" w:sz="0" w:space="0" w:color="auto"/>
                    <w:left w:val="none" w:sz="0" w:space="0" w:color="auto"/>
                    <w:bottom w:val="none" w:sz="0" w:space="0" w:color="auto"/>
                    <w:right w:val="none" w:sz="0" w:space="0" w:color="auto"/>
                  </w:divBdr>
                  <w:divsChild>
                    <w:div w:id="1609198785">
                      <w:marLeft w:val="0"/>
                      <w:marRight w:val="0"/>
                      <w:marTop w:val="0"/>
                      <w:marBottom w:val="0"/>
                      <w:divBdr>
                        <w:top w:val="none" w:sz="0" w:space="0" w:color="auto"/>
                        <w:left w:val="none" w:sz="0" w:space="0" w:color="auto"/>
                        <w:bottom w:val="none" w:sz="0" w:space="0" w:color="auto"/>
                        <w:right w:val="none" w:sz="0" w:space="0" w:color="auto"/>
                      </w:divBdr>
                      <w:divsChild>
                        <w:div w:id="124809857">
                          <w:marLeft w:val="0"/>
                          <w:marRight w:val="0"/>
                          <w:marTop w:val="0"/>
                          <w:marBottom w:val="0"/>
                          <w:divBdr>
                            <w:top w:val="none" w:sz="0" w:space="0" w:color="auto"/>
                            <w:left w:val="none" w:sz="0" w:space="0" w:color="auto"/>
                            <w:bottom w:val="none" w:sz="0" w:space="0" w:color="auto"/>
                            <w:right w:val="none" w:sz="0" w:space="0" w:color="auto"/>
                          </w:divBdr>
                          <w:divsChild>
                            <w:div w:id="207219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2628165">
      <w:bodyDiv w:val="1"/>
      <w:marLeft w:val="0"/>
      <w:marRight w:val="0"/>
      <w:marTop w:val="0"/>
      <w:marBottom w:val="0"/>
      <w:divBdr>
        <w:top w:val="none" w:sz="0" w:space="0" w:color="auto"/>
        <w:left w:val="none" w:sz="0" w:space="0" w:color="auto"/>
        <w:bottom w:val="none" w:sz="0" w:space="0" w:color="auto"/>
        <w:right w:val="none" w:sz="0" w:space="0" w:color="auto"/>
      </w:divBdr>
    </w:div>
    <w:div w:id="434902590">
      <w:bodyDiv w:val="1"/>
      <w:marLeft w:val="0"/>
      <w:marRight w:val="0"/>
      <w:marTop w:val="0"/>
      <w:marBottom w:val="0"/>
      <w:divBdr>
        <w:top w:val="none" w:sz="0" w:space="0" w:color="auto"/>
        <w:left w:val="none" w:sz="0" w:space="0" w:color="auto"/>
        <w:bottom w:val="none" w:sz="0" w:space="0" w:color="auto"/>
        <w:right w:val="none" w:sz="0" w:space="0" w:color="auto"/>
      </w:divBdr>
    </w:div>
    <w:div w:id="435515237">
      <w:bodyDiv w:val="1"/>
      <w:marLeft w:val="0"/>
      <w:marRight w:val="0"/>
      <w:marTop w:val="0"/>
      <w:marBottom w:val="0"/>
      <w:divBdr>
        <w:top w:val="none" w:sz="0" w:space="0" w:color="auto"/>
        <w:left w:val="none" w:sz="0" w:space="0" w:color="auto"/>
        <w:bottom w:val="none" w:sz="0" w:space="0" w:color="auto"/>
        <w:right w:val="none" w:sz="0" w:space="0" w:color="auto"/>
      </w:divBdr>
    </w:div>
    <w:div w:id="440489545">
      <w:bodyDiv w:val="1"/>
      <w:marLeft w:val="0"/>
      <w:marRight w:val="0"/>
      <w:marTop w:val="0"/>
      <w:marBottom w:val="0"/>
      <w:divBdr>
        <w:top w:val="none" w:sz="0" w:space="0" w:color="auto"/>
        <w:left w:val="none" w:sz="0" w:space="0" w:color="auto"/>
        <w:bottom w:val="none" w:sz="0" w:space="0" w:color="auto"/>
        <w:right w:val="none" w:sz="0" w:space="0" w:color="auto"/>
      </w:divBdr>
    </w:div>
    <w:div w:id="493763156">
      <w:bodyDiv w:val="1"/>
      <w:marLeft w:val="0"/>
      <w:marRight w:val="0"/>
      <w:marTop w:val="0"/>
      <w:marBottom w:val="0"/>
      <w:divBdr>
        <w:top w:val="none" w:sz="0" w:space="0" w:color="auto"/>
        <w:left w:val="none" w:sz="0" w:space="0" w:color="auto"/>
        <w:bottom w:val="none" w:sz="0" w:space="0" w:color="auto"/>
        <w:right w:val="none" w:sz="0" w:space="0" w:color="auto"/>
      </w:divBdr>
    </w:div>
    <w:div w:id="528184836">
      <w:bodyDiv w:val="1"/>
      <w:marLeft w:val="0"/>
      <w:marRight w:val="0"/>
      <w:marTop w:val="0"/>
      <w:marBottom w:val="0"/>
      <w:divBdr>
        <w:top w:val="none" w:sz="0" w:space="0" w:color="auto"/>
        <w:left w:val="none" w:sz="0" w:space="0" w:color="auto"/>
        <w:bottom w:val="none" w:sz="0" w:space="0" w:color="auto"/>
        <w:right w:val="none" w:sz="0" w:space="0" w:color="auto"/>
      </w:divBdr>
    </w:div>
    <w:div w:id="543105012">
      <w:bodyDiv w:val="1"/>
      <w:marLeft w:val="0"/>
      <w:marRight w:val="0"/>
      <w:marTop w:val="0"/>
      <w:marBottom w:val="0"/>
      <w:divBdr>
        <w:top w:val="none" w:sz="0" w:space="0" w:color="auto"/>
        <w:left w:val="none" w:sz="0" w:space="0" w:color="auto"/>
        <w:bottom w:val="none" w:sz="0" w:space="0" w:color="auto"/>
        <w:right w:val="none" w:sz="0" w:space="0" w:color="auto"/>
      </w:divBdr>
    </w:div>
    <w:div w:id="544952369">
      <w:bodyDiv w:val="1"/>
      <w:marLeft w:val="0"/>
      <w:marRight w:val="0"/>
      <w:marTop w:val="0"/>
      <w:marBottom w:val="0"/>
      <w:divBdr>
        <w:top w:val="none" w:sz="0" w:space="0" w:color="auto"/>
        <w:left w:val="none" w:sz="0" w:space="0" w:color="auto"/>
        <w:bottom w:val="none" w:sz="0" w:space="0" w:color="auto"/>
        <w:right w:val="none" w:sz="0" w:space="0" w:color="auto"/>
      </w:divBdr>
    </w:div>
    <w:div w:id="577323959">
      <w:bodyDiv w:val="1"/>
      <w:marLeft w:val="0"/>
      <w:marRight w:val="0"/>
      <w:marTop w:val="0"/>
      <w:marBottom w:val="0"/>
      <w:divBdr>
        <w:top w:val="none" w:sz="0" w:space="0" w:color="auto"/>
        <w:left w:val="none" w:sz="0" w:space="0" w:color="auto"/>
        <w:bottom w:val="none" w:sz="0" w:space="0" w:color="auto"/>
        <w:right w:val="none" w:sz="0" w:space="0" w:color="auto"/>
      </w:divBdr>
    </w:div>
    <w:div w:id="582566826">
      <w:bodyDiv w:val="1"/>
      <w:marLeft w:val="0"/>
      <w:marRight w:val="0"/>
      <w:marTop w:val="0"/>
      <w:marBottom w:val="0"/>
      <w:divBdr>
        <w:top w:val="none" w:sz="0" w:space="0" w:color="auto"/>
        <w:left w:val="none" w:sz="0" w:space="0" w:color="auto"/>
        <w:bottom w:val="none" w:sz="0" w:space="0" w:color="auto"/>
        <w:right w:val="none" w:sz="0" w:space="0" w:color="auto"/>
      </w:divBdr>
    </w:div>
    <w:div w:id="591746064">
      <w:bodyDiv w:val="1"/>
      <w:marLeft w:val="0"/>
      <w:marRight w:val="0"/>
      <w:marTop w:val="0"/>
      <w:marBottom w:val="0"/>
      <w:divBdr>
        <w:top w:val="none" w:sz="0" w:space="0" w:color="auto"/>
        <w:left w:val="none" w:sz="0" w:space="0" w:color="auto"/>
        <w:bottom w:val="none" w:sz="0" w:space="0" w:color="auto"/>
        <w:right w:val="none" w:sz="0" w:space="0" w:color="auto"/>
      </w:divBdr>
    </w:div>
    <w:div w:id="592319136">
      <w:bodyDiv w:val="1"/>
      <w:marLeft w:val="0"/>
      <w:marRight w:val="0"/>
      <w:marTop w:val="0"/>
      <w:marBottom w:val="0"/>
      <w:divBdr>
        <w:top w:val="none" w:sz="0" w:space="0" w:color="auto"/>
        <w:left w:val="none" w:sz="0" w:space="0" w:color="auto"/>
        <w:bottom w:val="none" w:sz="0" w:space="0" w:color="auto"/>
        <w:right w:val="none" w:sz="0" w:space="0" w:color="auto"/>
      </w:divBdr>
    </w:div>
    <w:div w:id="622003310">
      <w:bodyDiv w:val="1"/>
      <w:marLeft w:val="0"/>
      <w:marRight w:val="0"/>
      <w:marTop w:val="0"/>
      <w:marBottom w:val="0"/>
      <w:divBdr>
        <w:top w:val="none" w:sz="0" w:space="0" w:color="auto"/>
        <w:left w:val="none" w:sz="0" w:space="0" w:color="auto"/>
        <w:bottom w:val="none" w:sz="0" w:space="0" w:color="auto"/>
        <w:right w:val="none" w:sz="0" w:space="0" w:color="auto"/>
      </w:divBdr>
    </w:div>
    <w:div w:id="647200129">
      <w:bodyDiv w:val="1"/>
      <w:marLeft w:val="0"/>
      <w:marRight w:val="0"/>
      <w:marTop w:val="0"/>
      <w:marBottom w:val="0"/>
      <w:divBdr>
        <w:top w:val="none" w:sz="0" w:space="0" w:color="auto"/>
        <w:left w:val="none" w:sz="0" w:space="0" w:color="auto"/>
        <w:bottom w:val="none" w:sz="0" w:space="0" w:color="auto"/>
        <w:right w:val="none" w:sz="0" w:space="0" w:color="auto"/>
      </w:divBdr>
    </w:div>
    <w:div w:id="648093964">
      <w:bodyDiv w:val="1"/>
      <w:marLeft w:val="0"/>
      <w:marRight w:val="0"/>
      <w:marTop w:val="0"/>
      <w:marBottom w:val="0"/>
      <w:divBdr>
        <w:top w:val="none" w:sz="0" w:space="0" w:color="auto"/>
        <w:left w:val="none" w:sz="0" w:space="0" w:color="auto"/>
        <w:bottom w:val="none" w:sz="0" w:space="0" w:color="auto"/>
        <w:right w:val="none" w:sz="0" w:space="0" w:color="auto"/>
      </w:divBdr>
    </w:div>
    <w:div w:id="658730122">
      <w:bodyDiv w:val="1"/>
      <w:marLeft w:val="0"/>
      <w:marRight w:val="0"/>
      <w:marTop w:val="0"/>
      <w:marBottom w:val="0"/>
      <w:divBdr>
        <w:top w:val="none" w:sz="0" w:space="0" w:color="auto"/>
        <w:left w:val="none" w:sz="0" w:space="0" w:color="auto"/>
        <w:bottom w:val="none" w:sz="0" w:space="0" w:color="auto"/>
        <w:right w:val="none" w:sz="0" w:space="0" w:color="auto"/>
      </w:divBdr>
      <w:divsChild>
        <w:div w:id="1869876366">
          <w:marLeft w:val="0"/>
          <w:marRight w:val="0"/>
          <w:marTop w:val="0"/>
          <w:marBottom w:val="0"/>
          <w:divBdr>
            <w:top w:val="none" w:sz="0" w:space="0" w:color="auto"/>
            <w:left w:val="none" w:sz="0" w:space="0" w:color="auto"/>
            <w:bottom w:val="none" w:sz="0" w:space="0" w:color="auto"/>
            <w:right w:val="none" w:sz="0" w:space="0" w:color="auto"/>
          </w:divBdr>
          <w:divsChild>
            <w:div w:id="467555053">
              <w:marLeft w:val="0"/>
              <w:marRight w:val="0"/>
              <w:marTop w:val="0"/>
              <w:marBottom w:val="0"/>
              <w:divBdr>
                <w:top w:val="none" w:sz="0" w:space="0" w:color="auto"/>
                <w:left w:val="none" w:sz="0" w:space="0" w:color="auto"/>
                <w:bottom w:val="none" w:sz="0" w:space="0" w:color="auto"/>
                <w:right w:val="none" w:sz="0" w:space="0" w:color="auto"/>
              </w:divBdr>
              <w:divsChild>
                <w:div w:id="773400306">
                  <w:marLeft w:val="0"/>
                  <w:marRight w:val="0"/>
                  <w:marTop w:val="0"/>
                  <w:marBottom w:val="0"/>
                  <w:divBdr>
                    <w:top w:val="none" w:sz="0" w:space="0" w:color="auto"/>
                    <w:left w:val="none" w:sz="0" w:space="0" w:color="auto"/>
                    <w:bottom w:val="none" w:sz="0" w:space="0" w:color="auto"/>
                    <w:right w:val="none" w:sz="0" w:space="0" w:color="auto"/>
                  </w:divBdr>
                  <w:divsChild>
                    <w:div w:id="1704134040">
                      <w:marLeft w:val="0"/>
                      <w:marRight w:val="0"/>
                      <w:marTop w:val="0"/>
                      <w:marBottom w:val="0"/>
                      <w:divBdr>
                        <w:top w:val="none" w:sz="0" w:space="0" w:color="auto"/>
                        <w:left w:val="none" w:sz="0" w:space="0" w:color="auto"/>
                        <w:bottom w:val="none" w:sz="0" w:space="0" w:color="auto"/>
                        <w:right w:val="none" w:sz="0" w:space="0" w:color="auto"/>
                      </w:divBdr>
                      <w:divsChild>
                        <w:div w:id="1849562636">
                          <w:marLeft w:val="0"/>
                          <w:marRight w:val="0"/>
                          <w:marTop w:val="0"/>
                          <w:marBottom w:val="0"/>
                          <w:divBdr>
                            <w:top w:val="none" w:sz="0" w:space="0" w:color="auto"/>
                            <w:left w:val="none" w:sz="0" w:space="0" w:color="auto"/>
                            <w:bottom w:val="none" w:sz="0" w:space="0" w:color="auto"/>
                            <w:right w:val="none" w:sz="0" w:space="0" w:color="auto"/>
                          </w:divBdr>
                          <w:divsChild>
                            <w:div w:id="2101634682">
                              <w:marLeft w:val="0"/>
                              <w:marRight w:val="0"/>
                              <w:marTop w:val="0"/>
                              <w:marBottom w:val="0"/>
                              <w:divBdr>
                                <w:top w:val="none" w:sz="0" w:space="0" w:color="auto"/>
                                <w:left w:val="none" w:sz="0" w:space="0" w:color="auto"/>
                                <w:bottom w:val="none" w:sz="0" w:space="0" w:color="auto"/>
                                <w:right w:val="none" w:sz="0" w:space="0" w:color="auto"/>
                              </w:divBdr>
                              <w:divsChild>
                                <w:div w:id="1439564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0548183">
      <w:bodyDiv w:val="1"/>
      <w:marLeft w:val="0"/>
      <w:marRight w:val="0"/>
      <w:marTop w:val="0"/>
      <w:marBottom w:val="0"/>
      <w:divBdr>
        <w:top w:val="none" w:sz="0" w:space="0" w:color="auto"/>
        <w:left w:val="none" w:sz="0" w:space="0" w:color="auto"/>
        <w:bottom w:val="none" w:sz="0" w:space="0" w:color="auto"/>
        <w:right w:val="none" w:sz="0" w:space="0" w:color="auto"/>
      </w:divBdr>
    </w:div>
    <w:div w:id="663119868">
      <w:bodyDiv w:val="1"/>
      <w:marLeft w:val="0"/>
      <w:marRight w:val="0"/>
      <w:marTop w:val="0"/>
      <w:marBottom w:val="0"/>
      <w:divBdr>
        <w:top w:val="none" w:sz="0" w:space="0" w:color="auto"/>
        <w:left w:val="none" w:sz="0" w:space="0" w:color="auto"/>
        <w:bottom w:val="none" w:sz="0" w:space="0" w:color="auto"/>
        <w:right w:val="none" w:sz="0" w:space="0" w:color="auto"/>
      </w:divBdr>
    </w:div>
    <w:div w:id="679043661">
      <w:bodyDiv w:val="1"/>
      <w:marLeft w:val="0"/>
      <w:marRight w:val="0"/>
      <w:marTop w:val="0"/>
      <w:marBottom w:val="0"/>
      <w:divBdr>
        <w:top w:val="none" w:sz="0" w:space="0" w:color="auto"/>
        <w:left w:val="none" w:sz="0" w:space="0" w:color="auto"/>
        <w:bottom w:val="none" w:sz="0" w:space="0" w:color="auto"/>
        <w:right w:val="none" w:sz="0" w:space="0" w:color="auto"/>
      </w:divBdr>
    </w:div>
    <w:div w:id="697851203">
      <w:bodyDiv w:val="1"/>
      <w:marLeft w:val="0"/>
      <w:marRight w:val="0"/>
      <w:marTop w:val="0"/>
      <w:marBottom w:val="0"/>
      <w:divBdr>
        <w:top w:val="none" w:sz="0" w:space="0" w:color="auto"/>
        <w:left w:val="none" w:sz="0" w:space="0" w:color="auto"/>
        <w:bottom w:val="none" w:sz="0" w:space="0" w:color="auto"/>
        <w:right w:val="none" w:sz="0" w:space="0" w:color="auto"/>
      </w:divBdr>
    </w:div>
    <w:div w:id="705835930">
      <w:bodyDiv w:val="1"/>
      <w:marLeft w:val="0"/>
      <w:marRight w:val="0"/>
      <w:marTop w:val="0"/>
      <w:marBottom w:val="0"/>
      <w:divBdr>
        <w:top w:val="none" w:sz="0" w:space="0" w:color="auto"/>
        <w:left w:val="none" w:sz="0" w:space="0" w:color="auto"/>
        <w:bottom w:val="none" w:sz="0" w:space="0" w:color="auto"/>
        <w:right w:val="none" w:sz="0" w:space="0" w:color="auto"/>
      </w:divBdr>
    </w:div>
    <w:div w:id="716782733">
      <w:bodyDiv w:val="1"/>
      <w:marLeft w:val="0"/>
      <w:marRight w:val="0"/>
      <w:marTop w:val="0"/>
      <w:marBottom w:val="0"/>
      <w:divBdr>
        <w:top w:val="none" w:sz="0" w:space="0" w:color="auto"/>
        <w:left w:val="none" w:sz="0" w:space="0" w:color="auto"/>
        <w:bottom w:val="none" w:sz="0" w:space="0" w:color="auto"/>
        <w:right w:val="none" w:sz="0" w:space="0" w:color="auto"/>
      </w:divBdr>
    </w:div>
    <w:div w:id="745037262">
      <w:bodyDiv w:val="1"/>
      <w:marLeft w:val="0"/>
      <w:marRight w:val="0"/>
      <w:marTop w:val="0"/>
      <w:marBottom w:val="0"/>
      <w:divBdr>
        <w:top w:val="none" w:sz="0" w:space="0" w:color="auto"/>
        <w:left w:val="none" w:sz="0" w:space="0" w:color="auto"/>
        <w:bottom w:val="none" w:sz="0" w:space="0" w:color="auto"/>
        <w:right w:val="none" w:sz="0" w:space="0" w:color="auto"/>
      </w:divBdr>
    </w:div>
    <w:div w:id="756436842">
      <w:bodyDiv w:val="1"/>
      <w:marLeft w:val="0"/>
      <w:marRight w:val="0"/>
      <w:marTop w:val="0"/>
      <w:marBottom w:val="0"/>
      <w:divBdr>
        <w:top w:val="none" w:sz="0" w:space="0" w:color="auto"/>
        <w:left w:val="none" w:sz="0" w:space="0" w:color="auto"/>
        <w:bottom w:val="none" w:sz="0" w:space="0" w:color="auto"/>
        <w:right w:val="none" w:sz="0" w:space="0" w:color="auto"/>
      </w:divBdr>
    </w:div>
    <w:div w:id="772016595">
      <w:bodyDiv w:val="1"/>
      <w:marLeft w:val="0"/>
      <w:marRight w:val="0"/>
      <w:marTop w:val="0"/>
      <w:marBottom w:val="0"/>
      <w:divBdr>
        <w:top w:val="none" w:sz="0" w:space="0" w:color="auto"/>
        <w:left w:val="none" w:sz="0" w:space="0" w:color="auto"/>
        <w:bottom w:val="none" w:sz="0" w:space="0" w:color="auto"/>
        <w:right w:val="none" w:sz="0" w:space="0" w:color="auto"/>
      </w:divBdr>
    </w:div>
    <w:div w:id="788356948">
      <w:bodyDiv w:val="1"/>
      <w:marLeft w:val="0"/>
      <w:marRight w:val="0"/>
      <w:marTop w:val="0"/>
      <w:marBottom w:val="0"/>
      <w:divBdr>
        <w:top w:val="none" w:sz="0" w:space="0" w:color="auto"/>
        <w:left w:val="none" w:sz="0" w:space="0" w:color="auto"/>
        <w:bottom w:val="none" w:sz="0" w:space="0" w:color="auto"/>
        <w:right w:val="none" w:sz="0" w:space="0" w:color="auto"/>
      </w:divBdr>
    </w:div>
    <w:div w:id="832070728">
      <w:bodyDiv w:val="1"/>
      <w:marLeft w:val="0"/>
      <w:marRight w:val="0"/>
      <w:marTop w:val="0"/>
      <w:marBottom w:val="0"/>
      <w:divBdr>
        <w:top w:val="none" w:sz="0" w:space="0" w:color="auto"/>
        <w:left w:val="none" w:sz="0" w:space="0" w:color="auto"/>
        <w:bottom w:val="none" w:sz="0" w:space="0" w:color="auto"/>
        <w:right w:val="none" w:sz="0" w:space="0" w:color="auto"/>
      </w:divBdr>
      <w:divsChild>
        <w:div w:id="1674651211">
          <w:marLeft w:val="0"/>
          <w:marRight w:val="0"/>
          <w:marTop w:val="0"/>
          <w:marBottom w:val="0"/>
          <w:divBdr>
            <w:top w:val="none" w:sz="0" w:space="0" w:color="auto"/>
            <w:left w:val="none" w:sz="0" w:space="0" w:color="auto"/>
            <w:bottom w:val="none" w:sz="0" w:space="0" w:color="auto"/>
            <w:right w:val="none" w:sz="0" w:space="0" w:color="auto"/>
          </w:divBdr>
          <w:divsChild>
            <w:div w:id="2125954176">
              <w:marLeft w:val="0"/>
              <w:marRight w:val="0"/>
              <w:marTop w:val="0"/>
              <w:marBottom w:val="0"/>
              <w:divBdr>
                <w:top w:val="none" w:sz="0" w:space="0" w:color="auto"/>
                <w:left w:val="none" w:sz="0" w:space="0" w:color="auto"/>
                <w:bottom w:val="none" w:sz="0" w:space="0" w:color="auto"/>
                <w:right w:val="none" w:sz="0" w:space="0" w:color="auto"/>
              </w:divBdr>
              <w:divsChild>
                <w:div w:id="1101337534">
                  <w:marLeft w:val="0"/>
                  <w:marRight w:val="0"/>
                  <w:marTop w:val="0"/>
                  <w:marBottom w:val="0"/>
                  <w:divBdr>
                    <w:top w:val="none" w:sz="0" w:space="0" w:color="auto"/>
                    <w:left w:val="none" w:sz="0" w:space="0" w:color="auto"/>
                    <w:bottom w:val="none" w:sz="0" w:space="0" w:color="auto"/>
                    <w:right w:val="none" w:sz="0" w:space="0" w:color="auto"/>
                  </w:divBdr>
                  <w:divsChild>
                    <w:div w:id="1009672874">
                      <w:marLeft w:val="0"/>
                      <w:marRight w:val="0"/>
                      <w:marTop w:val="0"/>
                      <w:marBottom w:val="0"/>
                      <w:divBdr>
                        <w:top w:val="none" w:sz="0" w:space="0" w:color="auto"/>
                        <w:left w:val="none" w:sz="0" w:space="0" w:color="auto"/>
                        <w:bottom w:val="none" w:sz="0" w:space="0" w:color="auto"/>
                        <w:right w:val="none" w:sz="0" w:space="0" w:color="auto"/>
                      </w:divBdr>
                      <w:divsChild>
                        <w:div w:id="1641617728">
                          <w:marLeft w:val="0"/>
                          <w:marRight w:val="0"/>
                          <w:marTop w:val="0"/>
                          <w:marBottom w:val="0"/>
                          <w:divBdr>
                            <w:top w:val="none" w:sz="0" w:space="0" w:color="auto"/>
                            <w:left w:val="none" w:sz="0" w:space="0" w:color="auto"/>
                            <w:bottom w:val="none" w:sz="0" w:space="0" w:color="auto"/>
                            <w:right w:val="none" w:sz="0" w:space="0" w:color="auto"/>
                          </w:divBdr>
                          <w:divsChild>
                            <w:div w:id="55052761">
                              <w:marLeft w:val="0"/>
                              <w:marRight w:val="0"/>
                              <w:marTop w:val="0"/>
                              <w:marBottom w:val="0"/>
                              <w:divBdr>
                                <w:top w:val="none" w:sz="0" w:space="0" w:color="auto"/>
                                <w:left w:val="none" w:sz="0" w:space="0" w:color="auto"/>
                                <w:bottom w:val="none" w:sz="0" w:space="0" w:color="auto"/>
                                <w:right w:val="none" w:sz="0" w:space="0" w:color="auto"/>
                              </w:divBdr>
                              <w:divsChild>
                                <w:div w:id="28928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3594516">
      <w:bodyDiv w:val="1"/>
      <w:marLeft w:val="0"/>
      <w:marRight w:val="0"/>
      <w:marTop w:val="0"/>
      <w:marBottom w:val="0"/>
      <w:divBdr>
        <w:top w:val="none" w:sz="0" w:space="0" w:color="auto"/>
        <w:left w:val="none" w:sz="0" w:space="0" w:color="auto"/>
        <w:bottom w:val="none" w:sz="0" w:space="0" w:color="auto"/>
        <w:right w:val="none" w:sz="0" w:space="0" w:color="auto"/>
      </w:divBdr>
    </w:div>
    <w:div w:id="863057915">
      <w:bodyDiv w:val="1"/>
      <w:marLeft w:val="0"/>
      <w:marRight w:val="0"/>
      <w:marTop w:val="0"/>
      <w:marBottom w:val="0"/>
      <w:divBdr>
        <w:top w:val="none" w:sz="0" w:space="0" w:color="auto"/>
        <w:left w:val="none" w:sz="0" w:space="0" w:color="auto"/>
        <w:bottom w:val="none" w:sz="0" w:space="0" w:color="auto"/>
        <w:right w:val="none" w:sz="0" w:space="0" w:color="auto"/>
      </w:divBdr>
    </w:div>
    <w:div w:id="872381316">
      <w:bodyDiv w:val="1"/>
      <w:marLeft w:val="0"/>
      <w:marRight w:val="0"/>
      <w:marTop w:val="0"/>
      <w:marBottom w:val="0"/>
      <w:divBdr>
        <w:top w:val="none" w:sz="0" w:space="0" w:color="auto"/>
        <w:left w:val="none" w:sz="0" w:space="0" w:color="auto"/>
        <w:bottom w:val="none" w:sz="0" w:space="0" w:color="auto"/>
        <w:right w:val="none" w:sz="0" w:space="0" w:color="auto"/>
      </w:divBdr>
    </w:div>
    <w:div w:id="884952121">
      <w:bodyDiv w:val="1"/>
      <w:marLeft w:val="0"/>
      <w:marRight w:val="0"/>
      <w:marTop w:val="0"/>
      <w:marBottom w:val="0"/>
      <w:divBdr>
        <w:top w:val="none" w:sz="0" w:space="0" w:color="auto"/>
        <w:left w:val="none" w:sz="0" w:space="0" w:color="auto"/>
        <w:bottom w:val="none" w:sz="0" w:space="0" w:color="auto"/>
        <w:right w:val="none" w:sz="0" w:space="0" w:color="auto"/>
      </w:divBdr>
    </w:div>
    <w:div w:id="910893111">
      <w:bodyDiv w:val="1"/>
      <w:marLeft w:val="0"/>
      <w:marRight w:val="0"/>
      <w:marTop w:val="0"/>
      <w:marBottom w:val="0"/>
      <w:divBdr>
        <w:top w:val="none" w:sz="0" w:space="0" w:color="auto"/>
        <w:left w:val="none" w:sz="0" w:space="0" w:color="auto"/>
        <w:bottom w:val="none" w:sz="0" w:space="0" w:color="auto"/>
        <w:right w:val="none" w:sz="0" w:space="0" w:color="auto"/>
      </w:divBdr>
    </w:div>
    <w:div w:id="919608033">
      <w:bodyDiv w:val="1"/>
      <w:marLeft w:val="0"/>
      <w:marRight w:val="0"/>
      <w:marTop w:val="0"/>
      <w:marBottom w:val="0"/>
      <w:divBdr>
        <w:top w:val="none" w:sz="0" w:space="0" w:color="auto"/>
        <w:left w:val="none" w:sz="0" w:space="0" w:color="auto"/>
        <w:bottom w:val="none" w:sz="0" w:space="0" w:color="auto"/>
        <w:right w:val="none" w:sz="0" w:space="0" w:color="auto"/>
      </w:divBdr>
    </w:div>
    <w:div w:id="922685982">
      <w:bodyDiv w:val="1"/>
      <w:marLeft w:val="0"/>
      <w:marRight w:val="0"/>
      <w:marTop w:val="0"/>
      <w:marBottom w:val="0"/>
      <w:divBdr>
        <w:top w:val="none" w:sz="0" w:space="0" w:color="auto"/>
        <w:left w:val="none" w:sz="0" w:space="0" w:color="auto"/>
        <w:bottom w:val="none" w:sz="0" w:space="0" w:color="auto"/>
        <w:right w:val="none" w:sz="0" w:space="0" w:color="auto"/>
      </w:divBdr>
    </w:div>
    <w:div w:id="953369897">
      <w:bodyDiv w:val="1"/>
      <w:marLeft w:val="0"/>
      <w:marRight w:val="0"/>
      <w:marTop w:val="0"/>
      <w:marBottom w:val="0"/>
      <w:divBdr>
        <w:top w:val="none" w:sz="0" w:space="0" w:color="auto"/>
        <w:left w:val="none" w:sz="0" w:space="0" w:color="auto"/>
        <w:bottom w:val="none" w:sz="0" w:space="0" w:color="auto"/>
        <w:right w:val="none" w:sz="0" w:space="0" w:color="auto"/>
      </w:divBdr>
    </w:div>
    <w:div w:id="1017003169">
      <w:bodyDiv w:val="1"/>
      <w:marLeft w:val="0"/>
      <w:marRight w:val="0"/>
      <w:marTop w:val="0"/>
      <w:marBottom w:val="0"/>
      <w:divBdr>
        <w:top w:val="none" w:sz="0" w:space="0" w:color="auto"/>
        <w:left w:val="none" w:sz="0" w:space="0" w:color="auto"/>
        <w:bottom w:val="none" w:sz="0" w:space="0" w:color="auto"/>
        <w:right w:val="none" w:sz="0" w:space="0" w:color="auto"/>
      </w:divBdr>
    </w:div>
    <w:div w:id="1024526273">
      <w:bodyDiv w:val="1"/>
      <w:marLeft w:val="0"/>
      <w:marRight w:val="0"/>
      <w:marTop w:val="0"/>
      <w:marBottom w:val="0"/>
      <w:divBdr>
        <w:top w:val="none" w:sz="0" w:space="0" w:color="auto"/>
        <w:left w:val="none" w:sz="0" w:space="0" w:color="auto"/>
        <w:bottom w:val="none" w:sz="0" w:space="0" w:color="auto"/>
        <w:right w:val="none" w:sz="0" w:space="0" w:color="auto"/>
      </w:divBdr>
    </w:div>
    <w:div w:id="1034844252">
      <w:bodyDiv w:val="1"/>
      <w:marLeft w:val="0"/>
      <w:marRight w:val="0"/>
      <w:marTop w:val="0"/>
      <w:marBottom w:val="0"/>
      <w:divBdr>
        <w:top w:val="none" w:sz="0" w:space="0" w:color="auto"/>
        <w:left w:val="none" w:sz="0" w:space="0" w:color="auto"/>
        <w:bottom w:val="none" w:sz="0" w:space="0" w:color="auto"/>
        <w:right w:val="none" w:sz="0" w:space="0" w:color="auto"/>
      </w:divBdr>
    </w:div>
    <w:div w:id="1053578025">
      <w:bodyDiv w:val="1"/>
      <w:marLeft w:val="0"/>
      <w:marRight w:val="0"/>
      <w:marTop w:val="0"/>
      <w:marBottom w:val="0"/>
      <w:divBdr>
        <w:top w:val="none" w:sz="0" w:space="0" w:color="auto"/>
        <w:left w:val="none" w:sz="0" w:space="0" w:color="auto"/>
        <w:bottom w:val="none" w:sz="0" w:space="0" w:color="auto"/>
        <w:right w:val="none" w:sz="0" w:space="0" w:color="auto"/>
      </w:divBdr>
      <w:divsChild>
        <w:div w:id="1799452382">
          <w:marLeft w:val="0"/>
          <w:marRight w:val="0"/>
          <w:marTop w:val="0"/>
          <w:marBottom w:val="0"/>
          <w:divBdr>
            <w:top w:val="none" w:sz="0" w:space="0" w:color="auto"/>
            <w:left w:val="none" w:sz="0" w:space="0" w:color="auto"/>
            <w:bottom w:val="none" w:sz="0" w:space="0" w:color="auto"/>
            <w:right w:val="none" w:sz="0" w:space="0" w:color="auto"/>
          </w:divBdr>
          <w:divsChild>
            <w:div w:id="190654166">
              <w:marLeft w:val="0"/>
              <w:marRight w:val="0"/>
              <w:marTop w:val="0"/>
              <w:marBottom w:val="0"/>
              <w:divBdr>
                <w:top w:val="none" w:sz="0" w:space="0" w:color="auto"/>
                <w:left w:val="none" w:sz="0" w:space="0" w:color="auto"/>
                <w:bottom w:val="none" w:sz="0" w:space="0" w:color="auto"/>
                <w:right w:val="none" w:sz="0" w:space="0" w:color="auto"/>
              </w:divBdr>
              <w:divsChild>
                <w:div w:id="1916472651">
                  <w:marLeft w:val="0"/>
                  <w:marRight w:val="0"/>
                  <w:marTop w:val="0"/>
                  <w:marBottom w:val="0"/>
                  <w:divBdr>
                    <w:top w:val="none" w:sz="0" w:space="0" w:color="auto"/>
                    <w:left w:val="none" w:sz="0" w:space="0" w:color="auto"/>
                    <w:bottom w:val="none" w:sz="0" w:space="0" w:color="auto"/>
                    <w:right w:val="none" w:sz="0" w:space="0" w:color="auto"/>
                  </w:divBdr>
                  <w:divsChild>
                    <w:div w:id="536357707">
                      <w:marLeft w:val="0"/>
                      <w:marRight w:val="0"/>
                      <w:marTop w:val="0"/>
                      <w:marBottom w:val="0"/>
                      <w:divBdr>
                        <w:top w:val="none" w:sz="0" w:space="0" w:color="auto"/>
                        <w:left w:val="none" w:sz="0" w:space="0" w:color="auto"/>
                        <w:bottom w:val="none" w:sz="0" w:space="0" w:color="auto"/>
                        <w:right w:val="none" w:sz="0" w:space="0" w:color="auto"/>
                      </w:divBdr>
                      <w:divsChild>
                        <w:div w:id="11341722">
                          <w:marLeft w:val="0"/>
                          <w:marRight w:val="0"/>
                          <w:marTop w:val="0"/>
                          <w:marBottom w:val="0"/>
                          <w:divBdr>
                            <w:top w:val="none" w:sz="0" w:space="0" w:color="auto"/>
                            <w:left w:val="none" w:sz="0" w:space="0" w:color="auto"/>
                            <w:bottom w:val="none" w:sz="0" w:space="0" w:color="auto"/>
                            <w:right w:val="none" w:sz="0" w:space="0" w:color="auto"/>
                          </w:divBdr>
                          <w:divsChild>
                            <w:div w:id="580867602">
                              <w:marLeft w:val="0"/>
                              <w:marRight w:val="0"/>
                              <w:marTop w:val="0"/>
                              <w:marBottom w:val="0"/>
                              <w:divBdr>
                                <w:top w:val="none" w:sz="0" w:space="0" w:color="auto"/>
                                <w:left w:val="none" w:sz="0" w:space="0" w:color="auto"/>
                                <w:bottom w:val="none" w:sz="0" w:space="0" w:color="auto"/>
                                <w:right w:val="none" w:sz="0" w:space="0" w:color="auto"/>
                              </w:divBdr>
                              <w:divsChild>
                                <w:div w:id="230777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58822040">
      <w:bodyDiv w:val="1"/>
      <w:marLeft w:val="0"/>
      <w:marRight w:val="0"/>
      <w:marTop w:val="0"/>
      <w:marBottom w:val="0"/>
      <w:divBdr>
        <w:top w:val="none" w:sz="0" w:space="0" w:color="auto"/>
        <w:left w:val="none" w:sz="0" w:space="0" w:color="auto"/>
        <w:bottom w:val="none" w:sz="0" w:space="0" w:color="auto"/>
        <w:right w:val="none" w:sz="0" w:space="0" w:color="auto"/>
      </w:divBdr>
    </w:div>
    <w:div w:id="1076823010">
      <w:bodyDiv w:val="1"/>
      <w:marLeft w:val="0"/>
      <w:marRight w:val="0"/>
      <w:marTop w:val="0"/>
      <w:marBottom w:val="0"/>
      <w:divBdr>
        <w:top w:val="none" w:sz="0" w:space="0" w:color="auto"/>
        <w:left w:val="none" w:sz="0" w:space="0" w:color="auto"/>
        <w:bottom w:val="none" w:sz="0" w:space="0" w:color="auto"/>
        <w:right w:val="none" w:sz="0" w:space="0" w:color="auto"/>
      </w:divBdr>
    </w:div>
    <w:div w:id="1078096343">
      <w:bodyDiv w:val="1"/>
      <w:marLeft w:val="0"/>
      <w:marRight w:val="0"/>
      <w:marTop w:val="0"/>
      <w:marBottom w:val="0"/>
      <w:divBdr>
        <w:top w:val="none" w:sz="0" w:space="0" w:color="auto"/>
        <w:left w:val="none" w:sz="0" w:space="0" w:color="auto"/>
        <w:bottom w:val="none" w:sz="0" w:space="0" w:color="auto"/>
        <w:right w:val="none" w:sz="0" w:space="0" w:color="auto"/>
      </w:divBdr>
    </w:div>
    <w:div w:id="1086223945">
      <w:bodyDiv w:val="1"/>
      <w:marLeft w:val="0"/>
      <w:marRight w:val="0"/>
      <w:marTop w:val="0"/>
      <w:marBottom w:val="0"/>
      <w:divBdr>
        <w:top w:val="none" w:sz="0" w:space="0" w:color="auto"/>
        <w:left w:val="none" w:sz="0" w:space="0" w:color="auto"/>
        <w:bottom w:val="none" w:sz="0" w:space="0" w:color="auto"/>
        <w:right w:val="none" w:sz="0" w:space="0" w:color="auto"/>
      </w:divBdr>
    </w:div>
    <w:div w:id="1147669435">
      <w:bodyDiv w:val="1"/>
      <w:marLeft w:val="0"/>
      <w:marRight w:val="0"/>
      <w:marTop w:val="0"/>
      <w:marBottom w:val="0"/>
      <w:divBdr>
        <w:top w:val="none" w:sz="0" w:space="0" w:color="auto"/>
        <w:left w:val="none" w:sz="0" w:space="0" w:color="auto"/>
        <w:bottom w:val="none" w:sz="0" w:space="0" w:color="auto"/>
        <w:right w:val="none" w:sz="0" w:space="0" w:color="auto"/>
      </w:divBdr>
    </w:div>
    <w:div w:id="1148519518">
      <w:bodyDiv w:val="1"/>
      <w:marLeft w:val="0"/>
      <w:marRight w:val="0"/>
      <w:marTop w:val="0"/>
      <w:marBottom w:val="0"/>
      <w:divBdr>
        <w:top w:val="none" w:sz="0" w:space="0" w:color="auto"/>
        <w:left w:val="none" w:sz="0" w:space="0" w:color="auto"/>
        <w:bottom w:val="none" w:sz="0" w:space="0" w:color="auto"/>
        <w:right w:val="none" w:sz="0" w:space="0" w:color="auto"/>
      </w:divBdr>
    </w:div>
    <w:div w:id="1191186321">
      <w:bodyDiv w:val="1"/>
      <w:marLeft w:val="0"/>
      <w:marRight w:val="0"/>
      <w:marTop w:val="0"/>
      <w:marBottom w:val="0"/>
      <w:divBdr>
        <w:top w:val="none" w:sz="0" w:space="0" w:color="auto"/>
        <w:left w:val="none" w:sz="0" w:space="0" w:color="auto"/>
        <w:bottom w:val="none" w:sz="0" w:space="0" w:color="auto"/>
        <w:right w:val="none" w:sz="0" w:space="0" w:color="auto"/>
      </w:divBdr>
    </w:div>
    <w:div w:id="1224754042">
      <w:bodyDiv w:val="1"/>
      <w:marLeft w:val="0"/>
      <w:marRight w:val="0"/>
      <w:marTop w:val="0"/>
      <w:marBottom w:val="0"/>
      <w:divBdr>
        <w:top w:val="none" w:sz="0" w:space="0" w:color="auto"/>
        <w:left w:val="none" w:sz="0" w:space="0" w:color="auto"/>
        <w:bottom w:val="none" w:sz="0" w:space="0" w:color="auto"/>
        <w:right w:val="none" w:sz="0" w:space="0" w:color="auto"/>
      </w:divBdr>
      <w:divsChild>
        <w:div w:id="172034521">
          <w:marLeft w:val="0"/>
          <w:marRight w:val="0"/>
          <w:marTop w:val="0"/>
          <w:marBottom w:val="0"/>
          <w:divBdr>
            <w:top w:val="none" w:sz="0" w:space="0" w:color="auto"/>
            <w:left w:val="none" w:sz="0" w:space="0" w:color="auto"/>
            <w:bottom w:val="none" w:sz="0" w:space="0" w:color="auto"/>
            <w:right w:val="none" w:sz="0" w:space="0" w:color="auto"/>
          </w:divBdr>
          <w:divsChild>
            <w:div w:id="409547449">
              <w:marLeft w:val="0"/>
              <w:marRight w:val="0"/>
              <w:marTop w:val="0"/>
              <w:marBottom w:val="0"/>
              <w:divBdr>
                <w:top w:val="none" w:sz="0" w:space="0" w:color="auto"/>
                <w:left w:val="none" w:sz="0" w:space="0" w:color="auto"/>
                <w:bottom w:val="none" w:sz="0" w:space="0" w:color="auto"/>
                <w:right w:val="none" w:sz="0" w:space="0" w:color="auto"/>
              </w:divBdr>
              <w:divsChild>
                <w:div w:id="444545946">
                  <w:marLeft w:val="0"/>
                  <w:marRight w:val="0"/>
                  <w:marTop w:val="0"/>
                  <w:marBottom w:val="0"/>
                  <w:divBdr>
                    <w:top w:val="none" w:sz="0" w:space="0" w:color="auto"/>
                    <w:left w:val="none" w:sz="0" w:space="0" w:color="auto"/>
                    <w:bottom w:val="none" w:sz="0" w:space="0" w:color="auto"/>
                    <w:right w:val="none" w:sz="0" w:space="0" w:color="auto"/>
                  </w:divBdr>
                  <w:divsChild>
                    <w:div w:id="1156873078">
                      <w:marLeft w:val="0"/>
                      <w:marRight w:val="0"/>
                      <w:marTop w:val="0"/>
                      <w:marBottom w:val="0"/>
                      <w:divBdr>
                        <w:top w:val="none" w:sz="0" w:space="0" w:color="auto"/>
                        <w:left w:val="none" w:sz="0" w:space="0" w:color="auto"/>
                        <w:bottom w:val="none" w:sz="0" w:space="0" w:color="auto"/>
                        <w:right w:val="none" w:sz="0" w:space="0" w:color="auto"/>
                      </w:divBdr>
                      <w:divsChild>
                        <w:div w:id="1411343362">
                          <w:marLeft w:val="0"/>
                          <w:marRight w:val="0"/>
                          <w:marTop w:val="0"/>
                          <w:marBottom w:val="0"/>
                          <w:divBdr>
                            <w:top w:val="none" w:sz="0" w:space="0" w:color="auto"/>
                            <w:left w:val="none" w:sz="0" w:space="0" w:color="auto"/>
                            <w:bottom w:val="none" w:sz="0" w:space="0" w:color="auto"/>
                            <w:right w:val="none" w:sz="0" w:space="0" w:color="auto"/>
                          </w:divBdr>
                          <w:divsChild>
                            <w:div w:id="1472092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8106473">
      <w:bodyDiv w:val="1"/>
      <w:marLeft w:val="0"/>
      <w:marRight w:val="0"/>
      <w:marTop w:val="0"/>
      <w:marBottom w:val="0"/>
      <w:divBdr>
        <w:top w:val="none" w:sz="0" w:space="0" w:color="auto"/>
        <w:left w:val="none" w:sz="0" w:space="0" w:color="auto"/>
        <w:bottom w:val="none" w:sz="0" w:space="0" w:color="auto"/>
        <w:right w:val="none" w:sz="0" w:space="0" w:color="auto"/>
      </w:divBdr>
    </w:div>
    <w:div w:id="1246114707">
      <w:bodyDiv w:val="1"/>
      <w:marLeft w:val="0"/>
      <w:marRight w:val="0"/>
      <w:marTop w:val="0"/>
      <w:marBottom w:val="0"/>
      <w:divBdr>
        <w:top w:val="none" w:sz="0" w:space="0" w:color="auto"/>
        <w:left w:val="none" w:sz="0" w:space="0" w:color="auto"/>
        <w:bottom w:val="none" w:sz="0" w:space="0" w:color="auto"/>
        <w:right w:val="none" w:sz="0" w:space="0" w:color="auto"/>
      </w:divBdr>
    </w:div>
    <w:div w:id="1285892779">
      <w:bodyDiv w:val="1"/>
      <w:marLeft w:val="0"/>
      <w:marRight w:val="0"/>
      <w:marTop w:val="0"/>
      <w:marBottom w:val="0"/>
      <w:divBdr>
        <w:top w:val="none" w:sz="0" w:space="0" w:color="auto"/>
        <w:left w:val="none" w:sz="0" w:space="0" w:color="auto"/>
        <w:bottom w:val="none" w:sz="0" w:space="0" w:color="auto"/>
        <w:right w:val="none" w:sz="0" w:space="0" w:color="auto"/>
      </w:divBdr>
    </w:div>
    <w:div w:id="1303925930">
      <w:bodyDiv w:val="1"/>
      <w:marLeft w:val="0"/>
      <w:marRight w:val="0"/>
      <w:marTop w:val="0"/>
      <w:marBottom w:val="0"/>
      <w:divBdr>
        <w:top w:val="none" w:sz="0" w:space="0" w:color="auto"/>
        <w:left w:val="none" w:sz="0" w:space="0" w:color="auto"/>
        <w:bottom w:val="none" w:sz="0" w:space="0" w:color="auto"/>
        <w:right w:val="none" w:sz="0" w:space="0" w:color="auto"/>
      </w:divBdr>
    </w:div>
    <w:div w:id="1307204498">
      <w:bodyDiv w:val="1"/>
      <w:marLeft w:val="0"/>
      <w:marRight w:val="0"/>
      <w:marTop w:val="0"/>
      <w:marBottom w:val="0"/>
      <w:divBdr>
        <w:top w:val="none" w:sz="0" w:space="0" w:color="auto"/>
        <w:left w:val="none" w:sz="0" w:space="0" w:color="auto"/>
        <w:bottom w:val="none" w:sz="0" w:space="0" w:color="auto"/>
        <w:right w:val="none" w:sz="0" w:space="0" w:color="auto"/>
      </w:divBdr>
    </w:div>
    <w:div w:id="1307970721">
      <w:bodyDiv w:val="1"/>
      <w:marLeft w:val="0"/>
      <w:marRight w:val="0"/>
      <w:marTop w:val="0"/>
      <w:marBottom w:val="0"/>
      <w:divBdr>
        <w:top w:val="none" w:sz="0" w:space="0" w:color="auto"/>
        <w:left w:val="none" w:sz="0" w:space="0" w:color="auto"/>
        <w:bottom w:val="none" w:sz="0" w:space="0" w:color="auto"/>
        <w:right w:val="none" w:sz="0" w:space="0" w:color="auto"/>
      </w:divBdr>
    </w:div>
    <w:div w:id="1319000284">
      <w:bodyDiv w:val="1"/>
      <w:marLeft w:val="0"/>
      <w:marRight w:val="0"/>
      <w:marTop w:val="0"/>
      <w:marBottom w:val="0"/>
      <w:divBdr>
        <w:top w:val="none" w:sz="0" w:space="0" w:color="auto"/>
        <w:left w:val="none" w:sz="0" w:space="0" w:color="auto"/>
        <w:bottom w:val="none" w:sz="0" w:space="0" w:color="auto"/>
        <w:right w:val="none" w:sz="0" w:space="0" w:color="auto"/>
      </w:divBdr>
    </w:div>
    <w:div w:id="1374889163">
      <w:bodyDiv w:val="1"/>
      <w:marLeft w:val="0"/>
      <w:marRight w:val="0"/>
      <w:marTop w:val="0"/>
      <w:marBottom w:val="0"/>
      <w:divBdr>
        <w:top w:val="none" w:sz="0" w:space="0" w:color="auto"/>
        <w:left w:val="none" w:sz="0" w:space="0" w:color="auto"/>
        <w:bottom w:val="none" w:sz="0" w:space="0" w:color="auto"/>
        <w:right w:val="none" w:sz="0" w:space="0" w:color="auto"/>
      </w:divBdr>
    </w:div>
    <w:div w:id="1391226000">
      <w:bodyDiv w:val="1"/>
      <w:marLeft w:val="0"/>
      <w:marRight w:val="0"/>
      <w:marTop w:val="0"/>
      <w:marBottom w:val="0"/>
      <w:divBdr>
        <w:top w:val="none" w:sz="0" w:space="0" w:color="auto"/>
        <w:left w:val="none" w:sz="0" w:space="0" w:color="auto"/>
        <w:bottom w:val="none" w:sz="0" w:space="0" w:color="auto"/>
        <w:right w:val="none" w:sz="0" w:space="0" w:color="auto"/>
      </w:divBdr>
    </w:div>
    <w:div w:id="1399591618">
      <w:bodyDiv w:val="1"/>
      <w:marLeft w:val="0"/>
      <w:marRight w:val="0"/>
      <w:marTop w:val="0"/>
      <w:marBottom w:val="0"/>
      <w:divBdr>
        <w:top w:val="none" w:sz="0" w:space="0" w:color="auto"/>
        <w:left w:val="none" w:sz="0" w:space="0" w:color="auto"/>
        <w:bottom w:val="none" w:sz="0" w:space="0" w:color="auto"/>
        <w:right w:val="none" w:sz="0" w:space="0" w:color="auto"/>
      </w:divBdr>
    </w:div>
    <w:div w:id="1416626830">
      <w:bodyDiv w:val="1"/>
      <w:marLeft w:val="0"/>
      <w:marRight w:val="0"/>
      <w:marTop w:val="0"/>
      <w:marBottom w:val="0"/>
      <w:divBdr>
        <w:top w:val="none" w:sz="0" w:space="0" w:color="auto"/>
        <w:left w:val="none" w:sz="0" w:space="0" w:color="auto"/>
        <w:bottom w:val="none" w:sz="0" w:space="0" w:color="auto"/>
        <w:right w:val="none" w:sz="0" w:space="0" w:color="auto"/>
      </w:divBdr>
    </w:div>
    <w:div w:id="1442912727">
      <w:bodyDiv w:val="1"/>
      <w:marLeft w:val="0"/>
      <w:marRight w:val="0"/>
      <w:marTop w:val="0"/>
      <w:marBottom w:val="0"/>
      <w:divBdr>
        <w:top w:val="none" w:sz="0" w:space="0" w:color="auto"/>
        <w:left w:val="none" w:sz="0" w:space="0" w:color="auto"/>
        <w:bottom w:val="none" w:sz="0" w:space="0" w:color="auto"/>
        <w:right w:val="none" w:sz="0" w:space="0" w:color="auto"/>
      </w:divBdr>
    </w:div>
    <w:div w:id="1476872800">
      <w:bodyDiv w:val="1"/>
      <w:marLeft w:val="0"/>
      <w:marRight w:val="0"/>
      <w:marTop w:val="0"/>
      <w:marBottom w:val="0"/>
      <w:divBdr>
        <w:top w:val="none" w:sz="0" w:space="0" w:color="auto"/>
        <w:left w:val="none" w:sz="0" w:space="0" w:color="auto"/>
        <w:bottom w:val="none" w:sz="0" w:space="0" w:color="auto"/>
        <w:right w:val="none" w:sz="0" w:space="0" w:color="auto"/>
      </w:divBdr>
    </w:div>
    <w:div w:id="1481733075">
      <w:bodyDiv w:val="1"/>
      <w:marLeft w:val="0"/>
      <w:marRight w:val="0"/>
      <w:marTop w:val="0"/>
      <w:marBottom w:val="0"/>
      <w:divBdr>
        <w:top w:val="none" w:sz="0" w:space="0" w:color="auto"/>
        <w:left w:val="none" w:sz="0" w:space="0" w:color="auto"/>
        <w:bottom w:val="none" w:sz="0" w:space="0" w:color="auto"/>
        <w:right w:val="none" w:sz="0" w:space="0" w:color="auto"/>
      </w:divBdr>
    </w:div>
    <w:div w:id="1536650328">
      <w:bodyDiv w:val="1"/>
      <w:marLeft w:val="0"/>
      <w:marRight w:val="0"/>
      <w:marTop w:val="0"/>
      <w:marBottom w:val="0"/>
      <w:divBdr>
        <w:top w:val="none" w:sz="0" w:space="0" w:color="auto"/>
        <w:left w:val="none" w:sz="0" w:space="0" w:color="auto"/>
        <w:bottom w:val="none" w:sz="0" w:space="0" w:color="auto"/>
        <w:right w:val="none" w:sz="0" w:space="0" w:color="auto"/>
      </w:divBdr>
    </w:div>
    <w:div w:id="1538657528">
      <w:bodyDiv w:val="1"/>
      <w:marLeft w:val="0"/>
      <w:marRight w:val="0"/>
      <w:marTop w:val="0"/>
      <w:marBottom w:val="0"/>
      <w:divBdr>
        <w:top w:val="none" w:sz="0" w:space="0" w:color="auto"/>
        <w:left w:val="none" w:sz="0" w:space="0" w:color="auto"/>
        <w:bottom w:val="none" w:sz="0" w:space="0" w:color="auto"/>
        <w:right w:val="none" w:sz="0" w:space="0" w:color="auto"/>
      </w:divBdr>
    </w:div>
    <w:div w:id="1538732719">
      <w:bodyDiv w:val="1"/>
      <w:marLeft w:val="0"/>
      <w:marRight w:val="0"/>
      <w:marTop w:val="0"/>
      <w:marBottom w:val="0"/>
      <w:divBdr>
        <w:top w:val="none" w:sz="0" w:space="0" w:color="auto"/>
        <w:left w:val="none" w:sz="0" w:space="0" w:color="auto"/>
        <w:bottom w:val="none" w:sz="0" w:space="0" w:color="auto"/>
        <w:right w:val="none" w:sz="0" w:space="0" w:color="auto"/>
      </w:divBdr>
    </w:div>
    <w:div w:id="1551107998">
      <w:bodyDiv w:val="1"/>
      <w:marLeft w:val="0"/>
      <w:marRight w:val="0"/>
      <w:marTop w:val="0"/>
      <w:marBottom w:val="0"/>
      <w:divBdr>
        <w:top w:val="none" w:sz="0" w:space="0" w:color="auto"/>
        <w:left w:val="none" w:sz="0" w:space="0" w:color="auto"/>
        <w:bottom w:val="none" w:sz="0" w:space="0" w:color="auto"/>
        <w:right w:val="none" w:sz="0" w:space="0" w:color="auto"/>
      </w:divBdr>
      <w:divsChild>
        <w:div w:id="1888253629">
          <w:marLeft w:val="0"/>
          <w:marRight w:val="0"/>
          <w:marTop w:val="0"/>
          <w:marBottom w:val="0"/>
          <w:divBdr>
            <w:top w:val="none" w:sz="0" w:space="0" w:color="auto"/>
            <w:left w:val="none" w:sz="0" w:space="0" w:color="auto"/>
            <w:bottom w:val="none" w:sz="0" w:space="0" w:color="auto"/>
            <w:right w:val="none" w:sz="0" w:space="0" w:color="auto"/>
          </w:divBdr>
          <w:divsChild>
            <w:div w:id="2107531500">
              <w:marLeft w:val="0"/>
              <w:marRight w:val="0"/>
              <w:marTop w:val="0"/>
              <w:marBottom w:val="0"/>
              <w:divBdr>
                <w:top w:val="none" w:sz="0" w:space="0" w:color="auto"/>
                <w:left w:val="none" w:sz="0" w:space="0" w:color="auto"/>
                <w:bottom w:val="none" w:sz="0" w:space="0" w:color="auto"/>
                <w:right w:val="none" w:sz="0" w:space="0" w:color="auto"/>
              </w:divBdr>
              <w:divsChild>
                <w:div w:id="1140540714">
                  <w:marLeft w:val="0"/>
                  <w:marRight w:val="0"/>
                  <w:marTop w:val="0"/>
                  <w:marBottom w:val="0"/>
                  <w:divBdr>
                    <w:top w:val="none" w:sz="0" w:space="0" w:color="auto"/>
                    <w:left w:val="none" w:sz="0" w:space="0" w:color="auto"/>
                    <w:bottom w:val="none" w:sz="0" w:space="0" w:color="auto"/>
                    <w:right w:val="none" w:sz="0" w:space="0" w:color="auto"/>
                  </w:divBdr>
                  <w:divsChild>
                    <w:div w:id="582253198">
                      <w:marLeft w:val="0"/>
                      <w:marRight w:val="0"/>
                      <w:marTop w:val="0"/>
                      <w:marBottom w:val="0"/>
                      <w:divBdr>
                        <w:top w:val="none" w:sz="0" w:space="0" w:color="auto"/>
                        <w:left w:val="none" w:sz="0" w:space="0" w:color="auto"/>
                        <w:bottom w:val="none" w:sz="0" w:space="0" w:color="auto"/>
                        <w:right w:val="none" w:sz="0" w:space="0" w:color="auto"/>
                      </w:divBdr>
                      <w:divsChild>
                        <w:div w:id="1580597402">
                          <w:marLeft w:val="0"/>
                          <w:marRight w:val="0"/>
                          <w:marTop w:val="0"/>
                          <w:marBottom w:val="0"/>
                          <w:divBdr>
                            <w:top w:val="none" w:sz="0" w:space="0" w:color="auto"/>
                            <w:left w:val="none" w:sz="0" w:space="0" w:color="auto"/>
                            <w:bottom w:val="none" w:sz="0" w:space="0" w:color="auto"/>
                            <w:right w:val="none" w:sz="0" w:space="0" w:color="auto"/>
                          </w:divBdr>
                          <w:divsChild>
                            <w:div w:id="851605715">
                              <w:marLeft w:val="0"/>
                              <w:marRight w:val="0"/>
                              <w:marTop w:val="0"/>
                              <w:marBottom w:val="0"/>
                              <w:divBdr>
                                <w:top w:val="none" w:sz="0" w:space="0" w:color="auto"/>
                                <w:left w:val="none" w:sz="0" w:space="0" w:color="auto"/>
                                <w:bottom w:val="none" w:sz="0" w:space="0" w:color="auto"/>
                                <w:right w:val="none" w:sz="0" w:space="0" w:color="auto"/>
                              </w:divBdr>
                              <w:divsChild>
                                <w:div w:id="1958828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248303">
      <w:bodyDiv w:val="1"/>
      <w:marLeft w:val="0"/>
      <w:marRight w:val="0"/>
      <w:marTop w:val="0"/>
      <w:marBottom w:val="0"/>
      <w:divBdr>
        <w:top w:val="none" w:sz="0" w:space="0" w:color="auto"/>
        <w:left w:val="none" w:sz="0" w:space="0" w:color="auto"/>
        <w:bottom w:val="none" w:sz="0" w:space="0" w:color="auto"/>
        <w:right w:val="none" w:sz="0" w:space="0" w:color="auto"/>
      </w:divBdr>
    </w:div>
    <w:div w:id="1575237793">
      <w:bodyDiv w:val="1"/>
      <w:marLeft w:val="0"/>
      <w:marRight w:val="0"/>
      <w:marTop w:val="0"/>
      <w:marBottom w:val="0"/>
      <w:divBdr>
        <w:top w:val="none" w:sz="0" w:space="0" w:color="auto"/>
        <w:left w:val="none" w:sz="0" w:space="0" w:color="auto"/>
        <w:bottom w:val="none" w:sz="0" w:space="0" w:color="auto"/>
        <w:right w:val="none" w:sz="0" w:space="0" w:color="auto"/>
      </w:divBdr>
    </w:div>
    <w:div w:id="1575821529">
      <w:bodyDiv w:val="1"/>
      <w:marLeft w:val="0"/>
      <w:marRight w:val="0"/>
      <w:marTop w:val="0"/>
      <w:marBottom w:val="0"/>
      <w:divBdr>
        <w:top w:val="none" w:sz="0" w:space="0" w:color="auto"/>
        <w:left w:val="none" w:sz="0" w:space="0" w:color="auto"/>
        <w:bottom w:val="none" w:sz="0" w:space="0" w:color="auto"/>
        <w:right w:val="none" w:sz="0" w:space="0" w:color="auto"/>
      </w:divBdr>
    </w:div>
    <w:div w:id="1615864001">
      <w:bodyDiv w:val="1"/>
      <w:marLeft w:val="0"/>
      <w:marRight w:val="0"/>
      <w:marTop w:val="0"/>
      <w:marBottom w:val="0"/>
      <w:divBdr>
        <w:top w:val="none" w:sz="0" w:space="0" w:color="auto"/>
        <w:left w:val="none" w:sz="0" w:space="0" w:color="auto"/>
        <w:bottom w:val="none" w:sz="0" w:space="0" w:color="auto"/>
        <w:right w:val="none" w:sz="0" w:space="0" w:color="auto"/>
      </w:divBdr>
    </w:div>
    <w:div w:id="1618878041">
      <w:bodyDiv w:val="1"/>
      <w:marLeft w:val="0"/>
      <w:marRight w:val="0"/>
      <w:marTop w:val="0"/>
      <w:marBottom w:val="0"/>
      <w:divBdr>
        <w:top w:val="none" w:sz="0" w:space="0" w:color="auto"/>
        <w:left w:val="none" w:sz="0" w:space="0" w:color="auto"/>
        <w:bottom w:val="none" w:sz="0" w:space="0" w:color="auto"/>
        <w:right w:val="none" w:sz="0" w:space="0" w:color="auto"/>
      </w:divBdr>
    </w:div>
    <w:div w:id="1649505969">
      <w:bodyDiv w:val="1"/>
      <w:marLeft w:val="0"/>
      <w:marRight w:val="0"/>
      <w:marTop w:val="0"/>
      <w:marBottom w:val="0"/>
      <w:divBdr>
        <w:top w:val="none" w:sz="0" w:space="0" w:color="auto"/>
        <w:left w:val="none" w:sz="0" w:space="0" w:color="auto"/>
        <w:bottom w:val="none" w:sz="0" w:space="0" w:color="auto"/>
        <w:right w:val="none" w:sz="0" w:space="0" w:color="auto"/>
      </w:divBdr>
    </w:div>
    <w:div w:id="1667054454">
      <w:bodyDiv w:val="1"/>
      <w:marLeft w:val="0"/>
      <w:marRight w:val="0"/>
      <w:marTop w:val="0"/>
      <w:marBottom w:val="0"/>
      <w:divBdr>
        <w:top w:val="none" w:sz="0" w:space="0" w:color="auto"/>
        <w:left w:val="none" w:sz="0" w:space="0" w:color="auto"/>
        <w:bottom w:val="none" w:sz="0" w:space="0" w:color="auto"/>
        <w:right w:val="none" w:sz="0" w:space="0" w:color="auto"/>
      </w:divBdr>
    </w:div>
    <w:div w:id="1683628610">
      <w:bodyDiv w:val="1"/>
      <w:marLeft w:val="0"/>
      <w:marRight w:val="0"/>
      <w:marTop w:val="0"/>
      <w:marBottom w:val="0"/>
      <w:divBdr>
        <w:top w:val="none" w:sz="0" w:space="0" w:color="auto"/>
        <w:left w:val="none" w:sz="0" w:space="0" w:color="auto"/>
        <w:bottom w:val="none" w:sz="0" w:space="0" w:color="auto"/>
        <w:right w:val="none" w:sz="0" w:space="0" w:color="auto"/>
      </w:divBdr>
    </w:div>
    <w:div w:id="1777291414">
      <w:bodyDiv w:val="1"/>
      <w:marLeft w:val="0"/>
      <w:marRight w:val="0"/>
      <w:marTop w:val="0"/>
      <w:marBottom w:val="0"/>
      <w:divBdr>
        <w:top w:val="none" w:sz="0" w:space="0" w:color="auto"/>
        <w:left w:val="none" w:sz="0" w:space="0" w:color="auto"/>
        <w:bottom w:val="none" w:sz="0" w:space="0" w:color="auto"/>
        <w:right w:val="none" w:sz="0" w:space="0" w:color="auto"/>
      </w:divBdr>
    </w:div>
    <w:div w:id="1793859033">
      <w:bodyDiv w:val="1"/>
      <w:marLeft w:val="0"/>
      <w:marRight w:val="0"/>
      <w:marTop w:val="0"/>
      <w:marBottom w:val="0"/>
      <w:divBdr>
        <w:top w:val="none" w:sz="0" w:space="0" w:color="auto"/>
        <w:left w:val="none" w:sz="0" w:space="0" w:color="auto"/>
        <w:bottom w:val="none" w:sz="0" w:space="0" w:color="auto"/>
        <w:right w:val="none" w:sz="0" w:space="0" w:color="auto"/>
      </w:divBdr>
    </w:div>
    <w:div w:id="1797722184">
      <w:bodyDiv w:val="1"/>
      <w:marLeft w:val="0"/>
      <w:marRight w:val="0"/>
      <w:marTop w:val="0"/>
      <w:marBottom w:val="0"/>
      <w:divBdr>
        <w:top w:val="none" w:sz="0" w:space="0" w:color="auto"/>
        <w:left w:val="none" w:sz="0" w:space="0" w:color="auto"/>
        <w:bottom w:val="none" w:sz="0" w:space="0" w:color="auto"/>
        <w:right w:val="none" w:sz="0" w:space="0" w:color="auto"/>
      </w:divBdr>
    </w:div>
    <w:div w:id="1803618402">
      <w:bodyDiv w:val="1"/>
      <w:marLeft w:val="0"/>
      <w:marRight w:val="0"/>
      <w:marTop w:val="0"/>
      <w:marBottom w:val="0"/>
      <w:divBdr>
        <w:top w:val="none" w:sz="0" w:space="0" w:color="auto"/>
        <w:left w:val="none" w:sz="0" w:space="0" w:color="auto"/>
        <w:bottom w:val="none" w:sz="0" w:space="0" w:color="auto"/>
        <w:right w:val="none" w:sz="0" w:space="0" w:color="auto"/>
      </w:divBdr>
    </w:div>
    <w:div w:id="1827357131">
      <w:bodyDiv w:val="1"/>
      <w:marLeft w:val="0"/>
      <w:marRight w:val="0"/>
      <w:marTop w:val="0"/>
      <w:marBottom w:val="0"/>
      <w:divBdr>
        <w:top w:val="none" w:sz="0" w:space="0" w:color="auto"/>
        <w:left w:val="none" w:sz="0" w:space="0" w:color="auto"/>
        <w:bottom w:val="none" w:sz="0" w:space="0" w:color="auto"/>
        <w:right w:val="none" w:sz="0" w:space="0" w:color="auto"/>
      </w:divBdr>
    </w:div>
    <w:div w:id="1840077930">
      <w:bodyDiv w:val="1"/>
      <w:marLeft w:val="0"/>
      <w:marRight w:val="0"/>
      <w:marTop w:val="0"/>
      <w:marBottom w:val="0"/>
      <w:divBdr>
        <w:top w:val="none" w:sz="0" w:space="0" w:color="auto"/>
        <w:left w:val="none" w:sz="0" w:space="0" w:color="auto"/>
        <w:bottom w:val="none" w:sz="0" w:space="0" w:color="auto"/>
        <w:right w:val="none" w:sz="0" w:space="0" w:color="auto"/>
      </w:divBdr>
    </w:div>
    <w:div w:id="1845634005">
      <w:bodyDiv w:val="1"/>
      <w:marLeft w:val="0"/>
      <w:marRight w:val="0"/>
      <w:marTop w:val="0"/>
      <w:marBottom w:val="0"/>
      <w:divBdr>
        <w:top w:val="none" w:sz="0" w:space="0" w:color="auto"/>
        <w:left w:val="none" w:sz="0" w:space="0" w:color="auto"/>
        <w:bottom w:val="none" w:sz="0" w:space="0" w:color="auto"/>
        <w:right w:val="none" w:sz="0" w:space="0" w:color="auto"/>
      </w:divBdr>
    </w:div>
    <w:div w:id="1845896550">
      <w:bodyDiv w:val="1"/>
      <w:marLeft w:val="0"/>
      <w:marRight w:val="0"/>
      <w:marTop w:val="0"/>
      <w:marBottom w:val="0"/>
      <w:divBdr>
        <w:top w:val="none" w:sz="0" w:space="0" w:color="auto"/>
        <w:left w:val="none" w:sz="0" w:space="0" w:color="auto"/>
        <w:bottom w:val="none" w:sz="0" w:space="0" w:color="auto"/>
        <w:right w:val="none" w:sz="0" w:space="0" w:color="auto"/>
      </w:divBdr>
    </w:div>
    <w:div w:id="1845970838">
      <w:bodyDiv w:val="1"/>
      <w:marLeft w:val="0"/>
      <w:marRight w:val="0"/>
      <w:marTop w:val="0"/>
      <w:marBottom w:val="0"/>
      <w:divBdr>
        <w:top w:val="none" w:sz="0" w:space="0" w:color="auto"/>
        <w:left w:val="none" w:sz="0" w:space="0" w:color="auto"/>
        <w:bottom w:val="none" w:sz="0" w:space="0" w:color="auto"/>
        <w:right w:val="none" w:sz="0" w:space="0" w:color="auto"/>
      </w:divBdr>
    </w:div>
    <w:div w:id="1875147053">
      <w:bodyDiv w:val="1"/>
      <w:marLeft w:val="0"/>
      <w:marRight w:val="0"/>
      <w:marTop w:val="0"/>
      <w:marBottom w:val="0"/>
      <w:divBdr>
        <w:top w:val="none" w:sz="0" w:space="0" w:color="auto"/>
        <w:left w:val="none" w:sz="0" w:space="0" w:color="auto"/>
        <w:bottom w:val="none" w:sz="0" w:space="0" w:color="auto"/>
        <w:right w:val="none" w:sz="0" w:space="0" w:color="auto"/>
      </w:divBdr>
    </w:div>
    <w:div w:id="1875191461">
      <w:bodyDiv w:val="1"/>
      <w:marLeft w:val="0"/>
      <w:marRight w:val="0"/>
      <w:marTop w:val="0"/>
      <w:marBottom w:val="0"/>
      <w:divBdr>
        <w:top w:val="none" w:sz="0" w:space="0" w:color="auto"/>
        <w:left w:val="none" w:sz="0" w:space="0" w:color="auto"/>
        <w:bottom w:val="none" w:sz="0" w:space="0" w:color="auto"/>
        <w:right w:val="none" w:sz="0" w:space="0" w:color="auto"/>
      </w:divBdr>
    </w:div>
    <w:div w:id="1891725333">
      <w:bodyDiv w:val="1"/>
      <w:marLeft w:val="0"/>
      <w:marRight w:val="0"/>
      <w:marTop w:val="0"/>
      <w:marBottom w:val="0"/>
      <w:divBdr>
        <w:top w:val="none" w:sz="0" w:space="0" w:color="auto"/>
        <w:left w:val="none" w:sz="0" w:space="0" w:color="auto"/>
        <w:bottom w:val="none" w:sz="0" w:space="0" w:color="auto"/>
        <w:right w:val="none" w:sz="0" w:space="0" w:color="auto"/>
      </w:divBdr>
    </w:div>
    <w:div w:id="1912228849">
      <w:bodyDiv w:val="1"/>
      <w:marLeft w:val="0"/>
      <w:marRight w:val="0"/>
      <w:marTop w:val="0"/>
      <w:marBottom w:val="0"/>
      <w:divBdr>
        <w:top w:val="none" w:sz="0" w:space="0" w:color="auto"/>
        <w:left w:val="none" w:sz="0" w:space="0" w:color="auto"/>
        <w:bottom w:val="none" w:sz="0" w:space="0" w:color="auto"/>
        <w:right w:val="none" w:sz="0" w:space="0" w:color="auto"/>
      </w:divBdr>
    </w:div>
    <w:div w:id="1918132413">
      <w:bodyDiv w:val="1"/>
      <w:marLeft w:val="0"/>
      <w:marRight w:val="0"/>
      <w:marTop w:val="0"/>
      <w:marBottom w:val="0"/>
      <w:divBdr>
        <w:top w:val="none" w:sz="0" w:space="0" w:color="auto"/>
        <w:left w:val="none" w:sz="0" w:space="0" w:color="auto"/>
        <w:bottom w:val="none" w:sz="0" w:space="0" w:color="auto"/>
        <w:right w:val="none" w:sz="0" w:space="0" w:color="auto"/>
      </w:divBdr>
    </w:div>
    <w:div w:id="1929383035">
      <w:bodyDiv w:val="1"/>
      <w:marLeft w:val="0"/>
      <w:marRight w:val="0"/>
      <w:marTop w:val="0"/>
      <w:marBottom w:val="0"/>
      <w:divBdr>
        <w:top w:val="none" w:sz="0" w:space="0" w:color="auto"/>
        <w:left w:val="none" w:sz="0" w:space="0" w:color="auto"/>
        <w:bottom w:val="none" w:sz="0" w:space="0" w:color="auto"/>
        <w:right w:val="none" w:sz="0" w:space="0" w:color="auto"/>
      </w:divBdr>
    </w:div>
    <w:div w:id="1967269332">
      <w:bodyDiv w:val="1"/>
      <w:marLeft w:val="0"/>
      <w:marRight w:val="0"/>
      <w:marTop w:val="0"/>
      <w:marBottom w:val="0"/>
      <w:divBdr>
        <w:top w:val="none" w:sz="0" w:space="0" w:color="auto"/>
        <w:left w:val="none" w:sz="0" w:space="0" w:color="auto"/>
        <w:bottom w:val="none" w:sz="0" w:space="0" w:color="auto"/>
        <w:right w:val="none" w:sz="0" w:space="0" w:color="auto"/>
      </w:divBdr>
    </w:div>
    <w:div w:id="1973317430">
      <w:bodyDiv w:val="1"/>
      <w:marLeft w:val="0"/>
      <w:marRight w:val="0"/>
      <w:marTop w:val="0"/>
      <w:marBottom w:val="0"/>
      <w:divBdr>
        <w:top w:val="none" w:sz="0" w:space="0" w:color="auto"/>
        <w:left w:val="none" w:sz="0" w:space="0" w:color="auto"/>
        <w:bottom w:val="none" w:sz="0" w:space="0" w:color="auto"/>
        <w:right w:val="none" w:sz="0" w:space="0" w:color="auto"/>
      </w:divBdr>
    </w:div>
    <w:div w:id="1978299051">
      <w:bodyDiv w:val="1"/>
      <w:marLeft w:val="0"/>
      <w:marRight w:val="0"/>
      <w:marTop w:val="0"/>
      <w:marBottom w:val="0"/>
      <w:divBdr>
        <w:top w:val="none" w:sz="0" w:space="0" w:color="auto"/>
        <w:left w:val="none" w:sz="0" w:space="0" w:color="auto"/>
        <w:bottom w:val="none" w:sz="0" w:space="0" w:color="auto"/>
        <w:right w:val="none" w:sz="0" w:space="0" w:color="auto"/>
      </w:divBdr>
    </w:div>
    <w:div w:id="2005742232">
      <w:bodyDiv w:val="1"/>
      <w:marLeft w:val="0"/>
      <w:marRight w:val="0"/>
      <w:marTop w:val="0"/>
      <w:marBottom w:val="0"/>
      <w:divBdr>
        <w:top w:val="none" w:sz="0" w:space="0" w:color="auto"/>
        <w:left w:val="none" w:sz="0" w:space="0" w:color="auto"/>
        <w:bottom w:val="none" w:sz="0" w:space="0" w:color="auto"/>
        <w:right w:val="none" w:sz="0" w:space="0" w:color="auto"/>
      </w:divBdr>
    </w:div>
    <w:div w:id="2008822171">
      <w:bodyDiv w:val="1"/>
      <w:marLeft w:val="0"/>
      <w:marRight w:val="0"/>
      <w:marTop w:val="0"/>
      <w:marBottom w:val="0"/>
      <w:divBdr>
        <w:top w:val="none" w:sz="0" w:space="0" w:color="auto"/>
        <w:left w:val="none" w:sz="0" w:space="0" w:color="auto"/>
        <w:bottom w:val="none" w:sz="0" w:space="0" w:color="auto"/>
        <w:right w:val="none" w:sz="0" w:space="0" w:color="auto"/>
      </w:divBdr>
    </w:div>
    <w:div w:id="2054034924">
      <w:bodyDiv w:val="1"/>
      <w:marLeft w:val="0"/>
      <w:marRight w:val="0"/>
      <w:marTop w:val="0"/>
      <w:marBottom w:val="0"/>
      <w:divBdr>
        <w:top w:val="none" w:sz="0" w:space="0" w:color="auto"/>
        <w:left w:val="none" w:sz="0" w:space="0" w:color="auto"/>
        <w:bottom w:val="none" w:sz="0" w:space="0" w:color="auto"/>
        <w:right w:val="none" w:sz="0" w:space="0" w:color="auto"/>
      </w:divBdr>
    </w:div>
    <w:div w:id="2108259918">
      <w:bodyDiv w:val="1"/>
      <w:marLeft w:val="0"/>
      <w:marRight w:val="0"/>
      <w:marTop w:val="0"/>
      <w:marBottom w:val="0"/>
      <w:divBdr>
        <w:top w:val="none" w:sz="0" w:space="0" w:color="auto"/>
        <w:left w:val="none" w:sz="0" w:space="0" w:color="auto"/>
        <w:bottom w:val="none" w:sz="0" w:space="0" w:color="auto"/>
        <w:right w:val="none" w:sz="0" w:space="0" w:color="auto"/>
      </w:divBdr>
    </w:div>
    <w:div w:id="2124641676">
      <w:bodyDiv w:val="1"/>
      <w:marLeft w:val="0"/>
      <w:marRight w:val="0"/>
      <w:marTop w:val="0"/>
      <w:marBottom w:val="0"/>
      <w:divBdr>
        <w:top w:val="none" w:sz="0" w:space="0" w:color="auto"/>
        <w:left w:val="none" w:sz="0" w:space="0" w:color="auto"/>
        <w:bottom w:val="none" w:sz="0" w:space="0" w:color="auto"/>
        <w:right w:val="none" w:sz="0" w:space="0" w:color="auto"/>
      </w:divBdr>
    </w:div>
    <w:div w:id="21468475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http://infoset.org.pe"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36B469-685D-457D-89A5-E64A1233F0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850</TotalTime>
  <Pages>69</Pages>
  <Words>23277</Words>
  <Characters>132681</Characters>
  <Application>Microsoft Office Word</Application>
  <DocSecurity>0</DocSecurity>
  <Lines>1105</Lines>
  <Paragraphs>311</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        1. FUNDAMENTOS DE LA COMUNICACIÓN CORPORATIVA EN EL SECTOR MINERO</vt:lpstr>
      <vt:lpstr>        2. RELACIONES CON LA COMUNIDAD Y LICENCIA SOCIAL</vt:lpstr>
      <vt:lpstr>        3. COMUNICACIÓN INTERNA Y GESTIÓN DE CRISIS</vt:lpstr>
      <vt:lpstr>        4. COMUNICACIÓN AMBIENTAL Y SOSTENIBILIDAD</vt:lpstr>
      <vt:lpstr>        5. RELACIONES CON MEDIOS Y COMUNICACIÓN DIGITAL</vt:lpstr>
      <vt:lpstr>        6. RELACIONES GUBERNAMENTALES Y TRANSPARENCIA</vt:lpstr>
    </vt:vector>
  </TitlesOfParts>
  <Company/>
  <LinksUpToDate>false</LinksUpToDate>
  <CharactersWithSpaces>155647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INFOSET</dc:creator>
  <cp:keywords/>
  <dc:description/>
  <cp:lastModifiedBy>belindagonzales2020@hotmail.com</cp:lastModifiedBy>
  <cp:revision>95</cp:revision>
  <cp:lastPrinted>2026-02-13T13:35:00Z</cp:lastPrinted>
  <dcterms:created xsi:type="dcterms:W3CDTF">2024-11-02T01:58:00Z</dcterms:created>
  <dcterms:modified xsi:type="dcterms:W3CDTF">2026-02-13T13:39:00Z</dcterms:modified>
</cp:coreProperties>
</file>