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S  Y  S  T  E  M     A  R  C  H  I  T  E  C  T  U  R  E     D  E  S  I  G  N</w:t>
            </w:r>
          </w:p>
          <w:p>
            <w:pPr>
              <w:spacing w:after="300" w:line="920" w:lineRule="atLeast"/>
              <w:ind w:left="1200"/>
            </w:pPr>
            <w:r>
              <w:rPr>
                <w:rFonts w:ascii="Arial" w:eastAsia="SimHei"/>
                <w:b/>
                <w:bCs/>
                <w:color w:val="FFFFFF"/>
                <w:sz w:val="80"/>
                <w:szCs w:val="80"/>
              </w:rPr>
              <w:t xml:space="preserve">智能公文审计平台</w:t>
            </w:r>
          </w:p>
          <w:p>
            <w:pPr>
              <w:spacing w:after="800"/>
              <w:ind w:left="1200"/>
            </w:pPr>
            <w:r>
              <w:rPr>
                <w:rFonts w:ascii="Arial" w:eastAsia="Microsoft YaHei"/>
                <w:color w:val="B0B8C0"/>
                <w:sz w:val="24"/>
                <w:szCs w:val="24"/>
              </w:rPr>
              <w:t xml:space="preserve">系统架构设计文档</w:t>
            </w:r>
          </w:p>
          <w:p>
            <w:pPr>
              <w:pBdr>
                <w:left w:val="single" w:color="37DCF2" w:sz="8" w:space="12"/>
              </w:pBdr>
              <w:spacing w:after="80"/>
              <w:ind w:left="1400"/>
            </w:pPr>
            <w:r>
              <w:rPr>
                <w:rFonts w:ascii="Arial" w:eastAsia="Microsoft YaHei"/>
                <w:color w:val="90989F"/>
                <w:sz w:val="24"/>
                <w:szCs w:val="24"/>
              </w:rPr>
              <w:t xml:space="preserve">产品名称：审衡智能体平台（Courtier）</w:t>
            </w:r>
          </w:p>
          <w:p>
            <w:pPr>
              <w:pBdr>
                <w:left w:val="single" w:color="37DCF2" w:sz="8" w:space="12"/>
              </w:pBdr>
              <w:spacing w:after="80"/>
              <w:ind w:left="1400"/>
            </w:pPr>
            <w:r>
              <w:rPr>
                <w:rFonts w:ascii="Arial" w:eastAsia="Microsoft YaHei"/>
                <w:color w:val="90989F"/>
                <w:sz w:val="24"/>
                <w:szCs w:val="24"/>
              </w:rPr>
              <w:t xml:space="preserve">文档版本：V1.2</w:t>
            </w:r>
          </w:p>
          <w:p>
            <w:pPr>
              <w:pBdr>
                <w:left w:val="single" w:color="37DCF2" w:sz="8" w:space="12"/>
              </w:pBdr>
              <w:spacing w:after="80"/>
              <w:ind w:left="1400"/>
            </w:pPr>
            <w:r>
              <w:rPr>
                <w:rFonts w:ascii="Arial" w:eastAsia="Microsoft YaHei"/>
                <w:color w:val="90989F"/>
                <w:sz w:val="24"/>
                <w:szCs w:val="24"/>
              </w:rPr>
              <w:t xml:space="preserve">编制日期：2026 年 9 月</w:t>
            </w:r>
          </w:p>
          <w:p>
            <w:pPr>
              <w:pBdr>
                <w:left w:val="single" w:color="37DCF2" w:sz="8" w:space="12"/>
              </w:pBdr>
              <w:spacing w:after="80"/>
              <w:ind w:left="1400"/>
            </w:pPr>
            <w:r>
              <w:rPr>
                <w:rFonts w:ascii="Arial" w:eastAsia="Microsoft YaHei"/>
                <w:color w:val="90989F"/>
                <w:sz w:val="24"/>
                <w:szCs w:val="24"/>
              </w:rPr>
              <w:t xml:space="preserve">文档密级：内部资料</w:t>
            </w:r>
          </w:p>
          <w:p>
            <w:pPr>
              <w:spacing w:before="4596"/>
            </w:pPr>
          </w:p>
          <w:p>
            <w:pPr>
              <w:pBdr>
                <w:top w:val="single" w:color="37DCF2" w:sz="2" w:space="8"/>
              </w:pBdr>
              <w:spacing w:before="200"/>
              <w:ind w:left="1200" w:right="800"/>
            </w:pPr>
            <w:r>
              <w:rPr>
                <w:rFonts w:ascii="Arial" w:eastAsia="Microsoft YaHei"/>
                <w:color w:val="687078"/>
                <w:sz w:val="16"/>
                <w:szCs w:val="16"/>
              </w:rPr>
              <w:t xml:space="preserve">审衡智能体平台</w:t>
            </w:r>
            <w:r>
              <w:t xml:space="preserve">                                        </w:t>
            </w:r>
            <w:r>
              <w:rPr>
                <w:rFonts w:ascii="Arial" w:eastAsia="Microsoft YaHei"/>
                <w:color w:val="687078"/>
                <w:sz w:val="16"/>
                <w:szCs w:val="16"/>
              </w:rPr>
              <w:t xml:space="preserve">Courtier Platform</w:t>
            </w:r>
          </w:p>
        </w:tc>
      </w:tr>
    </w:tbl>
    <w:p>
      <w:pPr>
        <w:sectPr>
          <w:pgSz w:w="11906" w:h="16838" w:orient="portrait"/>
          <w:pgMar w:top="0" w:right="0" w:bottom="0" w:left="0" w:header="708" w:footer="708" w:gutter="0"/>
          <w:docGrid w:linePitch="360"/>
        </w:sectPr>
      </w:pPr>
    </w:p>
    <w:p>
      <w:pPr>
        <w:spacing w:after="160" w:before="360"/>
        <w:jc w:val="center"/>
      </w:pPr>
      <w:r>
        <w:rPr>
          <w:rFonts w:ascii="Times New Roman" w:eastAsia="SimHei"/>
          <w:b/>
          <w:bCs/>
          <w:color w:val="0A1628"/>
          <w:sz w:val="32"/>
          <w:szCs w:val="32"/>
        </w:rPr>
        <w:t xml:space="preserve">目  录</w:t>
      </w:r>
    </w:p>
    <w:p>
      <w:pPr>
        <w:spacing w:after="240"/>
        <w:jc w:val="center"/>
      </w:pPr>
      <w:r>
        <w:rPr>
          <w:i/>
          <w:iCs/>
          <w:color w:val="888888"/>
          <w:sz w:val="18"/>
          <w:szCs w:val="18"/>
        </w:rPr>
        <w:t xml:space="preserve">注：本目录由域代码生成。如编辑文档后页码有变化，请在目录上点击右键并选择“更新域”以刷新页码。</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摘  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项目概述</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1.1  建设背景与建设目标</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1.2  系统定位：懂公文的智能体平台</w:t>
            </w:r>
            <w:r>
              <w:tab/>
            </w:r>
            <w:r>
              <w:fldChar w:fldCharType="begin"/>
            </w:r>
            <w:r>
              <w:instrText xml:space="preserve"> PAGEREF _Toc100003 \h </w:instrText>
            </w:r>
            <w:r>
              <w:fldChar w:fldCharType="separate"/>
            </w:r>
            <w:r>
              <w:t>1</w:t>
            </w:r>
            <w:r>
              <w:fldChar w:fldCharType="end"/>
            </w:r>
          </w:hyperlink>
        </w:p>
        <w:p>
          <w:pPr>
            <w:pStyle w:val="11"/>
            <w:ind w:left="360"/>
            <w:tabs>
              <w:tab w:val="right" w:leader="dot" w:pos="9026"/>
            </w:tabs>
            <w:spacing w:before="120" w:after="60"/>
          </w:pPr>
          <w:hyperlink w:anchor="_Toc100004" w:history="1">
            <w:r>
              <w:rPr>
                <w:rStyle w:val="Hyperlink"/>
              </w:rPr>
              <w:t>1.3  核心功能一览</w:t>
            </w:r>
            <w:r>
              <w:tab/>
            </w:r>
            <w:r>
              <w:fldChar w:fldCharType="begin"/>
            </w:r>
            <w:r>
              <w:instrText xml:space="preserve"> PAGEREF _Toc100004 \h </w:instrText>
            </w:r>
            <w:r>
              <w:fldChar w:fldCharType="separate"/>
            </w:r>
            <w:r>
              <w:t>1</w:t>
            </w:r>
            <w:r>
              <w:fldChar w:fldCharType="end"/>
            </w:r>
          </w:hyperlink>
        </w:p>
        <w:p>
          <w:pPr>
            <w:pStyle w:val="9"/>
            <w:tabs>
              <w:tab w:val="right" w:leader="dot" w:pos="9026"/>
            </w:tabs>
            <w:spacing w:before="120" w:after="60"/>
          </w:pPr>
          <w:hyperlink w:anchor="_Toc100005" w:history="1">
            <w:r>
              <w:rPr>
                <w:rStyle w:val="Hyperlink"/>
              </w:rPr>
              <w:t>第二章  总体架构设计</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2.1  设计理念：平台化、插件化、模板化</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2.2  系统总体架构</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引擎内置子系统</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2.4  技术选型与选型原则</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第三章  核心工作流程</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3.1  一次公文审计任务的完整流程</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3.2  智能体的“思考—行动—观察”工作循环</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3.3  领域能力的随用随启机制</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第四章  关键设计决策</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4.1  工具插件化：独立运行与故障隔离</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4.2  业务知识模板化：规则与话术外置</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4.3  任务后台运行与断线续看</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4.4  安全设计</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第五章  部署架构与运行保障</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5.1  部署拓扑</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5.2  运行监控与质量回溯</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第六章  系统界面展示</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6.1  审计工作台</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6.2  审计执行过程与结果</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6.3  插件运行管理</w:t>
            </w:r>
            <w:r>
              <w:tab/>
            </w:r>
            <w:r>
              <w:fldChar w:fldCharType="begin"/>
            </w:r>
            <w:r>
              <w:instrText xml:space="preserve"> PAGEREF _Toc100025 \h </w:instrText>
            </w:r>
            <w:r>
              <w:fldChar w:fldCharType="separate"/>
            </w:r>
            <w:r>
              <w:t>12</w:t>
            </w:r>
            <w:r>
              <w:fldChar w:fldCharType="end"/>
            </w:r>
          </w:hyperlink>
        </w:p>
        <w:p>
          <w:pPr>
            <w:pStyle w:val="9"/>
            <w:tabs>
              <w:tab w:val="right" w:leader="dot" w:pos="9026"/>
            </w:tabs>
            <w:spacing w:before="120" w:after="60"/>
          </w:pPr>
          <w:hyperlink w:anchor="_Toc100026" w:history="1">
            <w:r>
              <w:rPr>
                <w:rStyle w:val="Hyperlink"/>
              </w:rPr>
              <w:t>第七章  总结与展望</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7.1  建设成效</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7.2  后续演进方向</w:t>
            </w:r>
            <w:r>
              <w:tab/>
            </w:r>
            <w:r>
              <w:fldChar w:fldCharType="begin"/>
            </w:r>
            <w:r>
              <w:instrText xml:space="preserve"> PAGEREF _Toc100028 \h </w:instrText>
            </w:r>
            <w:r>
              <w:fldChar w:fldCharType="separate"/>
            </w:r>
            <w:r>
              <w:t>13</w:t>
            </w:r>
            <w:r>
              <w:fldChar w:fldCharType="end"/>
            </w:r>
          </w:hyperlink>
        </w:p>
        <w:p>
          <w:r>
            <w:fldChar w:fldCharType="end"/>
          </w:r>
        </w:p>
      </w:sdtContent>
    </w:sdt>
    <w:p>
      <w:pPr>
        <w:sectPr>
          <w:headerReference w:type="default" r:id="rId7"/>
          <w:type w:val="nextPage"/>
          <w:pgSz w:w="11906" w:h="16838" w:orient="portrait"/>
          <w:pgMar w:top="1440" w:right="1417" w:bottom="1440" w:left="1701" w:header="708" w:footer="708" w:gutter="0"/>
          <w:docGrid w:linePitch="360"/>
        </w:sectPr>
      </w:pPr>
    </w:p>
    <w:p>
      <w:pPr>
        <w:pStyle w:val="Heading1"/>
        <w:spacing w:after="160" w:before="360" w:line="380" w:lineRule="atLeast"/>
        <w:jc w:val="center"/>
      </w:pPr>
      <w:bookmarkStart w:id="100000" w:name="_Toc100000"/>
      <w:r>
        <w:rPr>
          <w:rFonts w:ascii="Times New Roman" w:eastAsia="SimHei"/>
          <w:b/>
          <w:bCs/>
          <w:color w:val="0A1628"/>
          <w:sz w:val="32"/>
          <w:szCs w:val="32"/>
        </w:rPr>
        <w:t xml:space="preserve">摘  要</w:t>
      </w:r>
      <w:bookmarkEnd w:id="100000"/>
    </w:p>
    <w:p>
      <w:pPr>
        <w:spacing w:after="60" w:line="312" w:lineRule="auto"/>
        <w:ind w:firstLine="480"/>
        <w:jc w:val="both"/>
      </w:pPr>
      <w:r>
        <w:rPr>
          <w:color w:val="000000"/>
          <w:sz w:val="24"/>
          <w:szCs w:val="24"/>
        </w:rPr>
        <w:t xml:space="preserve">本文档面向管理与决策者，系统阐述智能公文审计平台（产品名“审衡”）的总体架构、核心工作流程、关键设计决策与部署方案。平台以“通用智能体引擎 + 可插拔领域包”为核心思路建设：引擎层提供任务编排、技能调度、工具管理与流式呈现等通用能力；公文审计领域的专业知识（格式规范、合规规则、检查工具）以“领域包 + 独立插件”的形式挂载，二者完全解耦。</w:t>
      </w:r>
    </w:p>
    <w:p>
      <w:pPr>
        <w:spacing w:after="60" w:line="312" w:lineRule="auto"/>
        <w:ind w:firstLine="480"/>
        <w:jc w:val="both"/>
      </w:pPr>
      <w:r>
        <w:rPr>
          <w:color w:val="000000"/>
          <w:sz w:val="24"/>
          <w:szCs w:val="24"/>
        </w:rPr>
        <w:t xml:space="preserve">基于该架构，平台当前已实现 GB/T 9704-2012 公文格式审计、内容合规审查、文本查重与涉密信息分析四大审计能力，审计过程由智能体自动执行、全程流式呈现，结果可回写为带批注的公文文档。系统全组件容器化，可一键部署与平滑扩容，并具备认证授权、密钥加密、通道认证、高危操作人工确认与全过程留痕等安全保障。文末给出后续演进方向，可作为平台推广与二期建设的决策依据。</w:t>
      </w:r>
    </w:p>
    <w:p>
      <w:pPr>
        <w:pStyle w:val="Heading1"/>
        <w:spacing w:after="160" w:before="360" w:line="380" w:lineRule="atLeast"/>
        <w:jc w:val="center"/>
      </w:pPr>
      <w:bookmarkStart w:id="100001" w:name="_Toc100001"/>
      <w:r>
        <w:rPr>
          <w:rFonts w:ascii="Times New Roman" w:eastAsia="SimHei"/>
          <w:b/>
          <w:bCs/>
          <w:color w:val="0A1628"/>
          <w:sz w:val="32"/>
          <w:szCs w:val="32"/>
        </w:rPr>
        <w:t xml:space="preserve">第一章  项目概述</w:t>
      </w:r>
      <w:bookmarkEnd w:id="100001"/>
    </w:p>
    <w:p>
      <w:pPr>
        <w:pStyle w:val="Heading2"/>
        <w:spacing w:after="120" w:before="280" w:line="360" w:lineRule="atLeast"/>
      </w:pPr>
      <w:bookmarkStart w:id="100002" w:name="_Toc100002"/>
      <w:r>
        <w:rPr>
          <w:rFonts w:ascii="Times New Roman" w:eastAsia="SimHei"/>
          <w:b/>
          <w:bCs/>
          <w:color w:val="0A1628"/>
          <w:sz w:val="30"/>
          <w:szCs w:val="30"/>
        </w:rPr>
        <w:t xml:space="preserve">1.1  建设背景与建设目标</w:t>
      </w:r>
      <w:bookmarkEnd w:id="100002"/>
    </w:p>
    <w:p>
      <w:pPr>
        <w:spacing w:after="60" w:line="312" w:lineRule="auto"/>
        <w:ind w:firstLine="480"/>
        <w:jc w:val="both"/>
      </w:pPr>
      <w:r>
        <w:rPr>
          <w:color w:val="000000"/>
          <w:sz w:val="24"/>
          <w:szCs w:val="24"/>
        </w:rPr>
        <w:t xml:space="preserve">公文是党政机关依法履职的重要载体，其格式与内容质量直接体现机关工作的严肃性与规范性。《党政机关公文格式》（GB/T 9704-2012）等标准对版心、字体字号、发文字号、落款等提出了明确要求；同时，公文内容还须满足表述准确、政策一致、涉密信息受控等合规要求。传统人工审校模式存在三个突出痛点：一是标准条目多、细节繁琐，人工逐项核对耗时费力且容易漏检；二是审核质量依赖个人经验，口径不统一、难以量化；三是审核过程缺乏留痕，复核与追溯成本高。</w:t>
      </w:r>
    </w:p>
    <w:p>
      <w:pPr>
        <w:spacing w:after="60" w:line="312" w:lineRule="auto"/>
        <w:ind w:firstLine="480"/>
        <w:jc w:val="both"/>
      </w:pPr>
      <w:r>
        <w:rPr>
          <w:color w:val="000000"/>
          <w:sz w:val="24"/>
          <w:szCs w:val="24"/>
        </w:rPr>
        <w:t xml:space="preserve">本项目的建设目标是：把格式规范与合规规则沉淀为系统内的规则库和检查工具，由大模型驱动的智能体自动完成“解析—检查—汇总—报告”的全过程，让业务人员从机械核对中解放出来，把精力聚焦在问题整改与公文质量本身。</w:t>
      </w:r>
    </w:p>
    <w:p>
      <w:pPr>
        <w:pStyle w:val="Heading2"/>
        <w:spacing w:after="120" w:before="280" w:line="360" w:lineRule="atLeast"/>
      </w:pPr>
      <w:bookmarkStart w:id="100003" w:name="_Toc100003"/>
      <w:r>
        <w:rPr>
          <w:rFonts w:ascii="Times New Roman" w:eastAsia="SimHei"/>
          <w:b/>
          <w:bCs/>
          <w:color w:val="0A1628"/>
          <w:sz w:val="30"/>
          <w:szCs w:val="30"/>
        </w:rPr>
        <w:t xml:space="preserve">1.2  系统定位：懂公文的智能体平台</w:t>
      </w:r>
      <w:bookmarkEnd w:id="100003"/>
    </w:p>
    <w:p>
      <w:pPr>
        <w:spacing w:after="60" w:line="312" w:lineRule="auto"/>
        <w:ind w:firstLine="480"/>
        <w:jc w:val="both"/>
      </w:pPr>
      <w:r>
        <w:rPr>
          <w:color w:val="000000"/>
          <w:sz w:val="24"/>
          <w:szCs w:val="24"/>
        </w:rPr>
        <w:t xml:space="preserve">用一句话概括：审衡是一个“懂公文”的 AI 智能体平台。它不是单一功能的检查脚本，而是一个能理解自然语言指令、自主规划执行步骤、按需调用专业工具并动态调整的工作台。用户只需上传公文并用一句话下达要求（例如“对全文进行格式与内容全项审计”），系统即自动完成审计并输出结构化报告。</w:t>
      </w:r>
    </w:p>
    <w:p>
      <w:pPr>
        <w:spacing w:after="60" w:line="312" w:lineRule="auto"/>
        <w:ind w:firstLine="480"/>
        <w:jc w:val="both"/>
      </w:pPr>
      <w:r>
        <w:rPr>
          <w:color w:val="000000"/>
          <w:sz w:val="24"/>
          <w:szCs w:val="24"/>
        </w:rPr>
        <w:t xml:space="preserve">平台底层是通用智能体引擎，公文审计是它的首个领域应用。这一设计使平台的投入可以持续复用：今后要支撑新的文档处理业务（如合同审查、报告稽核），只需以“领域包”的形式加装新的专业知识，平台本身无需重复建设。</w:t>
      </w:r>
    </w:p>
    <w:p>
      <w:pPr>
        <w:pStyle w:val="Heading2"/>
        <w:spacing w:after="120" w:before="280" w:line="360" w:lineRule="atLeast"/>
      </w:pPr>
      <w:bookmarkStart w:id="100004" w:name="_Toc100004"/>
      <w:r>
        <w:rPr>
          <w:rFonts w:ascii="Times New Roman" w:eastAsia="SimHei"/>
          <w:b/>
          <w:bCs/>
          <w:color w:val="0A1628"/>
          <w:sz w:val="30"/>
          <w:szCs w:val="30"/>
        </w:rPr>
        <w:t xml:space="preserve">1.3  核心功能一览</w:t>
      </w:r>
      <w:bookmarkEnd w:id="100004"/>
    </w:p>
    <w:p>
      <w:pPr>
        <w:spacing w:after="60" w:line="312" w:lineRule="auto"/>
        <w:ind w:firstLine="480"/>
        <w:jc w:val="both"/>
      </w:pPr>
      <w:r>
        <w:rPr>
          <w:color w:val="000000"/>
          <w:sz w:val="24"/>
          <w:szCs w:val="24"/>
        </w:rPr>
        <w:t xml:space="preserve">平台当前已上线的核心功能如表 1 所示，覆盖从文档解析、自动审计到结果导出的完整链路。</w:t>
      </w:r>
    </w:p>
    <w:p>
      <w:pPr>
        <w:keepNext/>
        <w:spacing w:after="80" w:before="160"/>
        <w:jc w:val="center"/>
      </w:pPr>
      <w:r>
        <w:rPr>
          <w:rFonts w:ascii="Times New Roman" w:eastAsia="SimSun"/>
          <w:b/>
          <w:bCs/>
          <w:color w:val="404040"/>
          <w:sz w:val="21"/>
          <w:szCs w:val="21"/>
        </w:rPr>
        <w:t xml:space="preserve">表 1  核心功能一览</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18%"/>
            <w:shd w:fill="1B6B7A" w:val="clear"/>
            <w:tcMar>
              <w:top w:type="dxa" w:w="70"/>
              <w:left w:type="dxa" w:w="120"/>
              <w:bottom w:type="dxa" w:w="70"/>
              <w:right w:type="dxa" w:w="120"/>
            </w:tcMar>
          </w:tcPr>
          <w:p>
            <w:pPr>
              <w:jc w:val="center"/>
            </w:pPr>
            <w:r>
              <w:rPr>
                <w:b/>
                <w:bCs/>
                <w:color w:val="FFFFFF"/>
                <w:sz w:val="21"/>
                <w:szCs w:val="21"/>
              </w:rPr>
              <w:t xml:space="preserve">功能模块</w:t>
            </w:r>
          </w:p>
        </w:tc>
        <w:tc>
          <w:tcPr>
            <w:tcW w:type="pct" w:w="50%"/>
            <w:shd w:fill="1B6B7A" w:val="clear"/>
            <w:tcMar>
              <w:top w:type="dxa" w:w="70"/>
              <w:left w:type="dxa" w:w="120"/>
              <w:bottom w:type="dxa" w:w="70"/>
              <w:right w:type="dxa" w:w="120"/>
            </w:tcMar>
          </w:tcPr>
          <w:p>
            <w:pPr>
              <w:jc w:val="center"/>
            </w:pPr>
            <w:r>
              <w:rPr>
                <w:b/>
                <w:bCs/>
                <w:color w:val="FFFFFF"/>
                <w:sz w:val="21"/>
                <w:szCs w:val="21"/>
              </w:rPr>
              <w:t xml:space="preserve">功能说明</w:t>
            </w:r>
          </w:p>
        </w:tc>
        <w:tc>
          <w:tcPr>
            <w:tcW w:type="pct" w:w="32%"/>
            <w:shd w:fill="1B6B7A" w:val="clear"/>
            <w:tcMar>
              <w:top w:type="dxa" w:w="70"/>
              <w:left w:type="dxa" w:w="120"/>
              <w:bottom w:type="dxa" w:w="70"/>
              <w:right w:type="dxa" w:w="120"/>
            </w:tcMar>
          </w:tcPr>
          <w:p>
            <w:pPr>
              <w:jc w:val="center"/>
            </w:pPr>
            <w:r>
              <w:rPr>
                <w:b/>
                <w:bCs/>
                <w:color w:val="FFFFFF"/>
                <w:sz w:val="21"/>
                <w:szCs w:val="21"/>
              </w:rPr>
              <w:t xml:space="preserve">业务价值</w:t>
            </w:r>
          </w:p>
        </w:tc>
      </w:tr>
      <w:tr>
        <w:trPr>
          <w:cantSplit/>
        </w:trPr>
        <w:tc>
          <w:tcPr>
            <w:tcW w:type="pct" w:w="18%"/>
            <w:tcMar>
              <w:top w:type="dxa" w:w="60"/>
              <w:left w:type="dxa" w:w="120"/>
              <w:bottom w:type="dxa" w:w="60"/>
              <w:right w:type="dxa" w:w="120"/>
            </w:tcMar>
          </w:tcPr>
          <w:p>
            <w:pPr>
              <w:spacing w:line="280" w:lineRule="atLeast"/>
              <w:jc w:val="center"/>
            </w:pPr>
            <w:r>
              <w:rPr>
                <w:color w:val="000000"/>
                <w:sz w:val="21"/>
                <w:szCs w:val="21"/>
              </w:rPr>
              <w:t xml:space="preserve">公文解析</w:t>
            </w:r>
          </w:p>
        </w:tc>
        <w:tc>
          <w:tcPr>
            <w:tcW w:type="pct" w:w="50%"/>
            <w:tcMar>
              <w:top w:type="dxa" w:w="60"/>
              <w:left w:type="dxa" w:w="120"/>
              <w:bottom w:type="dxa" w:w="60"/>
              <w:right w:type="dxa" w:w="120"/>
            </w:tcMar>
          </w:tcPr>
          <w:p>
            <w:pPr>
              <w:spacing w:line="280" w:lineRule="atLeast"/>
              <w:jc w:val="left"/>
            </w:pPr>
            <w:r>
              <w:rPr>
                <w:color w:val="000000"/>
                <w:sz w:val="21"/>
                <w:szCs w:val="21"/>
              </w:rPr>
              <w:t xml:space="preserve">支持 Word、PDF 等主流格式与扫描件（自动 OCR 识别），提取版面结构、字体字号、标题层级</w:t>
            </w:r>
          </w:p>
        </w:tc>
        <w:tc>
          <w:tcPr>
            <w:tcW w:type="pct" w:w="32%"/>
            <w:tcMar>
              <w:top w:type="dxa" w:w="60"/>
              <w:left w:type="dxa" w:w="120"/>
              <w:bottom w:type="dxa" w:w="60"/>
              <w:right w:type="dxa" w:w="120"/>
            </w:tcMar>
          </w:tcPr>
          <w:p>
            <w:pPr>
              <w:spacing w:line="280" w:lineRule="atLeast"/>
              <w:jc w:val="left"/>
            </w:pPr>
            <w:r>
              <w:rPr>
                <w:color w:val="000000"/>
                <w:sz w:val="21"/>
                <w:szCs w:val="21"/>
              </w:rPr>
              <w:t xml:space="preserve">全格式覆盖，纸质件扫描后同样可审</w:t>
            </w:r>
          </w:p>
        </w:tc>
      </w:tr>
      <w:tr>
        <w:trPr>
          <w:cantSplit/>
        </w:trPr>
        <w:tc>
          <w:tcPr>
            <w:tcW w:type="pct" w:w="18%"/>
            <w:shd w:fill="EDF3F5" w:val="clear"/>
            <w:tcMar>
              <w:top w:type="dxa" w:w="60"/>
              <w:left w:type="dxa" w:w="120"/>
              <w:bottom w:type="dxa" w:w="60"/>
              <w:right w:type="dxa" w:w="120"/>
            </w:tcMar>
          </w:tcPr>
          <w:p>
            <w:pPr>
              <w:spacing w:line="280" w:lineRule="atLeast"/>
              <w:jc w:val="center"/>
            </w:pPr>
            <w:r>
              <w:rPr>
                <w:color w:val="000000"/>
                <w:sz w:val="21"/>
                <w:szCs w:val="21"/>
              </w:rPr>
              <w:t xml:space="preserve">格式审计</w:t>
            </w:r>
          </w:p>
        </w:tc>
        <w:tc>
          <w:tcPr>
            <w:tcW w:type="pct" w:w="50%"/>
            <w:shd w:fill="EDF3F5" w:val="clear"/>
            <w:tcMar>
              <w:top w:type="dxa" w:w="60"/>
              <w:left w:type="dxa" w:w="120"/>
              <w:bottom w:type="dxa" w:w="60"/>
              <w:right w:type="dxa" w:w="120"/>
            </w:tcMar>
          </w:tcPr>
          <w:p>
            <w:pPr>
              <w:spacing w:line="280" w:lineRule="atLeast"/>
              <w:jc w:val="left"/>
            </w:pPr>
            <w:r>
              <w:rPr>
                <w:color w:val="000000"/>
                <w:sz w:val="21"/>
                <w:szCs w:val="21"/>
              </w:rPr>
              <w:t xml:space="preserve">依据 GB/T 9704-2012 及公文格式模板，对版式、字体字号、发文字号、落款等逐项自动核对</w:t>
            </w:r>
          </w:p>
        </w:tc>
        <w:tc>
          <w:tcPr>
            <w:tcW w:type="pct" w:w="32%"/>
            <w:shd w:fill="EDF3F5" w:val="clear"/>
            <w:tcMar>
              <w:top w:type="dxa" w:w="60"/>
              <w:left w:type="dxa" w:w="120"/>
              <w:bottom w:type="dxa" w:w="60"/>
              <w:right w:type="dxa" w:w="120"/>
            </w:tcMar>
          </w:tcPr>
          <w:p>
            <w:pPr>
              <w:spacing w:line="280" w:lineRule="atLeast"/>
              <w:jc w:val="left"/>
            </w:pPr>
            <w:r>
              <w:rPr>
                <w:color w:val="000000"/>
                <w:sz w:val="21"/>
                <w:szCs w:val="21"/>
              </w:rPr>
              <w:t xml:space="preserve">标准执行口径统一，杜绝漏项</w:t>
            </w:r>
          </w:p>
        </w:tc>
      </w:tr>
      <w:tr>
        <w:trPr>
          <w:cantSplit/>
        </w:trPr>
        <w:tc>
          <w:tcPr>
            <w:tcW w:type="pct" w:w="18%"/>
            <w:tcMar>
              <w:top w:type="dxa" w:w="60"/>
              <w:left w:type="dxa" w:w="120"/>
              <w:bottom w:type="dxa" w:w="60"/>
              <w:right w:type="dxa" w:w="120"/>
            </w:tcMar>
          </w:tcPr>
          <w:p>
            <w:pPr>
              <w:spacing w:line="280" w:lineRule="atLeast"/>
              <w:jc w:val="center"/>
            </w:pPr>
            <w:r>
              <w:rPr>
                <w:color w:val="000000"/>
                <w:sz w:val="21"/>
                <w:szCs w:val="21"/>
              </w:rPr>
              <w:t xml:space="preserve">内容合规审查</w:t>
            </w:r>
          </w:p>
        </w:tc>
        <w:tc>
          <w:tcPr>
            <w:tcW w:type="pct" w:w="50%"/>
            <w:tcMar>
              <w:top w:type="dxa" w:w="60"/>
              <w:left w:type="dxa" w:w="120"/>
              <w:bottom w:type="dxa" w:w="60"/>
              <w:right w:type="dxa" w:w="120"/>
            </w:tcMar>
          </w:tcPr>
          <w:p>
            <w:pPr>
              <w:spacing w:line="280" w:lineRule="atLeast"/>
              <w:jc w:val="left"/>
            </w:pPr>
            <w:r>
              <w:rPr>
                <w:color w:val="000000"/>
                <w:sz w:val="21"/>
                <w:szCs w:val="21"/>
              </w:rPr>
              <w:t xml:space="preserve">对正文表述、政策一致性、事实性错误等进行智能审查，输出问题清单与修改建议</w:t>
            </w:r>
          </w:p>
        </w:tc>
        <w:tc>
          <w:tcPr>
            <w:tcW w:type="pct" w:w="32%"/>
            <w:tcMar>
              <w:top w:type="dxa" w:w="60"/>
              <w:left w:type="dxa" w:w="120"/>
              <w:bottom w:type="dxa" w:w="60"/>
              <w:right w:type="dxa" w:w="120"/>
            </w:tcMar>
          </w:tcPr>
          <w:p>
            <w:pPr>
              <w:spacing w:line="280" w:lineRule="atLeast"/>
              <w:jc w:val="left"/>
            </w:pPr>
            <w:r>
              <w:rPr>
                <w:color w:val="000000"/>
                <w:sz w:val="21"/>
                <w:szCs w:val="21"/>
              </w:rPr>
              <w:t xml:space="preserve">发现人工难以察觉的前后矛盾</w:t>
            </w:r>
          </w:p>
        </w:tc>
      </w:tr>
      <w:tr>
        <w:trPr>
          <w:cantSplit/>
        </w:trPr>
        <w:tc>
          <w:tcPr>
            <w:tcW w:type="pct" w:w="18%"/>
            <w:shd w:fill="EDF3F5" w:val="clear"/>
            <w:tcMar>
              <w:top w:type="dxa" w:w="60"/>
              <w:left w:type="dxa" w:w="120"/>
              <w:bottom w:type="dxa" w:w="60"/>
              <w:right w:type="dxa" w:w="120"/>
            </w:tcMar>
          </w:tcPr>
          <w:p>
            <w:pPr>
              <w:spacing w:line="280" w:lineRule="atLeast"/>
              <w:jc w:val="center"/>
            </w:pPr>
            <w:r>
              <w:rPr>
                <w:color w:val="000000"/>
                <w:sz w:val="21"/>
                <w:szCs w:val="21"/>
              </w:rPr>
              <w:t xml:space="preserve">文本查重</w:t>
            </w:r>
          </w:p>
        </w:tc>
        <w:tc>
          <w:tcPr>
            <w:tcW w:type="pct" w:w="50%"/>
            <w:shd w:fill="EDF3F5" w:val="clear"/>
            <w:tcMar>
              <w:top w:type="dxa" w:w="60"/>
              <w:left w:type="dxa" w:w="120"/>
              <w:bottom w:type="dxa" w:w="60"/>
              <w:right w:type="dxa" w:w="120"/>
            </w:tcMar>
          </w:tcPr>
          <w:p>
            <w:pPr>
              <w:spacing w:line="280" w:lineRule="atLeast"/>
              <w:jc w:val="left"/>
            </w:pPr>
            <w:r>
              <w:rPr>
                <w:color w:val="000000"/>
                <w:sz w:val="21"/>
                <w:szCs w:val="21"/>
              </w:rPr>
              <w:t xml:space="preserve">段落级相似度分析，动态阈值判定</w:t>
            </w:r>
          </w:p>
        </w:tc>
        <w:tc>
          <w:tcPr>
            <w:tcW w:type="pct" w:w="32%"/>
            <w:shd w:fill="EDF3F5" w:val="clear"/>
            <w:tcMar>
              <w:top w:type="dxa" w:w="60"/>
              <w:left w:type="dxa" w:w="120"/>
              <w:bottom w:type="dxa" w:w="60"/>
              <w:right w:type="dxa" w:w="120"/>
            </w:tcMar>
          </w:tcPr>
          <w:p>
            <w:pPr>
              <w:spacing w:line="280" w:lineRule="atLeast"/>
              <w:jc w:val="left"/>
            </w:pPr>
            <w:r>
              <w:rPr>
                <w:color w:val="000000"/>
                <w:sz w:val="21"/>
                <w:szCs w:val="21"/>
              </w:rPr>
              <w:t xml:space="preserve">辅助原创性与抄袭风险把关</w:t>
            </w:r>
          </w:p>
        </w:tc>
      </w:tr>
      <w:tr>
        <w:trPr>
          <w:cantSplit/>
        </w:trPr>
        <w:tc>
          <w:tcPr>
            <w:tcW w:type="pct" w:w="18%"/>
            <w:tcMar>
              <w:top w:type="dxa" w:w="60"/>
              <w:left w:type="dxa" w:w="120"/>
              <w:bottom w:type="dxa" w:w="60"/>
              <w:right w:type="dxa" w:w="120"/>
            </w:tcMar>
          </w:tcPr>
          <w:p>
            <w:pPr>
              <w:spacing w:line="280" w:lineRule="atLeast"/>
              <w:jc w:val="center"/>
            </w:pPr>
            <w:r>
              <w:rPr>
                <w:color w:val="000000"/>
                <w:sz w:val="21"/>
                <w:szCs w:val="21"/>
              </w:rPr>
              <w:t xml:space="preserve">涉密信息分析</w:t>
            </w:r>
          </w:p>
        </w:tc>
        <w:tc>
          <w:tcPr>
            <w:tcW w:type="pct" w:w="50%"/>
            <w:tcMar>
              <w:top w:type="dxa" w:w="60"/>
              <w:left w:type="dxa" w:w="120"/>
              <w:bottom w:type="dxa" w:w="60"/>
              <w:right w:type="dxa" w:w="120"/>
            </w:tcMar>
          </w:tcPr>
          <w:p>
            <w:pPr>
              <w:spacing w:line="280" w:lineRule="atLeast"/>
              <w:jc w:val="left"/>
            </w:pPr>
            <w:r>
              <w:rPr>
                <w:color w:val="000000"/>
                <w:sz w:val="21"/>
                <w:szCs w:val="21"/>
              </w:rPr>
              <w:t xml:space="preserve">识别疑似敏感信息并作出提示</w:t>
            </w:r>
          </w:p>
        </w:tc>
        <w:tc>
          <w:tcPr>
            <w:tcW w:type="pct" w:w="32%"/>
            <w:tcMar>
              <w:top w:type="dxa" w:w="60"/>
              <w:left w:type="dxa" w:w="120"/>
              <w:bottom w:type="dxa" w:w="60"/>
              <w:right w:type="dxa" w:w="120"/>
            </w:tcMar>
          </w:tcPr>
          <w:p>
            <w:pPr>
              <w:spacing w:line="280" w:lineRule="atLeast"/>
              <w:jc w:val="left"/>
            </w:pPr>
            <w:r>
              <w:rPr>
                <w:color w:val="000000"/>
                <w:sz w:val="21"/>
                <w:szCs w:val="21"/>
              </w:rPr>
              <w:t xml:space="preserve">降低失泄密风险</w:t>
            </w:r>
          </w:p>
        </w:tc>
      </w:tr>
      <w:tr>
        <w:trPr>
          <w:cantSplit/>
        </w:trPr>
        <w:tc>
          <w:tcPr>
            <w:tcW w:type="pct" w:w="18%"/>
            <w:shd w:fill="EDF3F5" w:val="clear"/>
            <w:tcMar>
              <w:top w:type="dxa" w:w="60"/>
              <w:left w:type="dxa" w:w="120"/>
              <w:bottom w:type="dxa" w:w="60"/>
              <w:right w:type="dxa" w:w="120"/>
            </w:tcMar>
          </w:tcPr>
          <w:p>
            <w:pPr>
              <w:spacing w:line="280" w:lineRule="atLeast"/>
              <w:jc w:val="center"/>
            </w:pPr>
            <w:r>
              <w:rPr>
                <w:color w:val="000000"/>
                <w:sz w:val="21"/>
                <w:szCs w:val="21"/>
              </w:rPr>
              <w:t xml:space="preserve">批注导出</w:t>
            </w:r>
          </w:p>
        </w:tc>
        <w:tc>
          <w:tcPr>
            <w:tcW w:type="pct" w:w="50%"/>
            <w:shd w:fill="EDF3F5" w:val="clear"/>
            <w:tcMar>
              <w:top w:type="dxa" w:w="60"/>
              <w:left w:type="dxa" w:w="120"/>
              <w:bottom w:type="dxa" w:w="60"/>
              <w:right w:type="dxa" w:w="120"/>
            </w:tcMar>
          </w:tcPr>
          <w:p>
            <w:pPr>
              <w:spacing w:line="280" w:lineRule="atLeast"/>
              <w:jc w:val="left"/>
            </w:pPr>
            <w:r>
              <w:rPr>
                <w:color w:val="000000"/>
                <w:sz w:val="21"/>
                <w:szCs w:val="21"/>
              </w:rPr>
              <w:t xml:space="preserve">审计结果回写公文，生成带批注的 Word 文档供直接下载</w:t>
            </w:r>
          </w:p>
        </w:tc>
        <w:tc>
          <w:tcPr>
            <w:tcW w:type="pct" w:w="32%"/>
            <w:shd w:fill="EDF3F5" w:val="clear"/>
            <w:tcMar>
              <w:top w:type="dxa" w:w="60"/>
              <w:left w:type="dxa" w:w="120"/>
              <w:bottom w:type="dxa" w:w="60"/>
              <w:right w:type="dxa" w:w="120"/>
            </w:tcMar>
          </w:tcPr>
          <w:p>
            <w:pPr>
              <w:spacing w:line="280" w:lineRule="atLeast"/>
              <w:jc w:val="left"/>
            </w:pPr>
            <w:r>
              <w:rPr>
                <w:color w:val="000000"/>
                <w:sz w:val="21"/>
                <w:szCs w:val="21"/>
              </w:rPr>
              <w:t xml:space="preserve">审计结论直接服务于修改</w:t>
            </w:r>
          </w:p>
        </w:tc>
      </w:tr>
      <w:tr>
        <w:trPr>
          <w:cantSplit/>
        </w:trPr>
        <w:tc>
          <w:tcPr>
            <w:tcW w:type="pct" w:w="18%"/>
            <w:tcMar>
              <w:top w:type="dxa" w:w="60"/>
              <w:left w:type="dxa" w:w="120"/>
              <w:bottom w:type="dxa" w:w="60"/>
              <w:right w:type="dxa" w:w="120"/>
            </w:tcMar>
          </w:tcPr>
          <w:p>
            <w:pPr>
              <w:spacing w:line="280" w:lineRule="atLeast"/>
              <w:jc w:val="center"/>
            </w:pPr>
            <w:r>
              <w:rPr>
                <w:color w:val="000000"/>
                <w:sz w:val="21"/>
                <w:szCs w:val="21"/>
              </w:rPr>
              <w:t xml:space="preserve">过程留痕</w:t>
            </w:r>
          </w:p>
        </w:tc>
        <w:tc>
          <w:tcPr>
            <w:tcW w:type="pct" w:w="50%"/>
            <w:tcMar>
              <w:top w:type="dxa" w:w="60"/>
              <w:left w:type="dxa" w:w="120"/>
              <w:bottom w:type="dxa" w:w="60"/>
              <w:right w:type="dxa" w:w="120"/>
            </w:tcMar>
          </w:tcPr>
          <w:p>
            <w:pPr>
              <w:spacing w:line="280" w:lineRule="atLeast"/>
              <w:jc w:val="left"/>
            </w:pPr>
            <w:r>
              <w:rPr>
                <w:color w:val="000000"/>
                <w:sz w:val="21"/>
                <w:szCs w:val="21"/>
              </w:rPr>
              <w:t xml:space="preserve">每一步思考与每一次工具调用完整记录、可回放</w:t>
            </w:r>
          </w:p>
        </w:tc>
        <w:tc>
          <w:tcPr>
            <w:tcW w:type="pct" w:w="32%"/>
            <w:tcMar>
              <w:top w:type="dxa" w:w="60"/>
              <w:left w:type="dxa" w:w="120"/>
              <w:bottom w:type="dxa" w:w="60"/>
              <w:right w:type="dxa" w:w="120"/>
            </w:tcMar>
          </w:tcPr>
          <w:p>
            <w:pPr>
              <w:spacing w:line="280" w:lineRule="atLeast"/>
              <w:jc w:val="left"/>
            </w:pPr>
            <w:r>
              <w:rPr>
                <w:color w:val="000000"/>
                <w:sz w:val="21"/>
                <w:szCs w:val="21"/>
              </w:rPr>
              <w:t xml:space="preserve">审核可追溯、过程可复核</w:t>
            </w:r>
          </w:p>
        </w:tc>
      </w:tr>
    </w:tbl>
    <w:p>
      <w:pPr>
        <w:spacing w:after="120"/>
      </w:pPr>
    </w:p>
    <w:p>
      <w:pPr>
        <w:pStyle w:val="Heading1"/>
        <w:spacing w:after="160" w:before="360" w:line="380" w:lineRule="atLeast"/>
        <w:jc w:val="center"/>
      </w:pPr>
      <w:bookmarkStart w:id="100005" w:name="_Toc100005"/>
      <w:r>
        <w:rPr>
          <w:rFonts w:ascii="Times New Roman" w:eastAsia="SimHei"/>
          <w:b/>
          <w:bCs/>
          <w:color w:val="0A1628"/>
          <w:sz w:val="32"/>
          <w:szCs w:val="32"/>
        </w:rPr>
        <w:t xml:space="preserve">第二章  总体架构设计</w:t>
      </w:r>
      <w:bookmarkEnd w:id="100005"/>
    </w:p>
    <w:p>
      <w:pPr>
        <w:pStyle w:val="Heading2"/>
        <w:spacing w:after="120" w:before="280" w:line="360" w:lineRule="atLeast"/>
      </w:pPr>
      <w:bookmarkStart w:id="100006" w:name="_Toc100006"/>
      <w:r>
        <w:rPr>
          <w:rFonts w:ascii="Times New Roman" w:eastAsia="SimHei"/>
          <w:b/>
          <w:bCs/>
          <w:color w:val="0A1628"/>
          <w:sz w:val="30"/>
          <w:szCs w:val="30"/>
        </w:rPr>
        <w:t xml:space="preserve">2.1  设计理念：平台化、插件化、模板化</w:t>
      </w:r>
      <w:bookmarkEnd w:id="100006"/>
    </w:p>
    <w:p>
      <w:pPr>
        <w:spacing w:after="60" w:line="312" w:lineRule="auto"/>
        <w:ind w:firstLine="480"/>
        <w:jc w:val="both"/>
      </w:pPr>
      <w:r>
        <w:rPr>
          <w:b/>
          <w:bCs/>
          <w:color w:val="000000"/>
          <w:sz w:val="24"/>
          <w:szCs w:val="24"/>
        </w:rPr>
        <w:t xml:space="preserve">平台化。</w:t>
      </w:r>
      <w:r>
        <w:rPr>
          <w:color w:val="000000"/>
          <w:sz w:val="24"/>
          <w:szCs w:val="24"/>
        </w:rPr>
        <w:t xml:space="preserve">系统按照“智能手机 + App”的模式分层：底层是一台功能完备的“智能手机”（通用智能体引擎），提供任务编排、工具调度、界面呈现等公共能力；公文审计是装上的第一个“App”（领域包）。今后要支撑新业务，只需开发新的 App，“手机”本身无需更换。</w:t>
      </w:r>
    </w:p>
    <w:p>
      <w:pPr>
        <w:spacing w:after="60" w:line="312" w:lineRule="auto"/>
        <w:ind w:firstLine="480"/>
        <w:jc w:val="both"/>
      </w:pPr>
      <w:r>
        <w:rPr>
          <w:b/>
          <w:bCs/>
          <w:color w:val="000000"/>
          <w:sz w:val="24"/>
          <w:szCs w:val="24"/>
        </w:rPr>
        <w:t xml:space="preserve">插件化。</w:t>
      </w:r>
      <w:r>
        <w:rPr>
          <w:color w:val="000000"/>
          <w:sz w:val="24"/>
          <w:szCs w:val="24"/>
        </w:rPr>
        <w:t xml:space="preserve">所有具体检查能力（文档解析、格式检查、内容检查、查重等）都以“插件”形式独立运行，相当于给主机配了一套可随时增减的“外接工具箱”。单个工具升级、重启甚至故障，都不影响平台整体运行。</w:t>
      </w:r>
    </w:p>
    <w:p>
      <w:pPr>
        <w:spacing w:after="60" w:line="312" w:lineRule="auto"/>
        <w:ind w:firstLine="480"/>
        <w:jc w:val="both"/>
      </w:pPr>
      <w:r>
        <w:rPr>
          <w:b/>
          <w:bCs/>
          <w:color w:val="000000"/>
          <w:sz w:val="24"/>
          <w:szCs w:val="24"/>
        </w:rPr>
        <w:t xml:space="preserve">模板化。</w:t>
      </w:r>
      <w:r>
        <w:rPr>
          <w:color w:val="000000"/>
          <w:sz w:val="24"/>
          <w:szCs w:val="24"/>
        </w:rPr>
        <w:t xml:space="preserve">智能体的“话术”（提示词模板）与业务规则（格式规则、合规规则）全部外置为可管理的模板与规则文件，业务与领域专家可以直接审阅、修订，不依赖开发人员改动代码，保证专业知识可持续沉淀、可持续更新。</w:t>
      </w:r>
    </w:p>
    <w:p>
      <w:pPr>
        <w:pStyle w:val="Heading2"/>
        <w:spacing w:after="120" w:before="280" w:line="360" w:lineRule="atLeast"/>
      </w:pPr>
      <w:bookmarkStart w:id="100007" w:name="_Toc100007"/>
      <w:r>
        <w:rPr>
          <w:rFonts w:ascii="Times New Roman" w:eastAsia="SimHei"/>
          <w:b/>
          <w:bCs/>
          <w:color w:val="0A1628"/>
          <w:sz w:val="30"/>
          <w:szCs w:val="30"/>
        </w:rPr>
        <w:t xml:space="preserve">2.2  系统总体架构</w:t>
      </w:r>
      <w:bookmarkEnd w:id="100007"/>
    </w:p>
    <w:p>
      <w:pPr>
        <w:spacing w:after="60" w:line="312" w:lineRule="auto"/>
        <w:ind w:firstLine="480"/>
        <w:jc w:val="both"/>
      </w:pPr>
      <w:r>
        <w:rPr>
          <w:color w:val="000000"/>
          <w:sz w:val="24"/>
          <w:szCs w:val="24"/>
        </w:rPr>
        <w:t xml:space="preserve">平台总体架构如图 1 所示，自上而下分为六层，层与层之间职责清晰、通过标准接口衔接。</w:t>
      </w:r>
    </w:p>
    <w:p>
      <w:pPr>
        <w:keepNext/>
        <w:spacing w:after="60" w:before="120" w:line="240" w:lineRule="auto"/>
        <w:jc w:val="center"/>
      </w:pPr>
      <w:r>
        <w:drawing>
          <wp:inline distT="0" distB="0" distL="0" distR="0">
            <wp:extent cx="5524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400550"/>
                    </a:xfrm>
                    <a:prstGeom prst="rect">
                      <a:avLst/>
                    </a:prstGeom>
                  </pic:spPr>
                </pic:pic>
              </a:graphicData>
            </a:graphic>
          </wp:inline>
        </w:drawing>
      </w:r>
    </w:p>
    <w:p>
      <w:pPr>
        <w:spacing w:after="200"/>
        <w:jc w:val="center"/>
      </w:pPr>
      <w:r>
        <w:rPr>
          <w:rFonts w:ascii="Times New Roman" w:eastAsia="SimSun"/>
          <w:color w:val="404040"/>
          <w:sz w:val="21"/>
          <w:szCs w:val="21"/>
        </w:rPr>
        <w:t xml:space="preserve">图 1  系统总体架构图</w:t>
      </w:r>
    </w:p>
    <w:p>
      <w:pPr>
        <w:spacing w:after="60" w:line="312" w:lineRule="auto"/>
        <w:ind w:firstLine="480"/>
        <w:jc w:val="both"/>
      </w:pPr>
      <w:r>
        <w:rPr>
          <w:color w:val="000000"/>
          <w:sz w:val="24"/>
          <w:szCs w:val="24"/>
        </w:rPr>
        <w:t xml:space="preserve">用户层与接入层解决“谁在用、怎么进”的问题：各类人员通过浏览器访问终端式 Web 工作台，由应用服务统一处理登录认证、会话管理、接口限流，并通过 SSE（Server-Sent Events，服务器实时推送）技术把任务进展毫秒级地流式呈现给用户。</w:t>
      </w:r>
    </w:p>
    <w:p>
      <w:pPr>
        <w:spacing w:after="60" w:line="312" w:lineRule="auto"/>
        <w:ind w:firstLine="480"/>
        <w:jc w:val="both"/>
      </w:pPr>
      <w:r>
        <w:rPr>
          <w:color w:val="000000"/>
          <w:sz w:val="24"/>
          <w:szCs w:val="24"/>
        </w:rPr>
        <w:t xml:space="preserve">智能体引擎层是整个平台的核心大脑，也是不绑定任何业务的通用部分：编排智能体负责理解指令、拆解任务、调度执行；子智能体运行时让专项任务隔离执行、互不干扰；技能框架把标准作业流程文档化；提示词引擎把所有自然语言话术模板化；工具注册中心统一纳管全部工具；任务运行管理支撑后台执行、排队与断线重连；事件总线对全过程事件留痕，支持回放。</w:t>
      </w:r>
    </w:p>
    <w:p>
      <w:pPr>
        <w:spacing w:after="60" w:line="312" w:lineRule="auto"/>
        <w:ind w:firstLine="480"/>
        <w:jc w:val="both"/>
      </w:pPr>
      <w:r>
        <w:rPr>
          <w:color w:val="000000"/>
          <w:sz w:val="24"/>
          <w:szCs w:val="24"/>
        </w:rPr>
        <w:t xml:space="preserve">领域能力层承载业务知识。当前挂载的 docaudit 公文审计领域包，包含格式审计、内容合规、文本查重、涉密分析四项审计技能和 GB/T 9704-2012 格式规则库、内容合规规则库。新增领域只需“加包”，无需改动平台。</w:t>
      </w:r>
    </w:p>
    <w:p>
      <w:pPr>
        <w:spacing w:after="60" w:line="312" w:lineRule="auto"/>
        <w:ind w:firstLine="480"/>
        <w:jc w:val="both"/>
      </w:pPr>
      <w:r>
        <w:rPr>
          <w:color w:val="000000"/>
          <w:sz w:val="24"/>
          <w:szCs w:val="24"/>
        </w:rPr>
        <w:t xml:space="preserve">插件工具层是具体的“工具箱”：四个共享插件（文档读写、智能检索、批注、模板）为各领域通用，四个审计插件（文档解析、格式检查、内容检查、查重）为公文审计专用，均以独立进程运行。基础设施层则由 MySQL 数据库、MinIO 对象存储、Elasticsearch 检索引擎、大模型服务与可观测套件构成，全部为开源组件，可完全私有化部署。</w:t>
      </w:r>
    </w:p>
    <w:p>
      <w:pPr>
        <w:pStyle w:val="Heading2"/>
        <w:spacing w:after="120" w:before="280" w:line="360" w:lineRule="atLeast"/>
      </w:pPr>
      <w:bookmarkStart w:id="100008" w:name="_Toc100008"/>
      <w:r>
        <w:rPr>
          <w:rFonts w:ascii="Times New Roman" w:eastAsia="SimHei"/>
          <w:b/>
          <w:bCs/>
          <w:color w:val="0A1628"/>
          <w:sz w:val="30"/>
          <w:szCs w:val="30"/>
        </w:rPr>
        <w:t xml:space="preserve">2.3  引擎内置子系统</w:t>
      </w:r>
      <w:bookmarkEnd w:id="100008"/>
    </w:p>
    <w:p>
      <w:pPr>
        <w:spacing w:after="60" w:line="312" w:lineRule="auto"/>
        <w:ind w:firstLine="480"/>
        <w:jc w:val="both"/>
      </w:pPr>
      <w:r>
        <w:rPr>
          <w:color w:val="000000"/>
          <w:sz w:val="24"/>
          <w:szCs w:val="24"/>
        </w:rPr>
        <w:t xml:space="preserve">2.2 节介绍的是系统的“骨架”。要让智能体稳定、可控地工作，引擎内部还有四个支撑子系统协同配合：技能系统负责供给标准作业流程，文件制记忆负责跨会话记住偏好与知识，统一护栏管线负责智能体行为的全部检查与干预，工件与投影负责成果的登记与按需取用。它们与任务执行主线的关系如图 2 所示。</w:t>
      </w:r>
    </w:p>
    <w:p>
      <w:pPr>
        <w:keepNext/>
        <w:spacing w:after="60" w:before="120" w:line="240" w:lineRule="auto"/>
        <w:jc w:val="center"/>
      </w:pPr>
      <w:r>
        <w:drawing>
          <wp:inline distT="0" distB="0" distL="0" distR="0">
            <wp:extent cx="5524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533650"/>
                    </a:xfrm>
                    <a:prstGeom prst="rect">
                      <a:avLst/>
                    </a:prstGeom>
                  </pic:spPr>
                </pic:pic>
              </a:graphicData>
            </a:graphic>
          </wp:inline>
        </w:drawing>
      </w:r>
    </w:p>
    <w:p>
      <w:pPr>
        <w:spacing w:after="200"/>
        <w:jc w:val="center"/>
      </w:pPr>
      <w:r>
        <w:rPr>
          <w:rFonts w:ascii="Times New Roman" w:eastAsia="SimSun"/>
          <w:color w:val="404040"/>
          <w:sz w:val="21"/>
          <w:szCs w:val="21"/>
        </w:rPr>
        <w:t xml:space="preserve">图 2  引擎内置子系统总览</w:t>
      </w:r>
    </w:p>
    <w:p>
      <w:pPr>
        <w:spacing w:after="60" w:line="312" w:lineRule="auto"/>
        <w:ind w:firstLine="480"/>
        <w:jc w:val="both"/>
      </w:pPr>
      <w:r>
        <w:rPr>
          <w:b/>
          <w:bCs/>
          <w:color w:val="000000"/>
          <w:sz w:val="24"/>
          <w:szCs w:val="24"/>
        </w:rPr>
        <w:t xml:space="preserve">技能系统——把作业流程写成文档。</w:t>
      </w:r>
      <w:r>
        <w:rPr>
          <w:color w:val="000000"/>
          <w:sz w:val="24"/>
          <w:szCs w:val="24"/>
        </w:rPr>
        <w:t xml:space="preserve">每项技能是一份带元数据的说明文档，写明任务目标、执行步骤与输出要求，并可声明“输入清单”；派发时系统自动校验输入数据是否齐全合规，再把任务连同一份完整的“任务书”交给一个专项子智能体照章执行。四大审计能力（格式审计、内容合规、文本查重、涉密分析）都以技能方式承载——新增技能只需编写一份文档，无需修改代码。</w:t>
      </w:r>
    </w:p>
    <w:p>
      <w:pPr>
        <w:spacing w:after="60" w:line="312" w:lineRule="auto"/>
        <w:ind w:firstLine="480"/>
        <w:jc w:val="both"/>
      </w:pPr>
      <w:r>
        <w:rPr>
          <w:b/>
          <w:bCs/>
          <w:color w:val="000000"/>
          <w:sz w:val="24"/>
          <w:szCs w:val="24"/>
        </w:rPr>
        <w:t xml:space="preserve">文件制记忆——用普通文件记住偏好与知识。</w:t>
      </w:r>
      <w:r>
        <w:rPr>
          <w:color w:val="000000"/>
          <w:sz w:val="24"/>
          <w:szCs w:val="24"/>
        </w:rPr>
        <w:t xml:space="preserve">平台的跨会话记忆不依赖专门数据库：智能体用三个通用文件工具（读、写、改）直接维护记忆目录中的普通文件（索引 + 主题文件，按“通用 + 领域”分目录存放）；每次新会话自动把记忆索引注入上下文（设总量上限，防止喧宾夺主）。记忆内容管理员可直接打开查看，删除一条记忆即修改一行索引。该能力已落地投用，当前已实际记住用户偏好与公文标准要点。</w:t>
      </w:r>
    </w:p>
    <w:p>
      <w:pPr>
        <w:spacing w:after="60" w:line="312" w:lineRule="auto"/>
        <w:ind w:firstLine="480"/>
        <w:jc w:val="both"/>
      </w:pPr>
      <w:r>
        <w:rPr>
          <w:b/>
          <w:bCs/>
          <w:color w:val="000000"/>
          <w:sz w:val="24"/>
          <w:szCs w:val="24"/>
        </w:rPr>
        <w:t xml:space="preserve">统一护栏管线——智能体行为的总检查站。</w:t>
      </w:r>
      <w:r>
        <w:rPr>
          <w:color w:val="000000"/>
          <w:sz w:val="24"/>
          <w:szCs w:val="24"/>
        </w:rPr>
        <w:t xml:space="preserve">过去权限是一道独立关卡、流程干预靠零散的钩子，现已统一为一条护栏管线：智能体的每个关键动作——开始思考、给出结论、调用工具、取得结果——都按“先适配、再裁决、后记录”的固定次序过一遍。裁决类关卡包括禁用工具拦截、文件路径越界拦截（只允许落在记忆目录与本会话工作区）、高危操作转人工确认，任何一道不过，该次调用即被拦下（仅拒这一次，智能体可自行纠正后继续）；记录类挂载点负责过程留痕与信息注入，只看不改、不阻断主流程。业务领域还可向管线加装专属关卡。该管线已落地投用，并支撑了高危操作“人工确认”的完整闭环（见 4.4 节）。</w:t>
      </w:r>
    </w:p>
    <w:p>
      <w:pPr>
        <w:spacing w:after="60" w:line="312" w:lineRule="auto"/>
        <w:ind w:firstLine="480"/>
        <w:jc w:val="both"/>
      </w:pPr>
      <w:r>
        <w:rPr>
          <w:b/>
          <w:bCs/>
          <w:color w:val="000000"/>
          <w:sz w:val="24"/>
          <w:szCs w:val="24"/>
        </w:rPr>
        <w:t xml:space="preserve">工件与投影——成果入库、按需取用。</w:t>
      </w:r>
      <w:r>
        <w:rPr>
          <w:color w:val="000000"/>
          <w:sz w:val="24"/>
          <w:szCs w:val="24"/>
        </w:rPr>
        <w:t xml:space="preserve">工具与技能产出的大块数据（解析出的版面结构、转换后的全文、检索结果、审计报告）统一登记为带编号的“工件”，对话中只保留取用引用；模型需要时按引用定点取用：可列清单、分页读取、按章节定位，系统还能把工件自动转换成所需形态（如版面数据转纯文本）。数千字的公文因此不必反复塞进对话，既节省资源又减少失真。</w:t>
      </w:r>
    </w:p>
    <w:p>
      <w:pPr>
        <w:pStyle w:val="Heading2"/>
        <w:spacing w:after="120" w:before="280" w:line="360" w:lineRule="atLeast"/>
      </w:pPr>
      <w:bookmarkStart w:id="100009" w:name="_Toc100009"/>
      <w:r>
        <w:rPr>
          <w:rFonts w:ascii="Times New Roman" w:eastAsia="SimHei"/>
          <w:b/>
          <w:bCs/>
          <w:color w:val="0A1628"/>
          <w:sz w:val="30"/>
          <w:szCs w:val="30"/>
        </w:rPr>
        <w:t xml:space="preserve">2.4  技术选型与选型原则</w:t>
      </w:r>
      <w:bookmarkEnd w:id="100009"/>
    </w:p>
    <w:p>
      <w:pPr>
        <w:spacing w:after="60" w:line="312" w:lineRule="auto"/>
        <w:ind w:firstLine="480"/>
        <w:jc w:val="both"/>
      </w:pPr>
      <w:r>
        <w:rPr>
          <w:color w:val="000000"/>
          <w:sz w:val="24"/>
          <w:szCs w:val="24"/>
        </w:rPr>
        <w:t xml:space="preserve">平台主要技术选型如表 2 所示。选型遵循三条原则：一是成熟稳定，核心组件均为主流开源技术；二是自主可控，无商业授权依赖，支持全栈私有化部署；三是开放兼容，模型、工具均通过标准协议接入，可替换、可扩展。</w:t>
      </w:r>
    </w:p>
    <w:p>
      <w:pPr>
        <w:keepNext/>
        <w:spacing w:after="80" w:before="160"/>
        <w:jc w:val="center"/>
      </w:pPr>
      <w:r>
        <w:rPr>
          <w:rFonts w:ascii="Times New Roman" w:eastAsia="SimSun"/>
          <w:b/>
          <w:bCs/>
          <w:color w:val="404040"/>
          <w:sz w:val="21"/>
          <w:szCs w:val="21"/>
        </w:rPr>
        <w:t xml:space="preserve">表 2  技术选型一览</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16%"/>
            <w:shd w:fill="1B6B7A" w:val="clear"/>
            <w:tcMar>
              <w:top w:type="dxa" w:w="70"/>
              <w:left w:type="dxa" w:w="120"/>
              <w:bottom w:type="dxa" w:w="70"/>
              <w:right w:type="dxa" w:w="120"/>
            </w:tcMar>
          </w:tcPr>
          <w:p>
            <w:pPr>
              <w:jc w:val="center"/>
            </w:pPr>
            <w:r>
              <w:rPr>
                <w:b/>
                <w:bCs/>
                <w:color w:val="FFFFFF"/>
                <w:sz w:val="21"/>
                <w:szCs w:val="21"/>
              </w:rPr>
              <w:t xml:space="preserve">层次</w:t>
            </w:r>
          </w:p>
        </w:tc>
        <w:tc>
          <w:tcPr>
            <w:tcW w:type="pct" w:w="40%"/>
            <w:shd w:fill="1B6B7A" w:val="clear"/>
            <w:tcMar>
              <w:top w:type="dxa" w:w="70"/>
              <w:left w:type="dxa" w:w="120"/>
              <w:bottom w:type="dxa" w:w="70"/>
              <w:right w:type="dxa" w:w="120"/>
            </w:tcMar>
          </w:tcPr>
          <w:p>
            <w:pPr>
              <w:jc w:val="center"/>
            </w:pPr>
            <w:r>
              <w:rPr>
                <w:b/>
                <w:bCs/>
                <w:color w:val="FFFFFF"/>
                <w:sz w:val="21"/>
                <w:szCs w:val="21"/>
              </w:rPr>
              <w:t xml:space="preserve">技术组件</w:t>
            </w:r>
          </w:p>
        </w:tc>
        <w:tc>
          <w:tcPr>
            <w:tcW w:type="pct" w:w="44%"/>
            <w:shd w:fill="1B6B7A" w:val="clear"/>
            <w:tcMar>
              <w:top w:type="dxa" w:w="70"/>
              <w:left w:type="dxa" w:w="120"/>
              <w:bottom w:type="dxa" w:w="70"/>
              <w:right w:type="dxa" w:w="120"/>
            </w:tcMar>
          </w:tcPr>
          <w:p>
            <w:pPr>
              <w:jc w:val="center"/>
            </w:pPr>
            <w:r>
              <w:rPr>
                <w:b/>
                <w:bCs/>
                <w:color w:val="FFFFFF"/>
                <w:sz w:val="21"/>
                <w:szCs w:val="21"/>
              </w:rPr>
              <w:t xml:space="preserve">选型说明</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前端</w:t>
            </w:r>
          </w:p>
        </w:tc>
        <w:tc>
          <w:tcPr>
            <w:tcW w:type="pct" w:w="40%"/>
            <w:tcMar>
              <w:top w:type="dxa" w:w="60"/>
              <w:left w:type="dxa" w:w="120"/>
              <w:bottom w:type="dxa" w:w="60"/>
              <w:right w:type="dxa" w:w="120"/>
            </w:tcMar>
          </w:tcPr>
          <w:p>
            <w:pPr>
              <w:spacing w:line="280" w:lineRule="atLeast"/>
              <w:jc w:val="left"/>
            </w:pPr>
            <w:r>
              <w:rPr>
                <w:color w:val="000000"/>
                <w:sz w:val="21"/>
                <w:szCs w:val="21"/>
              </w:rPr>
              <w:t xml:space="preserve">Vue 3 + Vite</w:t>
            </w:r>
          </w:p>
        </w:tc>
        <w:tc>
          <w:tcPr>
            <w:tcW w:type="pct" w:w="44%"/>
            <w:tcMar>
              <w:top w:type="dxa" w:w="60"/>
              <w:left w:type="dxa" w:w="120"/>
              <w:bottom w:type="dxa" w:w="60"/>
              <w:right w:type="dxa" w:w="120"/>
            </w:tcMar>
          </w:tcPr>
          <w:p>
            <w:pPr>
              <w:spacing w:line="280" w:lineRule="atLeast"/>
              <w:jc w:val="left"/>
            </w:pPr>
            <w:r>
              <w:rPr>
                <w:color w:val="000000"/>
                <w:sz w:val="21"/>
                <w:szCs w:val="21"/>
              </w:rPr>
              <w:t xml:space="preserve">现代前端框架，终端式交互界面，构建快、体验流畅</w:t>
            </w:r>
          </w:p>
        </w:tc>
      </w:tr>
      <w:tr>
        <w:trPr>
          <w:cantSplit/>
        </w:trPr>
        <w:tc>
          <w:tcPr>
            <w:tcW w:type="pct" w:w="16%"/>
            <w:shd w:fill="EDF3F5" w:val="clear"/>
            <w:tcMar>
              <w:top w:type="dxa" w:w="60"/>
              <w:left w:type="dxa" w:w="120"/>
              <w:bottom w:type="dxa" w:w="60"/>
              <w:right w:type="dxa" w:w="120"/>
            </w:tcMar>
          </w:tcPr>
          <w:p>
            <w:pPr>
              <w:spacing w:line="280" w:lineRule="atLeast"/>
              <w:jc w:val="center"/>
            </w:pPr>
            <w:r>
              <w:rPr>
                <w:color w:val="000000"/>
                <w:sz w:val="21"/>
                <w:szCs w:val="21"/>
              </w:rPr>
              <w:t xml:space="preserve">后端服务</w:t>
            </w:r>
          </w:p>
        </w:tc>
        <w:tc>
          <w:tcPr>
            <w:tcW w:type="pct" w:w="40%"/>
            <w:shd w:fill="EDF3F5" w:val="clear"/>
            <w:tcMar>
              <w:top w:type="dxa" w:w="60"/>
              <w:left w:type="dxa" w:w="120"/>
              <w:bottom w:type="dxa" w:w="60"/>
              <w:right w:type="dxa" w:w="120"/>
            </w:tcMar>
          </w:tcPr>
          <w:p>
            <w:pPr>
              <w:spacing w:line="280" w:lineRule="atLeast"/>
              <w:jc w:val="left"/>
            </w:pPr>
            <w:r>
              <w:rPr>
                <w:color w:val="000000"/>
                <w:sz w:val="21"/>
                <w:szCs w:val="21"/>
              </w:rPr>
              <w:t xml:space="preserve">Python 3.12 + FastAPI</w:t>
            </w:r>
          </w:p>
        </w:tc>
        <w:tc>
          <w:tcPr>
            <w:tcW w:type="pct" w:w="44%"/>
            <w:shd w:fill="EDF3F5" w:val="clear"/>
            <w:tcMar>
              <w:top w:type="dxa" w:w="60"/>
              <w:left w:type="dxa" w:w="120"/>
              <w:bottom w:type="dxa" w:w="60"/>
              <w:right w:type="dxa" w:w="120"/>
            </w:tcMar>
          </w:tcPr>
          <w:p>
            <w:pPr>
              <w:spacing w:line="280" w:lineRule="atLeast"/>
              <w:jc w:val="left"/>
            </w:pPr>
            <w:r>
              <w:rPr>
                <w:color w:val="000000"/>
                <w:sz w:val="21"/>
                <w:szCs w:val="21"/>
              </w:rPr>
              <w:t xml:space="preserve">高性能异步框架，承载 API 与实时流式推送</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智能体引擎</w:t>
            </w:r>
          </w:p>
        </w:tc>
        <w:tc>
          <w:tcPr>
            <w:tcW w:type="pct" w:w="40%"/>
            <w:tcMar>
              <w:top w:type="dxa" w:w="60"/>
              <w:left w:type="dxa" w:w="120"/>
              <w:bottom w:type="dxa" w:w="60"/>
              <w:right w:type="dxa" w:w="120"/>
            </w:tcMar>
          </w:tcPr>
          <w:p>
            <w:pPr>
              <w:spacing w:line="280" w:lineRule="atLeast"/>
              <w:jc w:val="left"/>
            </w:pPr>
            <w:r>
              <w:rPr>
                <w:color w:val="000000"/>
                <w:sz w:val="21"/>
                <w:szCs w:val="21"/>
              </w:rPr>
              <w:t xml:space="preserve">自研 Think-Act-Observe 运行时</w:t>
            </w:r>
          </w:p>
        </w:tc>
        <w:tc>
          <w:tcPr>
            <w:tcW w:type="pct" w:w="44%"/>
            <w:tcMar>
              <w:top w:type="dxa" w:w="60"/>
              <w:left w:type="dxa" w:w="120"/>
              <w:bottom w:type="dxa" w:w="60"/>
              <w:right w:type="dxa" w:w="120"/>
            </w:tcMar>
          </w:tcPr>
          <w:p>
            <w:pPr>
              <w:spacing w:line="280" w:lineRule="atLeast"/>
              <w:jc w:val="left"/>
            </w:pPr>
            <w:r>
              <w:rPr>
                <w:color w:val="000000"/>
                <w:sz w:val="21"/>
                <w:szCs w:val="21"/>
              </w:rPr>
              <w:t xml:space="preserve">任务编排、技能调度、上下文管理</w:t>
            </w:r>
          </w:p>
        </w:tc>
      </w:tr>
      <w:tr>
        <w:trPr>
          <w:cantSplit/>
        </w:trPr>
        <w:tc>
          <w:tcPr>
            <w:tcW w:type="pct" w:w="16%"/>
            <w:shd w:fill="EDF3F5" w:val="clear"/>
            <w:tcMar>
              <w:top w:type="dxa" w:w="60"/>
              <w:left w:type="dxa" w:w="120"/>
              <w:bottom w:type="dxa" w:w="60"/>
              <w:right w:type="dxa" w:w="120"/>
            </w:tcMar>
          </w:tcPr>
          <w:p>
            <w:pPr>
              <w:spacing w:line="280" w:lineRule="atLeast"/>
              <w:jc w:val="center"/>
            </w:pPr>
            <w:r>
              <w:rPr>
                <w:color w:val="000000"/>
                <w:sz w:val="21"/>
                <w:szCs w:val="21"/>
              </w:rPr>
              <w:t xml:space="preserve">插件协议</w:t>
            </w:r>
          </w:p>
        </w:tc>
        <w:tc>
          <w:tcPr>
            <w:tcW w:type="pct" w:w="40%"/>
            <w:shd w:fill="EDF3F5" w:val="clear"/>
            <w:tcMar>
              <w:top w:type="dxa" w:w="60"/>
              <w:left w:type="dxa" w:w="120"/>
              <w:bottom w:type="dxa" w:w="60"/>
              <w:right w:type="dxa" w:w="120"/>
            </w:tcMar>
          </w:tcPr>
          <w:p>
            <w:pPr>
              <w:spacing w:line="280" w:lineRule="atLeast"/>
              <w:jc w:val="left"/>
            </w:pPr>
            <w:r>
              <w:rPr>
                <w:color w:val="000000"/>
                <w:sz w:val="21"/>
                <w:szCs w:val="21"/>
              </w:rPr>
              <w:t xml:space="preserve">JSON-RPC 2.0 over TCP</w:t>
            </w:r>
          </w:p>
        </w:tc>
        <w:tc>
          <w:tcPr>
            <w:tcW w:type="pct" w:w="44%"/>
            <w:shd w:fill="EDF3F5" w:val="clear"/>
            <w:tcMar>
              <w:top w:type="dxa" w:w="60"/>
              <w:left w:type="dxa" w:w="120"/>
              <w:bottom w:type="dxa" w:w="60"/>
              <w:right w:type="dxa" w:w="120"/>
            </w:tcMar>
          </w:tcPr>
          <w:p>
            <w:pPr>
              <w:spacing w:line="280" w:lineRule="atLeast"/>
              <w:jc w:val="left"/>
            </w:pPr>
            <w:r>
              <w:rPr>
                <w:color w:val="000000"/>
                <w:sz w:val="21"/>
                <w:szCs w:val="21"/>
              </w:rPr>
              <w:t xml:space="preserve">语言无关、支持跨机部署、双向令牌认证</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数据层</w:t>
            </w:r>
          </w:p>
        </w:tc>
        <w:tc>
          <w:tcPr>
            <w:tcW w:type="pct" w:w="40%"/>
            <w:tcMar>
              <w:top w:type="dxa" w:w="60"/>
              <w:left w:type="dxa" w:w="120"/>
              <w:bottom w:type="dxa" w:w="60"/>
              <w:right w:type="dxa" w:w="120"/>
            </w:tcMar>
          </w:tcPr>
          <w:p>
            <w:pPr>
              <w:spacing w:line="280" w:lineRule="atLeast"/>
              <w:jc w:val="left"/>
            </w:pPr>
            <w:r>
              <w:rPr>
                <w:color w:val="000000"/>
                <w:sz w:val="21"/>
                <w:szCs w:val="21"/>
              </w:rPr>
              <w:t xml:space="preserve">MySQL 8 / MinIO / Elasticsearch 8</w:t>
            </w:r>
          </w:p>
        </w:tc>
        <w:tc>
          <w:tcPr>
            <w:tcW w:type="pct" w:w="44%"/>
            <w:tcMar>
              <w:top w:type="dxa" w:w="60"/>
              <w:left w:type="dxa" w:w="120"/>
              <w:bottom w:type="dxa" w:w="60"/>
              <w:right w:type="dxa" w:w="120"/>
            </w:tcMar>
          </w:tcPr>
          <w:p>
            <w:pPr>
              <w:spacing w:line="280" w:lineRule="atLeast"/>
              <w:jc w:val="left"/>
            </w:pPr>
            <w:r>
              <w:rPr>
                <w:color w:val="000000"/>
                <w:sz w:val="21"/>
                <w:szCs w:val="21"/>
              </w:rPr>
              <w:t xml:space="preserve">业务数据、文件存储、全文检索，均可私有化</w:t>
            </w:r>
          </w:p>
        </w:tc>
      </w:tr>
      <w:tr>
        <w:trPr>
          <w:cantSplit/>
        </w:trPr>
        <w:tc>
          <w:tcPr>
            <w:tcW w:type="pct" w:w="16%"/>
            <w:shd w:fill="EDF3F5" w:val="clear"/>
            <w:tcMar>
              <w:top w:type="dxa" w:w="60"/>
              <w:left w:type="dxa" w:w="120"/>
              <w:bottom w:type="dxa" w:w="60"/>
              <w:right w:type="dxa" w:w="120"/>
            </w:tcMar>
          </w:tcPr>
          <w:p>
            <w:pPr>
              <w:spacing w:line="280" w:lineRule="atLeast"/>
              <w:jc w:val="center"/>
            </w:pPr>
            <w:r>
              <w:rPr>
                <w:color w:val="000000"/>
                <w:sz w:val="21"/>
                <w:szCs w:val="21"/>
              </w:rPr>
              <w:t xml:space="preserve">模型层</w:t>
            </w:r>
          </w:p>
        </w:tc>
        <w:tc>
          <w:tcPr>
            <w:tcW w:type="pct" w:w="40%"/>
            <w:shd w:fill="EDF3F5" w:val="clear"/>
            <w:tcMar>
              <w:top w:type="dxa" w:w="60"/>
              <w:left w:type="dxa" w:w="120"/>
              <w:bottom w:type="dxa" w:w="60"/>
              <w:right w:type="dxa" w:w="120"/>
            </w:tcMar>
          </w:tcPr>
          <w:p>
            <w:pPr>
              <w:spacing w:line="280" w:lineRule="atLeast"/>
              <w:jc w:val="left"/>
            </w:pPr>
            <w:r>
              <w:rPr>
                <w:color w:val="000000"/>
                <w:sz w:val="21"/>
                <w:szCs w:val="21"/>
              </w:rPr>
              <w:t xml:space="preserve">OpenAI 兼容接口</w:t>
            </w:r>
          </w:p>
        </w:tc>
        <w:tc>
          <w:tcPr>
            <w:tcW w:type="pct" w:w="44%"/>
            <w:shd w:fill="EDF3F5" w:val="clear"/>
            <w:tcMar>
              <w:top w:type="dxa" w:w="60"/>
              <w:left w:type="dxa" w:w="120"/>
              <w:bottom w:type="dxa" w:w="60"/>
              <w:right w:type="dxa" w:w="120"/>
            </w:tcMar>
          </w:tcPr>
          <w:p>
            <w:pPr>
              <w:spacing w:line="280" w:lineRule="atLeast"/>
              <w:jc w:val="left"/>
            </w:pPr>
            <w:r>
              <w:rPr>
                <w:color w:val="000000"/>
                <w:sz w:val="21"/>
                <w:szCs w:val="21"/>
              </w:rPr>
              <w:t xml:space="preserve">大模型可配置、可替换，支持私有化部署模型</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可观测</w:t>
            </w:r>
          </w:p>
        </w:tc>
        <w:tc>
          <w:tcPr>
            <w:tcW w:type="pct" w:w="40%"/>
            <w:tcMar>
              <w:top w:type="dxa" w:w="60"/>
              <w:left w:type="dxa" w:w="120"/>
              <w:bottom w:type="dxa" w:w="60"/>
              <w:right w:type="dxa" w:w="120"/>
            </w:tcMar>
          </w:tcPr>
          <w:p>
            <w:pPr>
              <w:spacing w:line="280" w:lineRule="atLeast"/>
              <w:jc w:val="left"/>
            </w:pPr>
            <w:r>
              <w:rPr>
                <w:color w:val="000000"/>
                <w:sz w:val="21"/>
                <w:szCs w:val="21"/>
              </w:rPr>
              <w:t xml:space="preserve">OpenTelemetry + Prometheus + Grafana + Langfuse</w:t>
            </w:r>
          </w:p>
        </w:tc>
        <w:tc>
          <w:tcPr>
            <w:tcW w:type="pct" w:w="44%"/>
            <w:tcMar>
              <w:top w:type="dxa" w:w="60"/>
              <w:left w:type="dxa" w:w="120"/>
              <w:bottom w:type="dxa" w:w="60"/>
              <w:right w:type="dxa" w:w="120"/>
            </w:tcMar>
          </w:tcPr>
          <w:p>
            <w:pPr>
              <w:spacing w:line="280" w:lineRule="atLeast"/>
              <w:jc w:val="left"/>
            </w:pPr>
            <w:r>
              <w:rPr>
                <w:color w:val="000000"/>
                <w:sz w:val="21"/>
                <w:szCs w:val="21"/>
              </w:rPr>
              <w:t xml:space="preserve">运行监控告警与大模型调用全程追踪</w:t>
            </w:r>
          </w:p>
        </w:tc>
      </w:tr>
    </w:tbl>
    <w:p>
      <w:pPr>
        <w:spacing w:after="120"/>
      </w:pPr>
    </w:p>
    <w:p>
      <w:pPr>
        <w:pStyle w:val="Heading1"/>
        <w:spacing w:after="160" w:before="360" w:line="380" w:lineRule="atLeast"/>
        <w:jc w:val="center"/>
      </w:pPr>
      <w:bookmarkStart w:id="100010" w:name="_Toc100010"/>
      <w:r>
        <w:rPr>
          <w:rFonts w:ascii="Times New Roman" w:eastAsia="SimHei"/>
          <w:b/>
          <w:bCs/>
          <w:color w:val="0A1628"/>
          <w:sz w:val="32"/>
          <w:szCs w:val="32"/>
        </w:rPr>
        <w:t xml:space="preserve">第三章  核心工作流程</w:t>
      </w:r>
      <w:bookmarkEnd w:id="100010"/>
    </w:p>
    <w:p>
      <w:pPr>
        <w:pStyle w:val="Heading2"/>
        <w:spacing w:after="120" w:before="280" w:line="360" w:lineRule="atLeast"/>
      </w:pPr>
      <w:bookmarkStart w:id="100011" w:name="_Toc100011"/>
      <w:r>
        <w:rPr>
          <w:rFonts w:ascii="Times New Roman" w:eastAsia="SimHei"/>
          <w:b/>
          <w:bCs/>
          <w:color w:val="0A1628"/>
          <w:sz w:val="30"/>
          <w:szCs w:val="30"/>
        </w:rPr>
        <w:t xml:space="preserve">3.1  一次公文审计任务的完整流程</w:t>
      </w:r>
      <w:bookmarkEnd w:id="100011"/>
    </w:p>
    <w:p>
      <w:pPr>
        <w:spacing w:after="60" w:line="312" w:lineRule="auto"/>
        <w:ind w:firstLine="480"/>
        <w:jc w:val="both"/>
      </w:pPr>
      <w:r>
        <w:rPr>
          <w:color w:val="000000"/>
          <w:sz w:val="24"/>
          <w:szCs w:val="24"/>
        </w:rPr>
        <w:t xml:space="preserve">从用户视角看，一次审计只有“上传文件 + 下达一句指令”两步，其余全部由系统自动完成，如图 3 所示。</w:t>
      </w:r>
    </w:p>
    <w:p>
      <w:pPr>
        <w:keepNext/>
        <w:spacing w:after="60" w:before="120" w:line="240" w:lineRule="auto"/>
        <w:jc w:val="center"/>
      </w:pPr>
      <w:r>
        <w:drawing>
          <wp:inline distT="0" distB="0" distL="0" distR="0">
            <wp:extent cx="5524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09850"/>
                    </a:xfrm>
                    <a:prstGeom prst="rect">
                      <a:avLst/>
                    </a:prstGeom>
                  </pic:spPr>
                </pic:pic>
              </a:graphicData>
            </a:graphic>
          </wp:inline>
        </w:drawing>
      </w:r>
    </w:p>
    <w:p>
      <w:pPr>
        <w:spacing w:after="200"/>
        <w:jc w:val="center"/>
      </w:pPr>
      <w:r>
        <w:rPr>
          <w:rFonts w:ascii="Times New Roman" w:eastAsia="SimSun"/>
          <w:color w:val="404040"/>
          <w:sz w:val="21"/>
          <w:szCs w:val="21"/>
        </w:rPr>
        <w:t xml:space="preserve">图 3  一次公文审计任务的完整流程</w:t>
      </w:r>
    </w:p>
    <w:p>
      <w:pPr>
        <w:spacing w:after="60" w:line="312" w:lineRule="auto"/>
        <w:ind w:firstLine="480"/>
        <w:jc w:val="both"/>
      </w:pPr>
      <w:r>
        <w:rPr>
          <w:color w:val="000000"/>
          <w:sz w:val="24"/>
          <w:szCs w:val="24"/>
        </w:rPr>
        <w:t xml:space="preserve">指令下达后，系统立即创建后台任务并返回，页面可以关闭、回来可续看。智能体首先理解指令并激活公文审计能力、匹配执行技能；随后调用文档解析工具，把公文的版面结构、字体字号、标题层级提取为可核查的数据（扫描件自动切换 OCR 识别）；再调用格式检查、内容合规、文本查重等工具逐项核查；最后由大模型汇总各工具结果，生成带问题定位、风险等级与修改建议的结构化审计报告，实时流式呈现给用户，并支持导出带批注的文档。</w:t>
      </w:r>
    </w:p>
    <w:p>
      <w:pPr>
        <w:pStyle w:val="Heading2"/>
        <w:spacing w:after="120" w:before="280" w:line="360" w:lineRule="atLeast"/>
      </w:pPr>
      <w:bookmarkStart w:id="100012" w:name="_Toc100012"/>
      <w:r>
        <w:rPr>
          <w:rFonts w:ascii="Times New Roman" w:eastAsia="SimHei"/>
          <w:b/>
          <w:bCs/>
          <w:color w:val="0A1628"/>
          <w:sz w:val="30"/>
          <w:szCs w:val="30"/>
        </w:rPr>
        <w:t xml:space="preserve">3.2  智能体的“思考—行动—观察”工作循环</w:t>
      </w:r>
      <w:bookmarkEnd w:id="100012"/>
    </w:p>
    <w:p>
      <w:pPr>
        <w:spacing w:after="60" w:line="312" w:lineRule="auto"/>
        <w:ind w:firstLine="480"/>
        <w:jc w:val="both"/>
      </w:pPr>
      <w:r>
        <w:rPr>
          <w:color w:val="000000"/>
          <w:sz w:val="24"/>
          <w:szCs w:val="24"/>
        </w:rPr>
        <w:t xml:space="preserve">平台为什么不把审计流程写成固定脚本？因为千差万别的公文无法用一条固定流程穷举。平台采用业界主流的智能体循环，如图 4 所示：每一步先“思考”（分析任务进展、决定下一步调用哪个工具），再“行动”（执行工具调用），然后“观察”（收集结果、更新认知），循环往复直至产出完整结论。</w:t>
      </w:r>
    </w:p>
    <w:p>
      <w:pPr>
        <w:keepNext/>
        <w:spacing w:after="60" w:before="120" w:line="240" w:lineRule="auto"/>
        <w:jc w:val="center"/>
      </w:pPr>
      <w:r>
        <w:drawing>
          <wp:inline distT="0" distB="0" distL="0" distR="0">
            <wp:extent cx="4762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76575"/>
                    </a:xfrm>
                    <a:prstGeom prst="rect">
                      <a:avLst/>
                    </a:prstGeom>
                  </pic:spPr>
                </pic:pic>
              </a:graphicData>
            </a:graphic>
          </wp:inline>
        </w:drawing>
      </w:r>
    </w:p>
    <w:p>
      <w:pPr>
        <w:spacing w:after="200"/>
        <w:jc w:val="center"/>
      </w:pPr>
      <w:r>
        <w:rPr>
          <w:rFonts w:ascii="Times New Roman" w:eastAsia="SimSun"/>
          <w:color w:val="404040"/>
          <w:sz w:val="21"/>
          <w:szCs w:val="21"/>
        </w:rPr>
        <w:t xml:space="preserve">图 4  智能体“思考—行动—观察”工作循环</w:t>
      </w:r>
    </w:p>
    <w:p>
      <w:pPr>
        <w:spacing w:after="60" w:line="312" w:lineRule="auto"/>
        <w:ind w:firstLine="480"/>
        <w:jc w:val="both"/>
      </w:pPr>
      <w:r>
        <w:rPr>
          <w:color w:val="000000"/>
          <w:sz w:val="24"/>
          <w:szCs w:val="24"/>
        </w:rPr>
        <w:t xml:space="preserve">这一机制带来显著的灵活性：遇到扫描件识别不清，智能体可自动改用 OCR 方式重查；发现某类问题密集，可主动加查一轮；任务简单时则快速收敛，不浪费资源。一次复杂审计任务通常需要十几次工具调用，全程对用户透明可见。</w:t>
      </w:r>
    </w:p>
    <w:p>
      <w:pPr>
        <w:pStyle w:val="Heading2"/>
        <w:spacing w:after="120" w:before="280" w:line="360" w:lineRule="atLeast"/>
      </w:pPr>
      <w:bookmarkStart w:id="100013" w:name="_Toc100013"/>
      <w:r>
        <w:rPr>
          <w:rFonts w:ascii="Times New Roman" w:eastAsia="SimHei"/>
          <w:b/>
          <w:bCs/>
          <w:color w:val="0A1628"/>
          <w:sz w:val="30"/>
          <w:szCs w:val="30"/>
        </w:rPr>
        <w:t xml:space="preserve">3.3  领域能力的随用随启机制</w:t>
      </w:r>
      <w:bookmarkEnd w:id="100013"/>
    </w:p>
    <w:p>
      <w:pPr>
        <w:spacing w:after="60" w:line="312" w:lineRule="auto"/>
        <w:ind w:firstLine="480"/>
        <w:jc w:val="both"/>
      </w:pPr>
      <w:r>
        <w:rPr>
          <w:color w:val="000000"/>
          <w:sz w:val="24"/>
          <w:szCs w:val="24"/>
        </w:rPr>
        <w:t xml:space="preserve">平台在会话启动时只挂载通用工具，保持界面与上下文的简洁；当智能体判断当前任务属于公文审计范畴时，自动“激活”docaudit 领域包——注册审计工具、装载审计技能与规则，随后按技能开展审计。这一过程对用户完全透明，无需任何手动配置；用户也可以在指令中显式指定。随用随启的好处是：多领域共存互不干扰，系统始终以最精简、最聚焦的状态执行当前任务。</w:t>
      </w:r>
    </w:p>
    <w:p>
      <w:pPr>
        <w:pStyle w:val="Heading1"/>
        <w:spacing w:after="160" w:before="360" w:line="380" w:lineRule="atLeast"/>
        <w:jc w:val="center"/>
      </w:pPr>
      <w:bookmarkStart w:id="100014" w:name="_Toc100014"/>
      <w:r>
        <w:rPr>
          <w:rFonts w:ascii="Times New Roman" w:eastAsia="SimHei"/>
          <w:b/>
          <w:bCs/>
          <w:color w:val="0A1628"/>
          <w:sz w:val="32"/>
          <w:szCs w:val="32"/>
        </w:rPr>
        <w:t xml:space="preserve">第四章  关键设计决策</w:t>
      </w:r>
      <w:bookmarkEnd w:id="100014"/>
    </w:p>
    <w:p>
      <w:pPr>
        <w:pStyle w:val="Heading2"/>
        <w:spacing w:after="120" w:before="280" w:line="360" w:lineRule="atLeast"/>
      </w:pPr>
      <w:bookmarkStart w:id="100015" w:name="_Toc100015"/>
      <w:r>
        <w:rPr>
          <w:rFonts w:ascii="Times New Roman" w:eastAsia="SimHei"/>
          <w:b/>
          <w:bCs/>
          <w:color w:val="0A1628"/>
          <w:sz w:val="30"/>
          <w:szCs w:val="30"/>
        </w:rPr>
        <w:t xml:space="preserve">4.1  工具插件化：独立运行与故障隔离</w:t>
      </w:r>
      <w:bookmarkEnd w:id="100015"/>
    </w:p>
    <w:p>
      <w:pPr>
        <w:spacing w:after="60" w:line="312" w:lineRule="auto"/>
        <w:ind w:firstLine="480"/>
        <w:jc w:val="both"/>
      </w:pPr>
      <w:r>
        <w:rPr>
          <w:color w:val="000000"/>
          <w:sz w:val="24"/>
          <w:szCs w:val="24"/>
        </w:rPr>
        <w:t xml:space="preserve">平台没有把检查工具做成系统内部模块，而是全部独立为插件服务，如图 5 所示。每个插件是独立进程、独立环境，可单独升级、单独重启，还可部署到其他服务器。平台与插件之间通过 JSON-RPC 2.0 协议通信，双方以令牌互相认证身份，未授权连接一律拒绝；连接中断后平台自动重连，插件故障时自动标记隔离，绝不拖垮平台本体。</w:t>
      </w:r>
    </w:p>
    <w:p>
      <w:pPr>
        <w:keepNext/>
        <w:spacing w:after="60" w:before="120" w:line="240" w:lineRule="auto"/>
        <w:jc w:val="center"/>
      </w:pPr>
      <w:r>
        <w:drawing>
          <wp:inline distT="0" distB="0" distL="0" distR="0">
            <wp:extent cx="5524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rFonts w:ascii="Times New Roman" w:eastAsia="SimSun"/>
          <w:color w:val="404040"/>
          <w:sz w:val="21"/>
          <w:szCs w:val="21"/>
        </w:rPr>
        <w:t xml:space="preserve">图 5  插件化工具架构与安全通道</w:t>
      </w:r>
    </w:p>
    <w:p>
      <w:pPr>
        <w:spacing w:after="60" w:line="312" w:lineRule="auto"/>
        <w:ind w:firstLine="480"/>
        <w:jc w:val="both"/>
      </w:pPr>
      <w:r>
        <w:rPr>
          <w:color w:val="000000"/>
          <w:sz w:val="24"/>
          <w:szCs w:val="24"/>
        </w:rPr>
        <w:t xml:space="preserve">文件流转同样经过专门设计：需要审计的公文通过 MinIO 专用中转区进出插件，与业务数据库完全隔离；中转文件 24 小时自动清理；插件不掌握数据库账号与系统密钥。即便某个插件被攻破，影响范围也被限制在一个临时中转区内，数据不越界。</w:t>
      </w:r>
    </w:p>
    <w:p>
      <w:pPr>
        <w:pStyle w:val="Heading2"/>
        <w:spacing w:after="120" w:before="280" w:line="360" w:lineRule="atLeast"/>
      </w:pPr>
      <w:bookmarkStart w:id="100016" w:name="_Toc100016"/>
      <w:r>
        <w:rPr>
          <w:rFonts w:ascii="Times New Roman" w:eastAsia="SimHei"/>
          <w:b/>
          <w:bCs/>
          <w:color w:val="0A1628"/>
          <w:sz w:val="30"/>
          <w:szCs w:val="30"/>
        </w:rPr>
        <w:t xml:space="preserve">4.2  业务知识模板化：规则与话术外置</w:t>
      </w:r>
      <w:bookmarkEnd w:id="100016"/>
    </w:p>
    <w:p>
      <w:pPr>
        <w:spacing w:after="60" w:line="312" w:lineRule="auto"/>
        <w:ind w:firstLine="480"/>
        <w:jc w:val="both"/>
      </w:pPr>
      <w:r>
        <w:rPr>
          <w:color w:val="000000"/>
          <w:sz w:val="24"/>
          <w:szCs w:val="24"/>
        </w:rPr>
        <w:t xml:space="preserve">平台的核心代码中不含任何写死的自然语言与业务规则。智能体的全部“话术”由 Jinja2 + YAML 模板引擎渲染，支持中英双语与按领域覆盖；格式规则、内容合规规则以结构化规则文件形式随领域包发布；审计作业流程则编写为“技能”文档——它本质上是一份标准作业指导书（SOP），规定子智能体的任务目标、执行步骤与输出要求。这意味着：公文标准更新、话术优化、流程调整，通常只需修改模板、规则与技能文档，由业务与领域专家参与即可完成，改动快、风险小。</w:t>
      </w:r>
    </w:p>
    <w:p>
      <w:pPr>
        <w:pStyle w:val="Heading2"/>
        <w:spacing w:after="120" w:before="280" w:line="360" w:lineRule="atLeast"/>
      </w:pPr>
      <w:bookmarkStart w:id="100017" w:name="_Toc100017"/>
      <w:r>
        <w:rPr>
          <w:rFonts w:ascii="Times New Roman" w:eastAsia="SimHei"/>
          <w:b/>
          <w:bCs/>
          <w:color w:val="0A1628"/>
          <w:sz w:val="30"/>
          <w:szCs w:val="30"/>
        </w:rPr>
        <w:t xml:space="preserve">4.3  任务后台运行与断线续看</w:t>
      </w:r>
      <w:bookmarkEnd w:id="100017"/>
    </w:p>
    <w:p>
      <w:pPr>
        <w:spacing w:after="60" w:line="312" w:lineRule="auto"/>
        <w:ind w:firstLine="480"/>
        <w:jc w:val="both"/>
      </w:pPr>
      <w:r>
        <w:rPr>
          <w:color w:val="000000"/>
          <w:sz w:val="24"/>
          <w:szCs w:val="24"/>
        </w:rPr>
        <w:t xml:space="preserve">审计任务与浏览器连接是解耦的：任务一旦启动即在后台独立运行，用户关闭页面、切换电脑都不影响执行；重新打开会话即可从断点续看全过程。同一用户的多个任务按队列有序执行，避免相互挤占资源；服务重启后，系统会自动把未完成任务标记为中断，用户可一键重新发起，不会出现“假死”任务长期占用的情况。</w:t>
      </w:r>
    </w:p>
    <w:p>
      <w:pPr>
        <w:pStyle w:val="Heading2"/>
        <w:spacing w:after="120" w:before="280" w:line="360" w:lineRule="atLeast"/>
      </w:pPr>
      <w:bookmarkStart w:id="100018" w:name="_Toc100018"/>
      <w:r>
        <w:rPr>
          <w:rFonts w:ascii="Times New Roman" w:eastAsia="SimHei"/>
          <w:b/>
          <w:bCs/>
          <w:color w:val="0A1628"/>
          <w:sz w:val="30"/>
          <w:szCs w:val="30"/>
        </w:rPr>
        <w:t xml:space="preserve">4.4  安全设计</w:t>
      </w:r>
      <w:bookmarkEnd w:id="100018"/>
    </w:p>
    <w:p>
      <w:pPr>
        <w:spacing w:after="60" w:line="312" w:lineRule="auto"/>
        <w:ind w:firstLine="480"/>
        <w:jc w:val="both"/>
      </w:pPr>
      <w:r>
        <w:rPr>
          <w:color w:val="000000"/>
          <w:sz w:val="24"/>
          <w:szCs w:val="24"/>
        </w:rPr>
        <w:t xml:space="preserve">平台按“最小权限、纵深防御、全程留痕”的原则设计安全体系，主要机制如表 3 所示。</w:t>
      </w:r>
    </w:p>
    <w:p>
      <w:pPr>
        <w:keepNext/>
        <w:spacing w:after="80" w:before="160"/>
        <w:jc w:val="center"/>
      </w:pPr>
      <w:r>
        <w:rPr>
          <w:rFonts w:ascii="Times New Roman" w:eastAsia="SimSun"/>
          <w:b/>
          <w:bCs/>
          <w:color w:val="404040"/>
          <w:sz w:val="21"/>
          <w:szCs w:val="21"/>
        </w:rPr>
        <w:t xml:space="preserve">表 3  安全设计要点</w:t>
      </w:r>
    </w:p>
    <w:tbl>
      <w:tblPr>
        <w:tblW w:type="pct" w:w="100%"/>
        <w:tblBorders>
          <w:top w:val="single" w:color="1B6B7A" w:sz="4"/>
          <w:left w:val="none" w:color="FFFFFF" w:sz="0"/>
          <w:bottom w:val="single" w:color="1B6B7A" w:sz="4"/>
          <w:right w:val="none" w:color="FFFFFF" w:sz="0"/>
          <w:insideH w:val="single" w:color="C8DDE2" w:sz="1"/>
          <w:insideV w:val="none" w:color="FFFFFF" w:sz="0"/>
        </w:tblBorders>
      </w:tblPr>
      <w:tblGrid>
        <w:gridCol w:w="100"/>
        <w:gridCol w:w="100"/>
        <w:gridCol w:w="100"/>
      </w:tblGrid>
      <w:tr>
        <w:trPr>
          <w:cantSplit/>
          <w:tblHeader/>
        </w:trPr>
        <w:tc>
          <w:tcPr>
            <w:tcW w:type="pct" w:w="16%"/>
            <w:shd w:fill="1B6B7A" w:val="clear"/>
            <w:tcMar>
              <w:top w:type="dxa" w:w="70"/>
              <w:left w:type="dxa" w:w="120"/>
              <w:bottom w:type="dxa" w:w="70"/>
              <w:right w:type="dxa" w:w="120"/>
            </w:tcMar>
          </w:tcPr>
          <w:p>
            <w:pPr>
              <w:jc w:val="center"/>
            </w:pPr>
            <w:r>
              <w:rPr>
                <w:b/>
                <w:bCs/>
                <w:color w:val="FFFFFF"/>
                <w:sz w:val="21"/>
                <w:szCs w:val="21"/>
              </w:rPr>
              <w:t xml:space="preserve">安全机制</w:t>
            </w:r>
          </w:p>
        </w:tc>
        <w:tc>
          <w:tcPr>
            <w:tcW w:type="pct" w:w="54%"/>
            <w:shd w:fill="1B6B7A" w:val="clear"/>
            <w:tcMar>
              <w:top w:type="dxa" w:w="70"/>
              <w:left w:type="dxa" w:w="120"/>
              <w:bottom w:type="dxa" w:w="70"/>
              <w:right w:type="dxa" w:w="120"/>
            </w:tcMar>
          </w:tcPr>
          <w:p>
            <w:pPr>
              <w:jc w:val="center"/>
            </w:pPr>
            <w:r>
              <w:rPr>
                <w:b/>
                <w:bCs/>
                <w:color w:val="FFFFFF"/>
                <w:sz w:val="21"/>
                <w:szCs w:val="21"/>
              </w:rPr>
              <w:t xml:space="preserve">具体措施</w:t>
            </w:r>
          </w:p>
        </w:tc>
        <w:tc>
          <w:tcPr>
            <w:tcW w:type="pct" w:w="30%"/>
            <w:shd w:fill="1B6B7A" w:val="clear"/>
            <w:tcMar>
              <w:top w:type="dxa" w:w="70"/>
              <w:left w:type="dxa" w:w="120"/>
              <w:bottom w:type="dxa" w:w="70"/>
              <w:right w:type="dxa" w:w="120"/>
            </w:tcMar>
          </w:tcPr>
          <w:p>
            <w:pPr>
              <w:jc w:val="center"/>
            </w:pPr>
            <w:r>
              <w:rPr>
                <w:b/>
                <w:bCs/>
                <w:color w:val="FFFFFF"/>
                <w:sz w:val="21"/>
                <w:szCs w:val="21"/>
              </w:rPr>
              <w:t xml:space="preserve">防护目标</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身份认证</w:t>
            </w:r>
          </w:p>
        </w:tc>
        <w:tc>
          <w:tcPr>
            <w:tcW w:type="pct" w:w="54%"/>
            <w:tcMar>
              <w:top w:type="dxa" w:w="60"/>
              <w:left w:type="dxa" w:w="120"/>
              <w:bottom w:type="dxa" w:w="60"/>
              <w:right w:type="dxa" w:w="120"/>
            </w:tcMar>
          </w:tcPr>
          <w:p>
            <w:pPr>
              <w:spacing w:line="280" w:lineRule="atLeast"/>
              <w:jc w:val="left"/>
            </w:pPr>
            <w:r>
              <w:rPr>
                <w:color w:val="000000"/>
                <w:sz w:val="21"/>
                <w:szCs w:val="21"/>
              </w:rPr>
              <w:t xml:space="preserve">用户名密码登录，JWT 令牌鉴权，密码加密存储</w:t>
            </w:r>
          </w:p>
        </w:tc>
        <w:tc>
          <w:tcPr>
            <w:tcW w:type="pct" w:w="30%"/>
            <w:tcMar>
              <w:top w:type="dxa" w:w="60"/>
              <w:left w:type="dxa" w:w="120"/>
              <w:bottom w:type="dxa" w:w="60"/>
              <w:right w:type="dxa" w:w="120"/>
            </w:tcMar>
          </w:tcPr>
          <w:p>
            <w:pPr>
              <w:spacing w:line="280" w:lineRule="atLeast"/>
              <w:jc w:val="left"/>
            </w:pPr>
            <w:r>
              <w:rPr>
                <w:color w:val="000000"/>
                <w:sz w:val="21"/>
                <w:szCs w:val="21"/>
              </w:rPr>
              <w:t xml:space="preserve">防止账号冒用</w:t>
            </w:r>
          </w:p>
        </w:tc>
      </w:tr>
      <w:tr>
        <w:trPr>
          <w:cantSplit/>
        </w:trPr>
        <w:tc>
          <w:tcPr>
            <w:tcW w:type="pct" w:w="16%"/>
            <w:shd w:fill="EDF3F5" w:val="clear"/>
            <w:tcMar>
              <w:top w:type="dxa" w:w="60"/>
              <w:left w:type="dxa" w:w="120"/>
              <w:bottom w:type="dxa" w:w="60"/>
              <w:right w:type="dxa" w:w="120"/>
            </w:tcMar>
          </w:tcPr>
          <w:p>
            <w:pPr>
              <w:spacing w:line="280" w:lineRule="atLeast"/>
              <w:jc w:val="center"/>
            </w:pPr>
            <w:r>
              <w:rPr>
                <w:color w:val="000000"/>
                <w:sz w:val="21"/>
                <w:szCs w:val="21"/>
              </w:rPr>
              <w:t xml:space="preserve">权限分级</w:t>
            </w:r>
          </w:p>
        </w:tc>
        <w:tc>
          <w:tcPr>
            <w:tcW w:type="pct" w:w="54%"/>
            <w:shd w:fill="EDF3F5" w:val="clear"/>
            <w:tcMar>
              <w:top w:type="dxa" w:w="60"/>
              <w:left w:type="dxa" w:w="120"/>
              <w:bottom w:type="dxa" w:w="60"/>
              <w:right w:type="dxa" w:w="120"/>
            </w:tcMar>
          </w:tcPr>
          <w:p>
            <w:pPr>
              <w:spacing w:line="280" w:lineRule="atLeast"/>
              <w:jc w:val="left"/>
            </w:pPr>
            <w:r>
              <w:rPr>
                <w:color w:val="000000"/>
                <w:sz w:val="21"/>
                <w:szCs w:val="21"/>
              </w:rPr>
              <w:t xml:space="preserve">管理员 / 普通用户角色分离，接口级权限校验</w:t>
            </w:r>
          </w:p>
        </w:tc>
        <w:tc>
          <w:tcPr>
            <w:tcW w:type="pct" w:w="30%"/>
            <w:shd w:fill="EDF3F5" w:val="clear"/>
            <w:tcMar>
              <w:top w:type="dxa" w:w="60"/>
              <w:left w:type="dxa" w:w="120"/>
              <w:bottom w:type="dxa" w:w="60"/>
              <w:right w:type="dxa" w:w="120"/>
            </w:tcMar>
          </w:tcPr>
          <w:p>
            <w:pPr>
              <w:spacing w:line="280" w:lineRule="atLeast"/>
              <w:jc w:val="left"/>
            </w:pPr>
            <w:r>
              <w:rPr>
                <w:color w:val="000000"/>
                <w:sz w:val="21"/>
                <w:szCs w:val="21"/>
              </w:rPr>
              <w:t xml:space="preserve">最小权限原则</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接口限流</w:t>
            </w:r>
          </w:p>
        </w:tc>
        <w:tc>
          <w:tcPr>
            <w:tcW w:type="pct" w:w="54%"/>
            <w:tcMar>
              <w:top w:type="dxa" w:w="60"/>
              <w:left w:type="dxa" w:w="120"/>
              <w:bottom w:type="dxa" w:w="60"/>
              <w:right w:type="dxa" w:w="120"/>
            </w:tcMar>
          </w:tcPr>
          <w:p>
            <w:pPr>
              <w:spacing w:line="280" w:lineRule="atLeast"/>
              <w:jc w:val="left"/>
            </w:pPr>
            <w:r>
              <w:rPr>
                <w:color w:val="000000"/>
                <w:sz w:val="21"/>
                <w:szCs w:val="21"/>
              </w:rPr>
              <w:t xml:space="preserve">关键接口按用户维度限流</w:t>
            </w:r>
          </w:p>
        </w:tc>
        <w:tc>
          <w:tcPr>
            <w:tcW w:type="pct" w:w="30%"/>
            <w:tcMar>
              <w:top w:type="dxa" w:w="60"/>
              <w:left w:type="dxa" w:w="120"/>
              <w:bottom w:type="dxa" w:w="60"/>
              <w:right w:type="dxa" w:w="120"/>
            </w:tcMar>
          </w:tcPr>
          <w:p>
            <w:pPr>
              <w:spacing w:line="280" w:lineRule="atLeast"/>
              <w:jc w:val="left"/>
            </w:pPr>
            <w:r>
              <w:rPr>
                <w:color w:val="000000"/>
                <w:sz w:val="21"/>
                <w:szCs w:val="21"/>
              </w:rPr>
              <w:t xml:space="preserve">防滥用、防恶意攻击</w:t>
            </w:r>
          </w:p>
        </w:tc>
      </w:tr>
      <w:tr>
        <w:trPr>
          <w:cantSplit/>
        </w:trPr>
        <w:tc>
          <w:tcPr>
            <w:tcW w:type="pct" w:w="16%"/>
            <w:shd w:fill="EDF3F5" w:val="clear"/>
            <w:tcMar>
              <w:top w:type="dxa" w:w="60"/>
              <w:left w:type="dxa" w:w="120"/>
              <w:bottom w:type="dxa" w:w="60"/>
              <w:right w:type="dxa" w:w="120"/>
            </w:tcMar>
          </w:tcPr>
          <w:p>
            <w:pPr>
              <w:spacing w:line="280" w:lineRule="atLeast"/>
              <w:jc w:val="center"/>
            </w:pPr>
            <w:r>
              <w:rPr>
                <w:color w:val="000000"/>
                <w:sz w:val="21"/>
                <w:szCs w:val="21"/>
              </w:rPr>
              <w:t xml:space="preserve">密钥管理</w:t>
            </w:r>
          </w:p>
        </w:tc>
        <w:tc>
          <w:tcPr>
            <w:tcW w:type="pct" w:w="54%"/>
            <w:shd w:fill="EDF3F5" w:val="clear"/>
            <w:tcMar>
              <w:top w:type="dxa" w:w="60"/>
              <w:left w:type="dxa" w:w="120"/>
              <w:bottom w:type="dxa" w:w="60"/>
              <w:right w:type="dxa" w:w="120"/>
            </w:tcMar>
          </w:tcPr>
          <w:p>
            <w:pPr>
              <w:spacing w:line="280" w:lineRule="atLeast"/>
              <w:jc w:val="left"/>
            </w:pPr>
            <w:r>
              <w:rPr>
                <w:color w:val="000000"/>
                <w:sz w:val="21"/>
                <w:szCs w:val="21"/>
              </w:rPr>
              <w:t xml:space="preserve">系统密钥加密存储于数据库，主密钥独立保管</w:t>
            </w:r>
          </w:p>
        </w:tc>
        <w:tc>
          <w:tcPr>
            <w:tcW w:type="pct" w:w="30%"/>
            <w:shd w:fill="EDF3F5" w:val="clear"/>
            <w:tcMar>
              <w:top w:type="dxa" w:w="60"/>
              <w:left w:type="dxa" w:w="120"/>
              <w:bottom w:type="dxa" w:w="60"/>
              <w:right w:type="dxa" w:w="120"/>
            </w:tcMar>
          </w:tcPr>
          <w:p>
            <w:pPr>
              <w:spacing w:line="280" w:lineRule="atLeast"/>
              <w:jc w:val="left"/>
            </w:pPr>
            <w:r>
              <w:rPr>
                <w:color w:val="000000"/>
                <w:sz w:val="21"/>
                <w:szCs w:val="21"/>
              </w:rPr>
              <w:t xml:space="preserve">收敛泄露影响面</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通道认证</w:t>
            </w:r>
          </w:p>
        </w:tc>
        <w:tc>
          <w:tcPr>
            <w:tcW w:type="pct" w:w="54%"/>
            <w:tcMar>
              <w:top w:type="dxa" w:w="60"/>
              <w:left w:type="dxa" w:w="120"/>
              <w:bottom w:type="dxa" w:w="60"/>
              <w:right w:type="dxa" w:w="120"/>
            </w:tcMar>
          </w:tcPr>
          <w:p>
            <w:pPr>
              <w:spacing w:line="280" w:lineRule="atLeast"/>
              <w:jc w:val="left"/>
            </w:pPr>
            <w:r>
              <w:rPr>
                <w:color w:val="000000"/>
                <w:sz w:val="21"/>
                <w:szCs w:val="21"/>
              </w:rPr>
              <w:t xml:space="preserve">平台与插件双向令牌认证</w:t>
            </w:r>
          </w:p>
        </w:tc>
        <w:tc>
          <w:tcPr>
            <w:tcW w:type="pct" w:w="30%"/>
            <w:tcMar>
              <w:top w:type="dxa" w:w="60"/>
              <w:left w:type="dxa" w:w="120"/>
              <w:bottom w:type="dxa" w:w="60"/>
              <w:right w:type="dxa" w:w="120"/>
            </w:tcMar>
          </w:tcPr>
          <w:p>
            <w:pPr>
              <w:spacing w:line="280" w:lineRule="atLeast"/>
              <w:jc w:val="left"/>
            </w:pPr>
            <w:r>
              <w:rPr>
                <w:color w:val="000000"/>
                <w:sz w:val="21"/>
                <w:szCs w:val="21"/>
              </w:rPr>
              <w:t xml:space="preserve">防未授权接入</w:t>
            </w:r>
          </w:p>
        </w:tc>
      </w:tr>
      <w:tr>
        <w:trPr>
          <w:cantSplit/>
        </w:trPr>
        <w:tc>
          <w:tcPr>
            <w:tcW w:type="pct" w:w="16%"/>
            <w:shd w:fill="EDF3F5" w:val="clear"/>
            <w:tcMar>
              <w:top w:type="dxa" w:w="60"/>
              <w:left w:type="dxa" w:w="120"/>
              <w:bottom w:type="dxa" w:w="60"/>
              <w:right w:type="dxa" w:w="120"/>
            </w:tcMar>
          </w:tcPr>
          <w:p>
            <w:pPr>
              <w:spacing w:line="280" w:lineRule="atLeast"/>
              <w:jc w:val="center"/>
            </w:pPr>
            <w:r>
              <w:rPr>
                <w:color w:val="000000"/>
                <w:sz w:val="21"/>
                <w:szCs w:val="21"/>
              </w:rPr>
              <w:t xml:space="preserve">操作确认</w:t>
            </w:r>
          </w:p>
        </w:tc>
        <w:tc>
          <w:tcPr>
            <w:tcW w:type="pct" w:w="54%"/>
            <w:shd w:fill="EDF3F5" w:val="clear"/>
            <w:tcMar>
              <w:top w:type="dxa" w:w="60"/>
              <w:left w:type="dxa" w:w="120"/>
              <w:bottom w:type="dxa" w:w="60"/>
              <w:right w:type="dxa" w:w="120"/>
            </w:tcMar>
          </w:tcPr>
          <w:p>
            <w:pPr>
              <w:spacing w:line="280" w:lineRule="atLeast"/>
              <w:jc w:val="left"/>
            </w:pPr>
            <w:r>
              <w:rPr>
                <w:color w:val="000000"/>
                <w:sz w:val="21"/>
                <w:szCs w:val="21"/>
              </w:rPr>
              <w:t xml:space="preserve">列入确认清单的工具在调用前自动挂起，用户在界面上批准或拒绝，可对整个会话记住选择</w:t>
            </w:r>
          </w:p>
        </w:tc>
        <w:tc>
          <w:tcPr>
            <w:tcW w:type="pct" w:w="30%"/>
            <w:shd w:fill="EDF3F5" w:val="clear"/>
            <w:tcMar>
              <w:top w:type="dxa" w:w="60"/>
              <w:left w:type="dxa" w:w="120"/>
              <w:bottom w:type="dxa" w:w="60"/>
              <w:right w:type="dxa" w:w="120"/>
            </w:tcMar>
          </w:tcPr>
          <w:p>
            <w:pPr>
              <w:spacing w:line="280" w:lineRule="atLeast"/>
              <w:jc w:val="left"/>
            </w:pPr>
            <w:r>
              <w:rPr>
                <w:color w:val="000000"/>
                <w:sz w:val="21"/>
                <w:szCs w:val="21"/>
              </w:rPr>
              <w:t xml:space="preserve">高危操作人在回路</w:t>
            </w:r>
          </w:p>
        </w:tc>
      </w:tr>
      <w:tr>
        <w:trPr>
          <w:cantSplit/>
        </w:trPr>
        <w:tc>
          <w:tcPr>
            <w:tcW w:type="pct" w:w="16%"/>
            <w:tcMar>
              <w:top w:type="dxa" w:w="60"/>
              <w:left w:type="dxa" w:w="120"/>
              <w:bottom w:type="dxa" w:w="60"/>
              <w:right w:type="dxa" w:w="120"/>
            </w:tcMar>
          </w:tcPr>
          <w:p>
            <w:pPr>
              <w:spacing w:line="280" w:lineRule="atLeast"/>
              <w:jc w:val="center"/>
            </w:pPr>
            <w:r>
              <w:rPr>
                <w:color w:val="000000"/>
                <w:sz w:val="21"/>
                <w:szCs w:val="21"/>
              </w:rPr>
              <w:t xml:space="preserve">文件隔离</w:t>
            </w:r>
          </w:p>
        </w:tc>
        <w:tc>
          <w:tcPr>
            <w:tcW w:type="pct" w:w="54%"/>
            <w:tcMar>
              <w:top w:type="dxa" w:w="60"/>
              <w:left w:type="dxa" w:w="120"/>
              <w:bottom w:type="dxa" w:w="60"/>
              <w:right w:type="dxa" w:w="120"/>
            </w:tcMar>
          </w:tcPr>
          <w:p>
            <w:pPr>
              <w:spacing w:line="280" w:lineRule="atLeast"/>
              <w:jc w:val="left"/>
            </w:pPr>
            <w:r>
              <w:rPr>
                <w:color w:val="000000"/>
                <w:sz w:val="21"/>
                <w:szCs w:val="21"/>
              </w:rPr>
              <w:t xml:space="preserve">插件经专用中转区读写文件，24 小时自动清理，无数据库权限</w:t>
            </w:r>
          </w:p>
        </w:tc>
        <w:tc>
          <w:tcPr>
            <w:tcW w:type="pct" w:w="30%"/>
            <w:tcMar>
              <w:top w:type="dxa" w:w="60"/>
              <w:left w:type="dxa" w:w="120"/>
              <w:bottom w:type="dxa" w:w="60"/>
              <w:right w:type="dxa" w:w="120"/>
            </w:tcMar>
          </w:tcPr>
          <w:p>
            <w:pPr>
              <w:spacing w:line="280" w:lineRule="atLeast"/>
              <w:jc w:val="left"/>
            </w:pPr>
            <w:r>
              <w:rPr>
                <w:color w:val="000000"/>
                <w:sz w:val="21"/>
                <w:szCs w:val="21"/>
              </w:rPr>
              <w:t xml:space="preserve">数据不越界</w:t>
            </w:r>
          </w:p>
        </w:tc>
      </w:tr>
      <w:tr>
        <w:trPr>
          <w:cantSplit/>
        </w:trPr>
        <w:tc>
          <w:tcPr>
            <w:tcW w:type="pct" w:w="16%"/>
            <w:shd w:fill="EDF3F5" w:val="clear"/>
            <w:tcMar>
              <w:top w:type="dxa" w:w="60"/>
              <w:left w:type="dxa" w:w="120"/>
              <w:bottom w:type="dxa" w:w="60"/>
              <w:right w:type="dxa" w:w="120"/>
            </w:tcMar>
          </w:tcPr>
          <w:p>
            <w:pPr>
              <w:spacing w:line="280" w:lineRule="atLeast"/>
              <w:jc w:val="center"/>
            </w:pPr>
            <w:r>
              <w:rPr>
                <w:color w:val="000000"/>
                <w:sz w:val="21"/>
                <w:szCs w:val="21"/>
              </w:rPr>
              <w:t xml:space="preserve">全程审计</w:t>
            </w:r>
          </w:p>
        </w:tc>
        <w:tc>
          <w:tcPr>
            <w:tcW w:type="pct" w:w="54%"/>
            <w:shd w:fill="EDF3F5" w:val="clear"/>
            <w:tcMar>
              <w:top w:type="dxa" w:w="60"/>
              <w:left w:type="dxa" w:w="120"/>
              <w:bottom w:type="dxa" w:w="60"/>
              <w:right w:type="dxa" w:w="120"/>
            </w:tcMar>
          </w:tcPr>
          <w:p>
            <w:pPr>
              <w:spacing w:line="280" w:lineRule="atLeast"/>
              <w:jc w:val="left"/>
            </w:pPr>
            <w:r>
              <w:rPr>
                <w:color w:val="000000"/>
                <w:sz w:val="21"/>
                <w:szCs w:val="21"/>
              </w:rPr>
              <w:t xml:space="preserve">会话、操作、模型调用全链路留痕</w:t>
            </w:r>
          </w:p>
        </w:tc>
        <w:tc>
          <w:tcPr>
            <w:tcW w:type="pct" w:w="30%"/>
            <w:shd w:fill="EDF3F5" w:val="clear"/>
            <w:tcMar>
              <w:top w:type="dxa" w:w="60"/>
              <w:left w:type="dxa" w:w="120"/>
              <w:bottom w:type="dxa" w:w="60"/>
              <w:right w:type="dxa" w:w="120"/>
            </w:tcMar>
          </w:tcPr>
          <w:p>
            <w:pPr>
              <w:spacing w:line="280" w:lineRule="atLeast"/>
              <w:jc w:val="left"/>
            </w:pPr>
            <w:r>
              <w:rPr>
                <w:color w:val="000000"/>
                <w:sz w:val="21"/>
                <w:szCs w:val="21"/>
              </w:rPr>
              <w:t xml:space="preserve">行为可追溯</w:t>
            </w:r>
          </w:p>
        </w:tc>
      </w:tr>
    </w:tbl>
    <w:p>
      <w:pPr>
        <w:spacing w:after="120"/>
      </w:pPr>
    </w:p>
    <w:p>
      <w:pPr>
        <w:pStyle w:val="Heading1"/>
        <w:spacing w:after="160" w:before="360" w:line="380" w:lineRule="atLeast"/>
        <w:jc w:val="center"/>
      </w:pPr>
      <w:bookmarkStart w:id="100019" w:name="_Toc100019"/>
      <w:r>
        <w:rPr>
          <w:rFonts w:ascii="Times New Roman" w:eastAsia="SimHei"/>
          <w:b/>
          <w:bCs/>
          <w:color w:val="0A1628"/>
          <w:sz w:val="32"/>
          <w:szCs w:val="32"/>
        </w:rPr>
        <w:t xml:space="preserve">第五章  部署架构与运行保障</w:t>
      </w:r>
      <w:bookmarkEnd w:id="100019"/>
    </w:p>
    <w:p>
      <w:pPr>
        <w:pStyle w:val="Heading2"/>
        <w:spacing w:after="120" w:before="280" w:line="360" w:lineRule="atLeast"/>
      </w:pPr>
      <w:bookmarkStart w:id="100020" w:name="_Toc100020"/>
      <w:r>
        <w:rPr>
          <w:rFonts w:ascii="Times New Roman" w:eastAsia="SimHei"/>
          <w:b/>
          <w:bCs/>
          <w:color w:val="0A1628"/>
          <w:sz w:val="30"/>
          <w:szCs w:val="30"/>
        </w:rPr>
        <w:t xml:space="preserve">5.1  部署拓扑</w:t>
      </w:r>
      <w:bookmarkEnd w:id="100020"/>
    </w:p>
    <w:p>
      <w:pPr>
        <w:spacing w:after="60" w:line="312" w:lineRule="auto"/>
        <w:ind w:firstLine="480"/>
        <w:jc w:val="both"/>
      </w:pPr>
      <w:r>
        <w:rPr>
          <w:color w:val="000000"/>
          <w:sz w:val="24"/>
          <w:szCs w:val="24"/>
        </w:rPr>
        <w:t xml:space="preserve">平台全部组件容器化，通过 Docker Compose 一键编排，部署架构如图 6 所示。默认单机部署即可支撑日常审计业务；业务量增长时可平滑拆分——插件独立成组、数据库独立主机、应用多实例负载分担，均无需改造应用本身。</w:t>
      </w:r>
    </w:p>
    <w:p>
      <w:pPr>
        <w:keepNext/>
        <w:spacing w:after="60" w:before="120" w:line="240" w:lineRule="auto"/>
        <w:jc w:val="center"/>
      </w:pPr>
      <w:r>
        <w:drawing>
          <wp:inline distT="0" distB="0" distL="0" distR="0">
            <wp:extent cx="5524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800350"/>
                    </a:xfrm>
                    <a:prstGeom prst="rect">
                      <a:avLst/>
                    </a:prstGeom>
                  </pic:spPr>
                </pic:pic>
              </a:graphicData>
            </a:graphic>
          </wp:inline>
        </w:drawing>
      </w:r>
    </w:p>
    <w:p>
      <w:pPr>
        <w:spacing w:after="200"/>
        <w:jc w:val="center"/>
      </w:pPr>
      <w:r>
        <w:rPr>
          <w:rFonts w:ascii="Times New Roman" w:eastAsia="SimSun"/>
          <w:color w:val="404040"/>
          <w:sz w:val="21"/>
          <w:szCs w:val="21"/>
        </w:rPr>
        <w:t xml:space="preserve">图 6  部署架构图</w:t>
      </w:r>
    </w:p>
    <w:p>
      <w:pPr>
        <w:spacing w:after="60" w:line="312" w:lineRule="auto"/>
        <w:ind w:firstLine="480"/>
        <w:jc w:val="both"/>
      </w:pPr>
      <w:r>
        <w:rPr>
          <w:color w:val="000000"/>
          <w:sz w:val="24"/>
          <w:szCs w:val="24"/>
        </w:rPr>
        <w:t xml:space="preserve">系统对外仅有两个边界：用户浏览器经 HTTPS 访问应用服务；平台按需调用大模型服务（OpenAI 兼容接口，亦支持在内网私有化部署）。插件群位于应用服务器内部或专属主机，通过直连通道受控访问，不直接暴露给外部网络。</w:t>
      </w:r>
    </w:p>
    <w:p>
      <w:pPr>
        <w:pStyle w:val="Heading2"/>
        <w:spacing w:after="120" w:before="280" w:line="360" w:lineRule="atLeast"/>
      </w:pPr>
      <w:bookmarkStart w:id="100021" w:name="_Toc100021"/>
      <w:r>
        <w:rPr>
          <w:rFonts w:ascii="Times New Roman" w:eastAsia="SimHei"/>
          <w:b/>
          <w:bCs/>
          <w:color w:val="0A1628"/>
          <w:sz w:val="30"/>
          <w:szCs w:val="30"/>
        </w:rPr>
        <w:t xml:space="preserve">5.2  运行监控与质量回溯</w:t>
      </w:r>
      <w:bookmarkEnd w:id="100021"/>
    </w:p>
    <w:p>
      <w:pPr>
        <w:spacing w:after="60" w:line="312" w:lineRule="auto"/>
        <w:ind w:firstLine="480"/>
        <w:jc w:val="both"/>
      </w:pPr>
      <w:r>
        <w:rPr>
          <w:color w:val="000000"/>
          <w:sz w:val="24"/>
          <w:szCs w:val="24"/>
        </w:rPr>
        <w:t xml:space="preserve">平台内建完善的双层可观测体系：运行监控层由 Prometheus 采集指标、Grafana 提供监控大盘与告警，覆盖服务健康度、接口性能与资源用量；质量回溯层通过 OTLP 采集器把大模型调用的完整链路汇入 Langfuse，每一次思考、每一次工具调用、每一份提示词都可检索、可回放，为审计质量评估、问题定位与话术优化提供第一手数据。同时系统提供标准健康检查与指标接口，便于接入单位现有的监控运维体系。</w:t>
      </w:r>
    </w:p>
    <w:p>
      <w:pPr>
        <w:pStyle w:val="Heading1"/>
        <w:spacing w:after="160" w:before="360" w:line="380" w:lineRule="atLeast"/>
        <w:jc w:val="center"/>
      </w:pPr>
      <w:bookmarkStart w:id="100022" w:name="_Toc100022"/>
      <w:r>
        <w:rPr>
          <w:rFonts w:ascii="Times New Roman" w:eastAsia="SimHei"/>
          <w:b/>
          <w:bCs/>
          <w:color w:val="0A1628"/>
          <w:sz w:val="32"/>
          <w:szCs w:val="32"/>
        </w:rPr>
        <w:t xml:space="preserve">第六章  系统界面展示</w:t>
      </w:r>
      <w:bookmarkEnd w:id="100022"/>
    </w:p>
    <w:p>
      <w:pPr>
        <w:spacing w:after="60" w:line="312" w:lineRule="auto"/>
        <w:ind w:firstLine="480"/>
        <w:jc w:val="both"/>
      </w:pPr>
      <w:r>
        <w:rPr>
          <w:color w:val="000000"/>
          <w:sz w:val="24"/>
          <w:szCs w:val="24"/>
        </w:rPr>
        <w:t xml:space="preserve">以下截图均来自平台真实运行环境，直观展示系统的实际使用形态。</w:t>
      </w:r>
    </w:p>
    <w:p>
      <w:pPr>
        <w:pStyle w:val="Heading2"/>
        <w:spacing w:after="120" w:before="280" w:line="360" w:lineRule="atLeast"/>
      </w:pPr>
      <w:bookmarkStart w:id="100023" w:name="_Toc100023"/>
      <w:r>
        <w:rPr>
          <w:rFonts w:ascii="Times New Roman" w:eastAsia="SimHei"/>
          <w:b/>
          <w:bCs/>
          <w:color w:val="0A1628"/>
          <w:sz w:val="30"/>
          <w:szCs w:val="30"/>
        </w:rPr>
        <w:t xml:space="preserve">6.1  审计工作台</w:t>
      </w:r>
      <w:bookmarkEnd w:id="100023"/>
    </w:p>
    <w:p>
      <w:pPr>
        <w:spacing w:after="60" w:line="312" w:lineRule="auto"/>
        <w:ind w:firstLine="480"/>
        <w:jc w:val="both"/>
      </w:pPr>
      <w:r>
        <w:rPr>
          <w:color w:val="000000"/>
          <w:sz w:val="24"/>
          <w:szCs w:val="24"/>
        </w:rPr>
        <w:t xml:space="preserve">登录后即进入审计工作台（图 7）：左侧为历史会话列表，中央为任务输入区。上传公文、输入一句审计要求即可开始工作，无需任何培训成本。</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eastAsia="SimSun"/>
          <w:color w:val="404040"/>
          <w:sz w:val="21"/>
          <w:szCs w:val="21"/>
        </w:rPr>
        <w:t xml:space="preserve">图 7  审计工作台主界面</w:t>
      </w:r>
    </w:p>
    <w:p>
      <w:pPr>
        <w:pStyle w:val="Heading2"/>
        <w:spacing w:after="120" w:before="280" w:line="360" w:lineRule="atLeast"/>
      </w:pPr>
      <w:bookmarkStart w:id="100024" w:name="_Toc100024"/>
      <w:r>
        <w:rPr>
          <w:rFonts w:ascii="Times New Roman" w:eastAsia="SimHei"/>
          <w:b/>
          <w:bCs/>
          <w:color w:val="0A1628"/>
          <w:sz w:val="30"/>
          <w:szCs w:val="30"/>
        </w:rPr>
        <w:t xml:space="preserve">6.2  审计执行过程与结果</w:t>
      </w:r>
      <w:bookmarkEnd w:id="100024"/>
    </w:p>
    <w:p>
      <w:pPr>
        <w:spacing w:after="60" w:line="312" w:lineRule="auto"/>
        <w:ind w:firstLine="480"/>
        <w:jc w:val="both"/>
      </w:pPr>
      <w:r>
        <w:rPr>
          <w:color w:val="000000"/>
          <w:sz w:val="24"/>
          <w:szCs w:val="24"/>
        </w:rPr>
        <w:t xml:space="preserve">审计过程中，智能体的每一步都实时可见（图 8）：从激活公文审计领域、转换解析文档，到派出专项子智能体执行内容合规检查、引用原文数据，执行链路一目了然。</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eastAsia="SimSun"/>
          <w:color w:val="404040"/>
          <w:sz w:val="21"/>
          <w:szCs w:val="21"/>
        </w:rPr>
        <w:t xml:space="preserve">图 8  审计执行过程（真实运行记录）</w:t>
      </w:r>
    </w:p>
    <w:p>
      <w:pPr>
        <w:spacing w:after="60" w:line="312" w:lineRule="auto"/>
        <w:ind w:firstLine="480"/>
        <w:jc w:val="both"/>
      </w:pPr>
      <w:r>
        <w:rPr>
          <w:color w:val="000000"/>
          <w:sz w:val="24"/>
          <w:szCs w:val="24"/>
        </w:rPr>
        <w:t xml:space="preserve">审计完成后，系统输出结构化报告（图 9）：按“内容合规问题—文本纠错问题—总体评价”组织，每条问题均标注位置、风险等级与修改建议，可直接作为修改公文的依据。</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eastAsia="SimSun"/>
          <w:color w:val="404040"/>
          <w:sz w:val="21"/>
          <w:szCs w:val="21"/>
        </w:rPr>
        <w:t xml:space="preserve">图 9  审计报告呈现（真实运行记录）</w:t>
      </w:r>
    </w:p>
    <w:p>
      <w:pPr>
        <w:pStyle w:val="Heading2"/>
        <w:spacing w:after="120" w:before="280" w:line="360" w:lineRule="atLeast"/>
      </w:pPr>
      <w:bookmarkStart w:id="100025" w:name="_Toc100025"/>
      <w:r>
        <w:rPr>
          <w:rFonts w:ascii="Times New Roman" w:eastAsia="SimHei"/>
          <w:b/>
          <w:bCs/>
          <w:color w:val="0A1628"/>
          <w:sz w:val="30"/>
          <w:szCs w:val="30"/>
        </w:rPr>
        <w:t xml:space="preserve">6.3  插件运行管理</w:t>
      </w:r>
      <w:bookmarkEnd w:id="100025"/>
    </w:p>
    <w:p>
      <w:pPr>
        <w:spacing w:after="60" w:line="312" w:lineRule="auto"/>
        <w:ind w:firstLine="480"/>
        <w:jc w:val="both"/>
      </w:pPr>
      <w:r>
        <w:rPr>
          <w:color w:val="000000"/>
          <w:sz w:val="24"/>
          <w:szCs w:val="24"/>
        </w:rPr>
        <w:t xml:space="preserve">管理员在后台“插件市场”统一管理全部工具插件（图 10）：八个插件的运行状态、版本、工具清单实时可见，支持单独启停、重启与查看日志，运维操作无需登录服务器。</w:t>
      </w:r>
    </w:p>
    <w:p>
      <w:pPr>
        <w:keepNext/>
        <w:spacing w:after="60" w:before="120" w:line="240" w:lineRule="auto"/>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Times New Roman" w:eastAsia="SimSun"/>
          <w:color w:val="404040"/>
          <w:sz w:val="21"/>
          <w:szCs w:val="21"/>
        </w:rPr>
        <w:t xml:space="preserve">图 10  插件运行管理界面（插件市场）</w:t>
      </w:r>
    </w:p>
    <w:p>
      <w:pPr>
        <w:pStyle w:val="Heading1"/>
        <w:spacing w:after="160" w:before="360" w:line="380" w:lineRule="atLeast"/>
        <w:jc w:val="center"/>
      </w:pPr>
      <w:bookmarkStart w:id="100026" w:name="_Toc100026"/>
      <w:r>
        <w:rPr>
          <w:rFonts w:ascii="Times New Roman" w:eastAsia="SimHei"/>
          <w:b/>
          <w:bCs/>
          <w:color w:val="0A1628"/>
          <w:sz w:val="32"/>
          <w:szCs w:val="32"/>
        </w:rPr>
        <w:t xml:space="preserve">第七章  总结与展望</w:t>
      </w:r>
      <w:bookmarkEnd w:id="100026"/>
    </w:p>
    <w:p>
      <w:pPr>
        <w:pStyle w:val="Heading2"/>
        <w:spacing w:after="120" w:before="280" w:line="360" w:lineRule="atLeast"/>
      </w:pPr>
      <w:bookmarkStart w:id="100027" w:name="_Toc100027"/>
      <w:r>
        <w:rPr>
          <w:rFonts w:ascii="Times New Roman" w:eastAsia="SimHei"/>
          <w:b/>
          <w:bCs/>
          <w:color w:val="0A1628"/>
          <w:sz w:val="30"/>
          <w:szCs w:val="30"/>
        </w:rPr>
        <w:t xml:space="preserve">7.1  建设成效</w:t>
      </w:r>
      <w:bookmarkEnd w:id="100027"/>
    </w:p>
    <w:p>
      <w:pPr>
        <w:spacing w:after="60" w:line="312" w:lineRule="auto"/>
        <w:ind w:firstLine="480"/>
        <w:jc w:val="both"/>
      </w:pPr>
      <w:r>
        <w:rPr>
          <w:color w:val="000000"/>
          <w:sz w:val="24"/>
          <w:szCs w:val="24"/>
        </w:rPr>
        <w:t xml:space="preserve">平台按“一个引擎、一个领域包、八个插件、一套流程”完成了主体建设：通用智能体引擎稳定支撑任务编排与流式交互，技能、文件制记忆、统一护栏管线、工件投影四个内置子系统全部落地投用；公文审计领域包落地了 GB/T 9704-2012 格式审计、内容合规、文本查重、涉密分析四大能力；八个工具插件全部独立运行、状态健康；从上传公文到输出带批注审计报告的完整流程已在真实公文样例上验证通过（本文档第六章截图即来自实际运行记录）。架构层面的平台化、插件化、模板化设计，使系统具备了持续叠加新领域、新工具的能力，前期投入可长期复用。</w:t>
      </w:r>
    </w:p>
    <w:p>
      <w:pPr>
        <w:pStyle w:val="Heading2"/>
        <w:spacing w:after="120" w:before="280" w:line="360" w:lineRule="atLeast"/>
      </w:pPr>
      <w:bookmarkStart w:id="100028" w:name="_Toc100028"/>
      <w:r>
        <w:rPr>
          <w:rFonts w:ascii="Times New Roman" w:eastAsia="SimHei"/>
          <w:b/>
          <w:bCs/>
          <w:color w:val="0A1628"/>
          <w:sz w:val="30"/>
          <w:szCs w:val="30"/>
        </w:rPr>
        <w:t xml:space="preserve">7.2  后续演进方向</w:t>
      </w:r>
      <w:bookmarkEnd w:id="100028"/>
    </w:p>
    <w:p>
      <w:pPr>
        <w:spacing w:after="60" w:line="312" w:lineRule="auto"/>
        <w:ind w:firstLine="480"/>
        <w:jc w:val="both"/>
      </w:pPr>
      <w:r>
        <w:rPr>
          <w:b/>
          <w:bCs/>
          <w:color w:val="000000"/>
          <w:sz w:val="24"/>
          <w:szCs w:val="24"/>
        </w:rPr>
        <w:t xml:space="preserve">多模型接入池。</w:t>
      </w:r>
      <w:r>
        <w:rPr>
          <w:color w:val="000000"/>
          <w:sz w:val="24"/>
          <w:szCs w:val="24"/>
        </w:rPr>
        <w:t xml:space="preserve">建立多模型统一接入与调度能力，按任务特点选择合适的大模型，问答与向量化计算分别调度，进一步提升效果与成本的可控性（已列入建设规划）。</w:t>
      </w:r>
    </w:p>
    <w:p>
      <w:pPr>
        <w:spacing w:after="60" w:line="312" w:lineRule="auto"/>
        <w:ind w:firstLine="480"/>
        <w:jc w:val="both"/>
      </w:pPr>
      <w:r>
        <w:rPr>
          <w:b/>
          <w:bCs/>
          <w:color w:val="000000"/>
          <w:sz w:val="24"/>
          <w:szCs w:val="24"/>
        </w:rPr>
        <w:t xml:space="preserve">插件跨机独立部署。</w:t>
      </w:r>
      <w:r>
        <w:rPr>
          <w:color w:val="000000"/>
          <w:sz w:val="24"/>
          <w:szCs w:val="24"/>
        </w:rPr>
        <w:t xml:space="preserve">审计工具插件可部署到独立服务器乃至业务内网，进一步扩展算力并强化隔离边界（技术方案已设计完成）。</w:t>
      </w:r>
    </w:p>
    <w:p>
      <w:pPr>
        <w:spacing w:after="60" w:line="312" w:lineRule="auto"/>
        <w:ind w:firstLine="480"/>
        <w:jc w:val="both"/>
      </w:pPr>
      <w:r>
        <w:rPr>
          <w:b/>
          <w:bCs/>
          <w:color w:val="000000"/>
          <w:sz w:val="24"/>
          <w:szCs w:val="24"/>
        </w:rPr>
        <w:t xml:space="preserve">扩展更多领域包。</w:t>
      </w:r>
      <w:r>
        <w:rPr>
          <w:color w:val="000000"/>
          <w:sz w:val="24"/>
          <w:szCs w:val="24"/>
        </w:rPr>
        <w:t xml:space="preserve">依托同一引擎与运维体系，按业务需求扩展新的文档处理场景，让平台能力持续增值。</w:t>
      </w:r>
    </w:p>
    <w:p>
      <w:pPr>
        <w:spacing w:before="200"/>
      </w:pP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CE" w:sz="2" w:space="4"/>
      </w:pBdr>
      <w:jc w:val="center"/>
    </w:pPr>
    <w:r>
      <w:rPr>
        <w:color w:val="808080"/>
        <w:sz w:val="18"/>
        <w:szCs w:val="18"/>
      </w:rPr>
      <w:t xml:space="preserve">智能公文审计平台（审衡）系统架构设计文档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CE" w:sz="2" w:space="4"/>
      </w:pBdr>
      <w:jc w:val="center"/>
    </w:pPr>
    <w:r>
      <w:rPr>
        <w:color w:val="808080"/>
        <w:sz w:val="18"/>
        <w:szCs w:val="18"/>
      </w:rPr>
      <w:t xml:space="preserve">智能公文审计平台（审衡）系统架构设计文档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Times New Roman" w:eastAsia="SimHei"/>
      <w:b/>
      <w:bCs/>
      <w:color w:val="0A1628"/>
      <w:sz w:val="32"/>
      <w:szCs w:val="32"/>
    </w:rPr>
  </w:style>
  <w:style w:type="paragraph" w:styleId="Heading2">
    <w:name w:val="Heading 2"/>
    <w:basedOn w:val="Normal"/>
    <w:next w:val="Normal"/>
    <w:qFormat/>
    <w:pPr>
      <w:spacing w:after="120" w:before="280"/>
      <w:outlineLvl w:val="1"/>
    </w:pPr>
    <w:rPr>
      <w:rFonts w:ascii="Times New Roman" w:eastAsia="SimHei"/>
      <w:b/>
      <w:bCs/>
      <w:color w:val="0A1628"/>
      <w:sz w:val="30"/>
      <w:szCs w:val="30"/>
    </w:rPr>
  </w:style>
  <w:style w:type="paragraph" w:styleId="Heading3">
    <w:name w:val="Heading 3"/>
    <w:basedOn w:val="Normal"/>
    <w:next w:val="Normal"/>
    <w:qFormat/>
    <w:pPr>
      <w:spacing w:after="100" w:before="220"/>
      <w:outlineLvl w:val="2"/>
    </w:pPr>
    <w:rPr>
      <w:rFonts w:ascii="Times New Roman" w:eastAsia="SimHei"/>
      <w:b/>
      <w:bCs/>
      <w:color w:val="0A1628"/>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e84665b2406749435b80e15ac33668a1784fcc01.png"/><Relationship Id="rId11" Type="http://schemas.openxmlformats.org/officeDocument/2006/relationships/image" Target="media/9a9db0e6c0f93178bce01a1f582e16758d618cea.png"/><Relationship Id="rId12" Type="http://schemas.openxmlformats.org/officeDocument/2006/relationships/image" Target="media/b47e36c15b5c6af393d17d4eae4d92f3f04c6e5b.png"/><Relationship Id="rId13" Type="http://schemas.openxmlformats.org/officeDocument/2006/relationships/image" Target="media/83db7fbada1ffd16358af2c0c9ff94c56ff79d50.png"/><Relationship Id="rId14" Type="http://schemas.openxmlformats.org/officeDocument/2006/relationships/image" Target="media/c9811cc1da91b1dd9e5ef59dab823612715c93cf.png"/><Relationship Id="rId15" Type="http://schemas.openxmlformats.org/officeDocument/2006/relationships/image" Target="media/fc02dda91ad6fc6a98c2a74b879e9dd7c7739cd7.png"/><Relationship Id="rId16" Type="http://schemas.openxmlformats.org/officeDocument/2006/relationships/image" Target="media/e3fdf2a66cf9dbe95d6a51105e967e5be124f4ce.png"/><Relationship Id="rId17" Type="http://schemas.openxmlformats.org/officeDocument/2006/relationships/image" Target="media/3f6dbc670ed130a0f502858c89c0da68d68f37cb.png"/><Relationship Id="rId18" Type="http://schemas.openxmlformats.org/officeDocument/2006/relationships/image" Target="media/35cf0a49a04167451fae6ce50a477794cb3fba52.png"/><Relationship Id="rId19" Type="http://schemas.openxmlformats.org/officeDocument/2006/relationships/image" Target="media/932dc43c0707895c2a05970b800f5295ace133e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智能公文审计平台系统架构设计文档</dc:title>
  <dc:creator>Courtier</dc:creator>
  <cp:lastModifiedBy>Un-named</cp:lastModifiedBy>
  <cp:revision>1</cp:revision>
  <dcterms:created xsi:type="dcterms:W3CDTF">2026-09-03T02:05:22.722Z</dcterms:created>
  <dcterms:modified xsi:type="dcterms:W3CDTF">2026-09-03T02:05:22.722Z</dcterms:modified>
</cp:coreProperties>
</file>

<file path=docProps/custom.xml><?xml version="1.0" encoding="utf-8"?>
<Properties xmlns="http://schemas.openxmlformats.org/officeDocument/2006/custom-properties" xmlns:vt="http://schemas.openxmlformats.org/officeDocument/2006/docPropsVTypes"/>
</file>