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0147E"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依托本地资源优势，重点发展优质粮油、特色果蔬、生态养殖等产业，打造一批具有地方特色的农业品牌。</w:t>
      </w:r>
    </w:p>
    <w:p w14:paraId="7C48C86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5E9CB"/>
    <w:rsid w:val="7FF5E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2026-04-16T11:24:00Z</dcterms:created>
  <dc:creator>lmwl</dc:creator>
  <cp:lastModifiedBy>lmwl</cp:lastModifiedBy>
  <dcterms:modified xsi:type="dcterms:W3CDTF">2026-04-16T11:25:11Z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71FD08759314F0067C56E069694EFE65_41</vt:lpwstr>
  </property>
</Properties>
</file>