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33"/>
          <w:headerReference w:type="default" r:id="rId34"/>
          <w:type w:val="nextPage"/>
          <w:pgSz w:w="11906" w:h="16838"/>
          <w:pgMar w:top="720" w:right="720" w:bottom="720" w:left="720" w:header="720" w:footer="720" w:gutter="0"/>
          <w:cols w:space="720"/>
          <w:docGrid w:linePitch="360"/>
          <w:pgNumType w:start="1"/>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r>
      <w:r>
        <w:fldChar w:fldCharType="begin"/>
      </w:r>
      <w:r>
        <w:instrText xml:space="preserve"> PAGEREF c01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r>
      <w:r>
        <w:fldChar w:fldCharType="begin"/>
      </w:r>
      <w:r>
        <w:instrText xml:space="preserve"> PAGEREF c02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r>
      <w:r>
        <w:fldChar w:fldCharType="begin"/>
      </w:r>
      <w:r>
        <w:instrText xml:space="preserve"> PAGEREF c03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r>
      <w:r>
        <w:fldChar w:fldCharType="begin"/>
      </w:r>
      <w:r>
        <w:instrText xml:space="preserve"> PAGEREF c04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r>
      <w:r>
        <w:fldChar w:fldCharType="begin"/>
      </w:r>
      <w:r>
        <w:instrText xml:space="preserve"> PAGEREF c05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r>
      <w:r>
        <w:fldChar w:fldCharType="begin"/>
      </w:r>
      <w:r>
        <w:instrText xml:space="preserve"> PAGEREF c06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r>
      <w:r>
        <w:fldChar w:fldCharType="begin"/>
      </w:r>
      <w:r>
        <w:instrText xml:space="preserve"> PAGEREF c07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r>
      <w:r>
        <w:fldChar w:fldCharType="begin"/>
      </w:r>
      <w:r>
        <w:instrText xml:space="preserve"> PAGEREF c08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r>
      <w:r>
        <w:fldChar w:fldCharType="begin"/>
      </w:r>
      <w:r>
        <w:instrText xml:space="preserve"> PAGEREF c09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r>
      <w:r>
        <w:fldChar w:fldCharType="begin"/>
      </w:r>
      <w:r>
        <w:instrText xml:space="preserve"> PAGEREF c10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r>
      <w:r>
        <w:fldChar w:fldCharType="begin"/>
      </w:r>
      <w:r>
        <w:instrText xml:space="preserve"> PAGEREF c11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r>
      <w:r>
        <w:fldChar w:fldCharType="begin"/>
      </w:r>
      <w:r>
        <w:instrText xml:space="preserve"> PAGEREF c12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00000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00000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00000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3132628"/>
            <wp:docPr id="1073741826" name="Picture 10737418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897880" cy="3132628"/>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7734"/>
            <wp:docPr id="1073741827" name="Picture 107374182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897880" cy="241773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pPr>
        <w:pStyle w:val="Default"/>
        <w:keepNext/>
        <w:spacing w:before="240" w:after="120" w:line="240" w:lineRule="auto"/>
      </w:pPr>
      <w:r>
        <w:rPr>
          <w:rFonts w:ascii="Arial Unicode MS" w:hAnsi="Arial Unicode MS" w:cs="Arial Unicode MS" w:eastAsia="Arial Unicode MS"/>
          <w:b/>
          <w:i w:val="0"/>
          <w:color w:val="000000"/>
          <w:sz w:val="20"/>
        </w:rPr>
        <w:t>What else sits on the sign-in door</w:t>
      </w:r>
    </w:p>
    <w:p>
      <w:pPr>
        <w:pStyle w:val="Default"/>
        <w:spacing w:before="0" w:after="160" w:line="240" w:lineRule="auto"/>
      </w:pPr>
      <w:r>
        <w:rPr>
          <w:rFonts w:ascii="Arial Unicode MS" w:hAnsi="Arial Unicode MS" w:cs="Arial Unicode MS" w:eastAsia="Arial Unicode MS"/>
          <w:b w:val="0"/>
          <w:i w:val="0"/>
          <w:color w:val="000000"/>
          <w:sz w:val="20"/>
        </w:rPr>
        <w:t>Before an account is created or a password is checked, Cloudflare Turnstile asks the visitor to prove they are a person. That stops the bulk of automated guessing before it reaches the application. Sign-in attempts are also rate-limited: roughly five tries a minute for a given email and network address. After that, the portal refuses further attempts for a short period.</w:t>
      </w:r>
    </w:p>
    <w:p>
      <w:pPr>
        <w:pStyle w:val="Default"/>
        <w:spacing w:before="0" w:after="160" w:line="240" w:lineRule="auto"/>
      </w:pPr>
      <w:r>
        <w:rPr>
          <w:rFonts w:ascii="Arial Unicode MS" w:hAnsi="Arial Unicode MS" w:cs="Arial Unicode MS" w:eastAsia="Arial Unicode MS"/>
          <w:b w:val="0"/>
          <w:i w:val="0"/>
          <w:color w:val="000000"/>
          <w:sz w:val="20"/>
        </w:rPr>
        <w:t>A device you have already completed a check on can be remembered as a trusted device. You can see those devices under Settings → Account Security, end any one of them, or sign out every other session from that same screen. Ending a session also invalidates the long-lived remember cookie on that device.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laptop is lost or a colleague leaves, revoke their account and, for the person still in the firm, end other sessions from Account Security. Do not wait for the next webinar.</w:t>
            </w:r>
          </w:p>
        </w:tc>
      </w:tr>
    </w:tbl>
    <w:p>
      <w:pPr>
        <w:pStyle w:val="Default"/>
        <w:spacing w:before="0" w:after="200" w:line="240" w:lineRule="auto"/>
      </w:pPr>
    </w:p>
    <w:p>
      <w:bookmarkStart w:id="5" w:name="c05"/>
      <w:pPr>
        <w:pStyle w:val="Heading1"/>
        <w:keepNext/>
        <w:spacing w:before="120" w:after="160" w:line="240" w:lineRule="auto"/>
      </w:pPr>
      <w:r>
        <w:rPr>
          <w:rFonts w:ascii="Arial Unicode MS" w:hAnsi="Arial Unicode MS" w:cs="Arial Unicode MS" w:eastAsia="Arial Unicode MS"/>
          <w:b w:val="0"/>
          <w:i w:val="0"/>
          <w:color w:val="00000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897880" cy="3966672"/>
            <wp:docPr id="1073741831" name="Picture 107374183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897880" cy="396667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3028030"/>
            <wp:docPr id="1073741832" name="Picture 1073741832"/>
            <wp:cNvGraphicFramePr>
              <a:graphicFrameLocks noChangeAspect="1"/>
            </wp:cNvGraphicFramePr>
            <a:graphic>
              <a:graphicData uri="http://schemas.openxmlformats.org/drawingml/2006/picture">
                <pic:pic>
                  <pic:nvPicPr>
                    <pic:cNvPr id="0" name="chart-encryption.png"/>
                    <pic:cNvPicPr/>
                  </pic:nvPicPr>
                  <pic:blipFill>
                    <a:blip r:embed="rId32"/>
                    <a:stretch>
                      <a:fillRect/>
                    </a:stretch>
                  </pic:blipFill>
                  <pic:spPr>
                    <a:xfrm>
                      <a:off x="0" y="0"/>
                      <a:ext cx="5897880" cy="302803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Four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spacing w:before="0" w:after="160" w:line="240" w:lineRule="auto"/>
      </w:pPr>
      <w:r>
        <w:rPr>
          <w:rFonts w:ascii="Arial Unicode MS" w:hAnsi="Arial Unicode MS" w:cs="Arial Unicode MS" w:eastAsia="Arial Unicode MS"/>
          <w:b w:val="0"/>
          <w:i w:val="0"/>
          <w:color w:val="000000"/>
          <w:sz w:val="20"/>
        </w:rPr>
        <w:t>Field-level encryption goes one step further for the most sensitive typed values. Passport numbers and dates of birth are encrypted in the database itself. A stolen database dump does not hand those fields to an attacker in clear text. Call recordings use the same vault envelope encryption as other media files.</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the browser,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Every page also carries security headers the browser is expected to obey: a content security policy, HSTS so the connection stays on HTTPS, framing protections against clickjacking, and related permissions limits. Uploaded files are never executed by the web server; only the application itself is passed to PHP.</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p>
      <w:pPr>
        <w:pStyle w:val="Default"/>
        <w:keepNext/>
        <w:spacing w:before="240" w:after="120" w:line="240" w:lineRule="auto"/>
      </w:pPr>
      <w:r>
        <w:rPr>
          <w:rFonts w:ascii="Arial Unicode MS" w:hAnsi="Arial Unicode MS" w:cs="Arial Unicode MS" w:eastAsia="Arial Unicode MS"/>
          <w:b/>
          <w:i w:val="0"/>
          <w:color w:val="000000"/>
          <w:sz w:val="20"/>
        </w:rPr>
        <w:t>Watching for unusual activity</w:t>
      </w:r>
    </w:p>
    <w:p>
      <w:pPr>
        <w:pStyle w:val="Default"/>
        <w:spacing w:before="0" w:after="160" w:line="240" w:lineRule="auto"/>
      </w:pPr>
      <w:r>
        <w:rPr>
          <w:rFonts w:ascii="Arial Unicode MS" w:hAnsi="Arial Unicode MS" w:cs="Arial Unicode MS" w:eastAsia="Arial Unicode MS"/>
          <w:b w:val="0"/>
          <w:i w:val="0"/>
          <w:color w:val="000000"/>
          <w:sz w:val="20"/>
        </w:rPr>
        <w:t>Sign-in events record the account, the network address, the device, and the country when Cloudflare can see it. Separate detectors flag patterns that deserve a human look: a sign-in that would require impossible travel between two places, a sudden rise in distinct addresses against one account, one address trying many accounts, or a burst of downloads. Those flags are for review. They do not silently lock a working officer out of an active 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00000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p>
      <w:pPr>
        <w:pStyle w:val="Default"/>
        <w:spacing w:before="0" w:after="160" w:line="240" w:lineRule="auto"/>
      </w:pPr>
      <w:r>
        <w:rPr>
          <w:rFonts w:ascii="Arial Unicode MS" w:hAnsi="Arial Unicode MS" w:cs="Arial Unicode MS" w:eastAsia="Arial Unicode MS"/>
          <w:b w:val="0"/>
          <w:i w:val="0"/>
          <w:color w:val="000000"/>
          <w:sz w:val="20"/>
        </w:rPr>
        <w:t>Public share links to identity documents must carry a password. A forwarded link alone is not enough to open a passport scan or similar document. The person who receives the link still needs the password you agreed to share by a separate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Password on identity shares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When you send a public link to a passport or ID page, set a password and send that password separately.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00000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2655147"/>
            <wp:docPr id="1073741833" name="Picture 107374183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120640" cy="265514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 Sign-in history is kept for review and is pruned on a long retention cycle so the table does not grow without limit.</w:t>
      </w:r>
    </w:p>
    <w:p>
      <w:pPr>
        <w:pStyle w:val="Default"/>
        <w:keepNext/>
        <w:spacing w:before="240" w:after="120" w:line="240" w:lineRule="auto"/>
      </w:pPr>
      <w:r>
        <w:rPr>
          <w:rFonts w:ascii="Arial Unicode MS" w:hAnsi="Arial Unicode MS" w:cs="Arial Unicode MS" w:eastAsia="Arial Unicode MS"/>
          <w:b/>
          <w:i w:val="0"/>
          <w:color w:val="000000"/>
          <w:sz w:val="20"/>
        </w:rPr>
        <w:t>Call recordings</w:t>
      </w:r>
    </w:p>
    <w:p>
      <w:pPr>
        <w:pStyle w:val="Default"/>
        <w:spacing w:before="0" w:after="160" w:line="240" w:lineRule="auto"/>
      </w:pPr>
      <w:r>
        <w:rPr>
          <w:rFonts w:ascii="Arial Unicode MS" w:hAnsi="Arial Unicode MS" w:cs="Arial Unicode MS" w:eastAsia="Arial Unicode MS"/>
          <w:b w:val="0"/>
          <w:i w:val="0"/>
          <w:color w:val="000000"/>
          <w:sz w:val="20"/>
        </w:rPr>
        <w:t>Where the portal stores a call recording, access is logged. A recording can be placed on legal hold so routine retention does not delete it. When legal hold is off and the retention date has passed, a scheduled job removes the recording. The media itself is vault-encrypted at rest, the same way other sensitive files are.</w:t>
      </w:r>
    </w:p>
    <w:p>
      <w:bookmarkStart w:id="9" w:name="c09"/>
      <w:pPr>
        <w:pStyle w:val="Heading1"/>
        <w:keepNext/>
        <w:spacing w:before="120" w:after="160" w:line="240" w:lineRule="auto"/>
      </w:pPr>
      <w:r>
        <w:rPr>
          <w:rFonts w:ascii="Arial Unicode MS" w:hAnsi="Arial Unicode MS" w:cs="Arial Unicode MS" w:eastAsia="Arial Unicode MS"/>
          <w:b w:val="0"/>
          <w:i w:val="0"/>
          <w:color w:val="00000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00000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00000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invitation mentioned support@tmantoine.com, while the portal is on tmantoinelaw.com. How are the domains related?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One firm. portal.tmantoinelaw.com and portal@tmantoinelaw.com are live. support@tmantoine.com was used for staging. Use support@tmantoinelaw.com from now on.</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and call recordings stored as ciphertext. Passport numbers and dates of birth are also encrypted at field level in the database.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 Cloudflare Turnstile and a five-attempt-per-minute throttle also sit on the sign-in door.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 person revoke devices and other sessions?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Settings → Account Security lists trusted devices and active sessions. You can end one device or sign out every other session from that screen.</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browser and edge protections are in place?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Cloudflare filters hostile traffic. Pages send CSP, HSTS, framing, and related security headers. Uploaded files are never executed by the web server.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unusual activity monitored?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Sign-in events are recorded. Detectors flag impossible travel, address spikes, one address against many accounts, and download bursts for human review — they do not auto-lock a working account.</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 Access to each file and action is still checked on the server against the person's role.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public links to identity documents protected?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Public share links to identity documents must carry a password. A forwarded URL alone is not enough.</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call recordings protected?</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Access is logged. Legal hold can stop routine deletion. Past-retention recordings without hold are pruned. Media is vault-encrypted at rest.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 Sign-in history is kept and pruned on a long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 and GDPR</w:t>
      </w:r>
    </w:p>
    <w:p>
      <w:pPr>
        <w:pStyle w:val="Default"/>
        <w:spacing w:before="0" w:after="160" w:line="240" w:lineRule="auto"/>
      </w:pPr>
      <w:r>
        <w:rPr>
          <w:rFonts w:ascii="Arial Unicode MS" w:hAnsi="Arial Unicode MS" w:cs="Arial Unicode MS" w:eastAsia="Arial Unicode MS"/>
          <w:b w:val="0"/>
          <w:i w:val="0"/>
          <w:color w:val="000000"/>
          <w:sz w:val="20"/>
        </w:rPr>
        <w:t>Where the GDPR (or a similar regime) applies to your clients' personal data, the questions below are the ones we expect on your compliance file. We do not claim a GDPR certificate or an ISO privacy seal. We describe what is built, what we will contract for, and what is still being written down.</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Are you GDPR compliant / certified?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do not hold a GDPR certification, and we do not market one. Where GDPR (or a similar regime) applies to personal data you place in the portal, we support that work through a DPA, Standard Contractual Clauses where they are the right tool, documented sub-processors, retention and deletion on request, and breach notification. Your counsel decides whether that package is enough for your file.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data-subject rights do you support (access, correction, erasure)?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applicant (or your firm on their behalf) can ask us for a copy of what we hold, to correct it, or to delete it after the case is closed. We keep the file unless that deletion request is made. Operational logs needed for security and dispute handling may be retained for a limited period after deletion of the working file.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 Call recordings follow their own retain-until / legal-hold rules.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are the Privacy Policy and Terms of Service?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the live portal: https://portal.tmantoinelaw.com/privacy-policy/ and https://portal.tmantoinelaw.com/terms-of-service/. New accounts accept both before they work the files.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written playbook is being finalised. Detection is continuous (sign-in events, country, unusual download volume, malware, anomaly flags).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00000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sectPr w:rsidR="006F70A6" w:rsidSect="00D030DA">
          <w:type w:val="nextPage"/>
          <w:footerReference w:type="default" r:id="rId23"/>
          <w:headerReference w:type="default" r:id="rId24"/>
          <w:pgSz w:w="11906" w:h="16838"/>
          <w:pgMar w:top="720" w:right="720" w:bottom="720" w:left="720" w:header="720" w:footer="720" w:gutter="0"/>
          <w:cols w:space="720"/>
          <w:docGrid w:linePitch="360"/>
          <w:pgNumType w:start="1"/>
        </w:sectPr>
      </w:pP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4.xml"/><Relationship Id="rId31" Type="http://schemas.openxmlformats.org/officeDocument/2006/relationships/header" Target="header4.xml"/><Relationship Id="rId32" Type="http://schemas.openxmlformats.org/officeDocument/2006/relationships/image" Target="media/image18.png"/><Relationship Id="rId33" Type="http://schemas.openxmlformats.org/officeDocument/2006/relationships/footer" Target="footer5.xml"/><Relationship Id="rId3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