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Companion slides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TM-ANTOINE-Service-Provider-Webinar.pptx</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webinar handout and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Why this briefing exists</w:t>
      </w:r>
    </w:p>
    <w:p>
      <w:pPr>
        <w:pStyle w:val="ListParagraph"/>
        <w:spacing w:before="0" w:after="80" w:line="240" w:lineRule="auto"/>
        <w:ind w:left="360"/>
      </w:pPr>
      <w:r>
        <w:rPr>
          <w:rFonts w:ascii="Arial Unicode MS" w:hAnsi="Arial Unicode MS" w:cs="Arial Unicode MS" w:eastAsia="Arial Unicode MS"/>
          <w:b w:val="0"/>
          <w:i w:val="0"/>
          <w:color w:val="000000"/>
          <w:sz w:val="20"/>
        </w:rPr>
        <w:t>2. Authenticity and the two domains</w:t>
      </w:r>
    </w:p>
    <w:p>
      <w:pPr>
        <w:pStyle w:val="ListParagraph"/>
        <w:spacing w:before="0" w:after="80" w:line="240" w:lineRule="auto"/>
        <w:ind w:left="360"/>
      </w:pPr>
      <w:r>
        <w:rPr>
          <w:rFonts w:ascii="Arial Unicode MS" w:hAnsi="Arial Unicode MS" w:cs="Arial Unicode MS" w:eastAsia="Arial Unicode MS"/>
          <w:b w:val="0"/>
          <w:i w:val="0"/>
          <w:color w:val="000000"/>
          <w:sz w:val="20"/>
        </w:rPr>
        <w:t>3. Who can enter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4. How sign-in works, and the authenticator requirement</w:t>
      </w:r>
    </w:p>
    <w:p>
      <w:pPr>
        <w:pStyle w:val="ListParagraph"/>
        <w:spacing w:before="0" w:after="80" w:line="240" w:lineRule="auto"/>
        <w:ind w:left="360"/>
      </w:pPr>
      <w:r>
        <w:rPr>
          <w:rFonts w:ascii="Arial Unicode MS" w:hAnsi="Arial Unicode MS" w:cs="Arial Unicode MS" w:eastAsia="Arial Unicode MS"/>
          <w:b w:val="0"/>
          <w:i w:val="0"/>
          <w:color w:val="000000"/>
          <w:sz w:val="20"/>
        </w:rPr>
        <w:t>5. Where the portal may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6. How we protect the connection and the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7. What may be uploaded</w:t>
      </w:r>
    </w:p>
    <w:p>
      <w:pPr>
        <w:pStyle w:val="ListParagraph"/>
        <w:spacing w:before="0" w:after="80" w:line="240" w:lineRule="auto"/>
        <w:ind w:left="360"/>
      </w:pPr>
      <w:r>
        <w:rPr>
          <w:rFonts w:ascii="Arial Unicode MS" w:hAnsi="Arial Unicode MS" w:cs="Arial Unicode MS" w:eastAsia="Arial Unicode MS"/>
          <w:b w:val="0"/>
          <w:i w:val="0"/>
          <w:color w:val="000000"/>
          <w:sz w:val="20"/>
        </w:rPr>
        <w:t>8. Where things live, and how they come back</w:t>
      </w:r>
    </w:p>
    <w:p>
      <w:pPr>
        <w:pStyle w:val="ListParagraph"/>
        <w:spacing w:before="0" w:after="80" w:line="240" w:lineRule="auto"/>
        <w:ind w:left="360"/>
      </w:pPr>
      <w:r>
        <w:rPr>
          <w:rFonts w:ascii="Arial Unicode MS" w:hAnsi="Arial Unicode MS" w:cs="Arial Unicode MS" w:eastAsia="Arial Unicode MS"/>
          <w:b w:val="0"/>
          <w:i w:val="0"/>
          <w:color w:val="000000"/>
          <w:sz w:val="20"/>
        </w:rPr>
        <w:t>9. Bespoke AI</w:t>
      </w:r>
    </w:p>
    <w:p>
      <w:pPr>
        <w:pStyle w:val="ListParagraph"/>
        <w:spacing w:before="0" w:after="80" w:line="240" w:lineRule="auto"/>
        <w:ind w:left="360"/>
      </w:pPr>
      <w:r>
        <w:rPr>
          <w:rFonts w:ascii="Arial Unicode MS" w:hAnsi="Arial Unicode MS" w:cs="Arial Unicode MS" w:eastAsia="Arial Unicode MS"/>
          <w:b w:val="0"/>
          <w:i w:val="0"/>
          <w:color w:val="000000"/>
          <w:sz w:val="20"/>
        </w:rPr>
        <w:t>10. If something goes wrong</w:t>
      </w:r>
    </w:p>
    <w:p>
      <w:pPr>
        <w:pStyle w:val="ListParagraph"/>
        <w:spacing w:before="0" w:after="80" w:line="240" w:lineRule="auto"/>
        <w:ind w:left="360"/>
      </w:pPr>
      <w:r>
        <w:rPr>
          <w:rFonts w:ascii="Arial Unicode MS" w:hAnsi="Arial Unicode MS" w:cs="Arial Unicode MS" w:eastAsia="Arial Unicode MS"/>
          <w:b w:val="0"/>
          <w:i w:val="0"/>
          <w:color w:val="000000"/>
          <w:sz w:val="20"/>
        </w:rPr>
        <w:t>11. Questions we have already been asked</w:t>
      </w:r>
    </w:p>
    <w:p>
      <w:pPr>
        <w:pStyle w:val="ListParagraph"/>
        <w:spacing w:before="0" w:after="80" w:line="240" w:lineRule="auto"/>
        <w:ind w:left="360"/>
      </w:pPr>
      <w:r>
        <w:rPr>
          <w:rFonts w:ascii="Arial Unicode MS" w:hAnsi="Arial Unicode MS" w:cs="Arial Unicode MS" w:eastAsia="Arial Unicode MS"/>
          <w:b w:val="0"/>
          <w:i w:val="0"/>
          <w:color w:val="000000"/>
          <w:sz w:val="20"/>
        </w:rPr>
        <w:t>12. What we ask of you after the webinar</w:t>
      </w:r>
    </w:p>
    <w:p>
      <w:pPr>
        <w:pStyle w:val="Default"/>
        <w:keepNext/>
        <w:spacing w:before="120" w:after="160" w:line="240" w:lineRule="auto"/>
      </w:pPr>
      <w:r>
        <w:rPr>
          <w:rFonts w:ascii="Arial Unicode MS" w:hAnsi="Arial Unicode MS" w:cs="Arial Unicode MS" w:eastAsia="Arial Unicode MS"/>
          <w:b w:val="0"/>
          <w:i w:val="0"/>
          <w:color w:val="000000"/>
          <w:sz w:val="50"/>
        </w:rPr>
        <w:t>Why this briefing exists</w:t>
      </w:r>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is never finished. The controls below are in place today. Independent penetration testing is planned and has not yet been completed. We do not hold ISO 27001 or SOC 2 at this time. We say that plainly so you can judge the platform on facts, not on marketing.</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Authenticity and the two domains</w:t>
      </w:r>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pPr>
        <w:pStyle w:val="Default"/>
        <w:keepNext/>
        <w:spacing w:before="120" w:after="160" w:line="240" w:lineRule="auto"/>
      </w:pPr>
      <w:r>
        <w:rPr>
          <w:rFonts w:ascii="Arial Unicode MS" w:hAnsi="Arial Unicode MS" w:cs="Arial Unicode MS" w:eastAsia="Arial Unicode MS"/>
          <w:b w:val="0"/>
          <w:i w:val="0"/>
          <w:color w:val="000000"/>
          <w:sz w:val="50"/>
        </w:rPr>
        <w:t>Who can enter the portal</w:t>
      </w:r>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2941924"/>
            <wp:docPr id="1073741826" name="Picture 1073741826"/>
            <wp:cNvGraphicFramePr>
              <a:graphicFrameLocks noChangeAspect="1"/>
            </wp:cNvGraphicFramePr>
            <a:graphic>
              <a:graphicData uri="http://schemas.openxmlformats.org/drawingml/2006/picture">
                <pic:pic>
                  <pic:nvPicPr>
                    <pic:cNvPr id="0" name="chart-access.png"/>
                    <pic:cNvPicPr/>
                  </pic:nvPicPr>
                  <pic:blipFill>
                    <a:blip r:embed="rId10"/>
                    <a:stretch>
                      <a:fillRect/>
                    </a:stretch>
                  </pic:blipFill>
                  <pic:spPr>
                    <a:xfrm>
                      <a:off x="0" y="0"/>
                      <a:ext cx="5897880" cy="294192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3407"/>
            <wp:docPr id="1073741827" name="Picture 1073741827"/>
            <wp:cNvGraphicFramePr>
              <a:graphicFrameLocks noChangeAspect="1"/>
            </wp:cNvGraphicFramePr>
            <a:graphic>
              <a:graphicData uri="http://schemas.openxmlformats.org/drawingml/2006/picture">
                <pic:pic>
                  <pic:nvPicPr>
                    <pic:cNvPr id="0" name="chart-account-flow.png"/>
                    <pic:cNvPicPr/>
                  </pic:nvPicPr>
                  <pic:blipFill>
                    <a:blip r:embed="rId11"/>
                    <a:stretch>
                      <a:fillRect/>
                    </a:stretch>
                  </pic:blipFill>
                  <pic:spPr>
                    <a:xfrm>
                      <a:off x="0" y="0"/>
                      <a:ext cx="5897880" cy="241340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02-login-options.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03-login-cod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28-two-step.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120" w:after="160" w:line="240" w:lineRule="auto"/>
      </w:pPr>
      <w:r>
        <w:rPr>
          <w:rFonts w:ascii="Arial Unicode MS" w:hAnsi="Arial Unicode MS" w:cs="Arial Unicode MS" w:eastAsia="Arial Unicode MS"/>
          <w:b w:val="0"/>
          <w:i w:val="0"/>
          <w:color w:val="000000"/>
          <w:sz w:val="50"/>
        </w:rPr>
        <w:t>Where the portal may be used</w:t>
      </w:r>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p>
    <w:p>
      <w:pPr>
        <w:pStyle w:val="Default"/>
        <w:spacing w:before="120" w:after="40" w:line="240" w:lineRule="auto"/>
      </w:pPr>
      <w:r>
        <w:drawing>
          <wp:inline xmlns:a="http://schemas.openxmlformats.org/drawingml/2006/main" xmlns:pic="http://schemas.openxmlformats.org/drawingml/2006/picture">
            <wp:extent cx="5897880" cy="3746393"/>
            <wp:docPr id="1073741831" name="Picture 1073741831"/>
            <wp:cNvGraphicFramePr>
              <a:graphicFrameLocks noChangeAspect="1"/>
            </wp:cNvGraphicFramePr>
            <a:graphic>
              <a:graphicData uri="http://schemas.openxmlformats.org/drawingml/2006/picture">
                <pic:pic>
                  <pic:nvPicPr>
                    <pic:cNvPr id="0" name="chart-layers.png"/>
                    <pic:cNvPicPr/>
                  </pic:nvPicPr>
                  <pic:blipFill>
                    <a:blip r:embed="rId15"/>
                    <a:stretch>
                      <a:fillRect/>
                    </a:stretch>
                  </pic:blipFill>
                  <pic:spPr>
                    <a:xfrm>
                      <a:off x="0" y="0"/>
                      <a:ext cx="5897880" cy="3746393"/>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2685642"/>
            <wp:docPr id="1073741832" name="Picture 1073741832"/>
            <wp:cNvGraphicFramePr>
              <a:graphicFrameLocks noChangeAspect="1"/>
            </wp:cNvGraphicFramePr>
            <a:graphic>
              <a:graphicData uri="http://schemas.openxmlformats.org/drawingml/2006/picture">
                <pic:pic>
                  <pic:nvPicPr>
                    <pic:cNvPr id="0" name="chart-encryption.png"/>
                    <pic:cNvPicPr/>
                  </pic:nvPicPr>
                  <pic:blipFill>
                    <a:blip r:embed="rId16"/>
                    <a:stretch>
                      <a:fillRect/>
                    </a:stretch>
                  </pic:blipFill>
                  <pic:spPr>
                    <a:xfrm>
                      <a:off x="0" y="0"/>
                      <a:ext cx="5897880" cy="268564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Three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strong controls, and we are still deepening them. No serious platform is 'finished' with security. Independent testing is on the plan. Until that report exists, treat this briefing as a description of what is built, not as a certificate.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What may be uploaded</w:t>
      </w:r>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Where things live, and how they come back</w:t>
      </w:r>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4497156"/>
            <wp:docPr id="1073741833" name="Picture 1073741833"/>
            <wp:cNvGraphicFramePr>
              <a:graphicFrameLocks noChangeAspect="1"/>
            </wp:cNvGraphicFramePr>
            <a:graphic>
              <a:graphicData uri="http://schemas.openxmlformats.org/drawingml/2006/picture">
                <pic:pic>
                  <pic:nvPicPr>
                    <pic:cNvPr id="0" name="chart-backup.png"/>
                    <pic:cNvPicPr/>
                  </pic:nvPicPr>
                  <pic:blipFill>
                    <a:blip r:embed="rId17"/>
                    <a:stretch>
                      <a:fillRect/>
                    </a:stretch>
                  </pic:blipFill>
                  <pic:spPr>
                    <a:xfrm>
                      <a:off x="0" y="0"/>
                      <a:ext cx="5120640" cy="449715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w:t>
      </w:r>
    </w:p>
    <w:p>
      <w:pPr>
        <w:pStyle w:val="Default"/>
        <w:keepNext/>
        <w:spacing w:before="120" w:after="160" w:line="240" w:lineRule="auto"/>
      </w:pPr>
      <w:r>
        <w:rPr>
          <w:rFonts w:ascii="Arial Unicode MS" w:hAnsi="Arial Unicode MS" w:cs="Arial Unicode MS" w:eastAsia="Arial Unicode MS"/>
          <w:b w:val="0"/>
          <w:i w:val="0"/>
          <w:color w:val="000000"/>
          <w:sz w:val="50"/>
        </w:rPr>
        <w:t>Bespoke AI — use it</w:t>
      </w:r>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If something goes wrong</w:t>
      </w:r>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11-messages.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pPr>
        <w:pStyle w:val="Default"/>
        <w:keepNext/>
        <w:spacing w:before="120" w:after="160" w:line="240" w:lineRule="auto"/>
      </w:pPr>
      <w:r>
        <w:rPr>
          <w:rFonts w:ascii="Arial Unicode MS" w:hAnsi="Arial Unicode MS" w:cs="Arial Unicode MS" w:eastAsia="Arial Unicode MS"/>
          <w:b w:val="0"/>
          <w:i w:val="0"/>
          <w:color w:val="000000"/>
          <w:sz w:val="50"/>
        </w:rPr>
        <w:t>Questions we have already been asked</w:t>
      </w:r>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stored as ciphertext. Cloudflare R2 for object storage.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Independent testing is planned and has not been completed. We do not currently hold ISO 27001 or SOC 2. We will share the outcome of testing when it is done.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pPr>
        <w:pStyle w:val="Default"/>
        <w:keepNext/>
        <w:spacing w:before="120" w:after="160" w:line="240" w:lineRule="auto"/>
      </w:pPr>
      <w:r>
        <w:rPr>
          <w:rFonts w:ascii="Arial Unicode MS" w:hAnsi="Arial Unicode MS" w:cs="Arial Unicode MS" w:eastAsia="Arial Unicode MS"/>
          <w:b w:val="0"/>
          <w:i w:val="0"/>
          <w:color w:val="000000"/>
          <w:sz w:val="50"/>
        </w:rPr>
        <w:t>What we ask of you after the webinar</w:t>
      </w:r>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