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5C1CE983" w14:textId="3B12FD1D" w:rsidR="00465289" w:rsidRPr="00D05DDF" w:rsidRDefault="00D030DA">
      <w:pPr>
        <w:sectPr w:rsidR="006F70A6" w:rsidSect="00D030DA">
          <w:footerReference w:type="default" r:id="rId30"/>
          <w:headerReference w:type="default" r:id="rId31"/>
          <w:type w:val="nextPage"/>
          <w:pgSz w:w="11906" w:h="16838"/>
          <w:pgMar w:top="720" w:right="720" w:bottom="720" w:left="720" w:header="720" w:footer="720" w:gutter="0"/>
          <w:cols w:space="720"/>
          <w:docGrid w:linePitch="360"/>
          <w:pgNumType w:start="1"/>
        </w:sectPr>
      </w:pPr>
      <w:r w:rsidRPr="00D05DDF">
        <w:rPr>
          <w:rFonts w:ascii="Arial Unicode MS" w:hAnsi="Arial Unicode MS"/>
          <w:noProof/>
        </w:rPr>
        <w:drawing>
          <wp:anchor distT="152400" distB="152400" distL="152400" distR="152400" simplePos="0" relativeHeight="251659264" behindDoc="0" locked="0" layoutInCell="1" allowOverlap="1" wp14:anchorId="0E8AECB1" wp14:editId="64E2B1E2">
            <wp:simplePos x="0" y="0"/>
            <wp:positionH relativeFrom="page">
              <wp:posOffset>-19455</wp:posOffset>
            </wp:positionH>
            <wp:positionV relativeFrom="page">
              <wp:posOffset>19455</wp:posOffset>
            </wp:positionV>
            <wp:extent cx="7607029" cy="10667365"/>
            <wp:effectExtent l="0" t="0" r="635" b="635"/>
            <wp:wrapTopAndBottom distT="152400" distB="152400"/>
            <wp:docPr id="1073741825" name="officeArt object" descr="Cover Page Blank.jpg"/>
            <wp:cNvGraphicFramePr/>
            <a:graphic xmlns:a="http://schemas.openxmlformats.org/drawingml/2006/main">
              <a:graphicData uri="http://schemas.openxmlformats.org/drawingml/2006/picture">
                <pic:pic xmlns:pic="http://schemas.openxmlformats.org/drawingml/2006/picture">
                  <pic:nvPicPr>
                    <pic:cNvPr id="1073741825" name="Cover Page Blank.jpg" descr="Cover Page Blank.jpg"/>
                    <pic:cNvPicPr>
                      <a:picLocks noChangeAspect="1"/>
                    </pic:cNvPicPr>
                  </pic:nvPicPr>
                  <pic:blipFill>
                    <a:blip r:embed="rId5"/>
                    <a:srcRect/>
                    <a:stretch>
                      <a:fillRect/>
                    </a:stretch>
                  </pic:blipFill>
                  <pic:spPr>
                    <a:xfrm>
                      <a:off x="0" y="0"/>
                      <a:ext cx="7608418" cy="10669313"/>
                    </a:xfrm>
                    <a:prstGeom prst="rect">
                      <a:avLst/>
                    </a:prstGeom>
                    <a:ln w="12700" cap="flat">
                      <a:noFill/>
                      <a:miter lim="400000"/>
                    </a:ln>
                    <a:effectLst/>
                  </pic:spPr>
                </pic:pic>
              </a:graphicData>
            </a:graphic>
            <wp14:sizeRelH relativeFrom="margin">
              <wp14:pctWidth>0</wp14:pctWidth>
            </wp14:sizeRelH>
            <wp14:sizeRelV relativeFrom="margin">
              <wp14:pctHeight>0</wp14:pctHeight>
            </wp14:sizeRelV>
          </wp:anchor>
        </w:drawing>
      </w:r>
    </w:p>
    <w:p>
      <w:pPr>
        <w:pStyle w:val="Default"/>
        <w:keepNext/>
        <w:spacing w:before="120" w:after="160" w:line="240" w:lineRule="auto"/>
      </w:pPr>
      <w:r>
        <w:rPr>
          <w:rFonts w:ascii="Arial Unicode MS" w:hAnsi="Arial Unicode MS" w:cs="Arial Unicode MS" w:eastAsia="Arial Unicode MS"/>
          <w:b w:val="0"/>
          <w:i w:val="0"/>
          <w:color w:val="000000"/>
          <w:sz w:val="50"/>
        </w:rPr>
        <w:t>Document Control</w:t>
      </w:r>
    </w:p>
    <w:p>
      <w:pPr>
        <w:pStyle w:val="Default"/>
        <w:spacing w:before="0" w:after="160" w:line="240" w:lineRule="auto"/>
      </w:pPr>
      <w:r>
        <w:rPr>
          <w:rFonts w:ascii="Arial Unicode MS" w:hAnsi="Arial Unicode MS" w:cs="Arial Unicode MS" w:eastAsia="Arial Unicode MS"/>
          <w:b w:val="0"/>
          <w:i w:val="0"/>
          <w:color w:val="000000"/>
          <w:sz w:val="20"/>
        </w:rPr>
        <w:t>This briefing explains how the TM ANTOINE Advisory Portal is built, who may use it, and how we protect service-provider firms and their clients. It is written for partners, compliance officers, and the people who will work the files — not for software developers.</w:t>
      </w:r>
    </w:p>
    <w:tbl>
      <w:tblPr>
        <w:tblStyle w:val="Style1"/>
        <w:tblLook w:firstColumn="1" w:firstRow="1" w:lastColumn="0" w:lastRow="0" w:noHBand="0" w:noVBand="1" w:val="04A0"/>
        <w:tblW w:w="10440" w:type="dxa"/>
      </w:tblPr>
      <w:tblGrid>
        <w:gridCol w:w="2700"/>
        <w:gridCol w:w="7740"/>
      </w:tblGrid>
      <w:tr>
        <w:tc>
          <w:tcPr>
            <w:tcW w:type="dxa" w:w="2700"/>
            <w:shd w:val="clear" w:color="auto" w:fill="F2F2F2"/>
            <w:tcBorders>
              <w:top w:val="nil"/>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i w:val="0"/>
                <w:color w:val="000000"/>
                <w:sz w:val="20"/>
              </w:rPr>
              <w:t>Item</w:t>
            </w:r>
          </w:p>
        </w:tc>
        <w:tc>
          <w:tcPr>
            <w:tcW w:type="dxa" w:w="7740"/>
            <w:shd w:val="clear" w:color="auto" w:fill="F2F2F2"/>
            <w:tcBorders>
              <w:top w:val="nil"/>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i w:val="0"/>
                <w:color w:val="000000"/>
                <w:sz w:val="20"/>
              </w:rPr>
              <w:t>Detail</w:t>
            </w:r>
          </w:p>
        </w:tc>
      </w:tr>
      <w:tr>
        <w:tc>
          <w:tcPr>
            <w:tcW w:type="dxa" w:w="2700"/>
            <w:tcBorders>
              <w:top w:val="single" w:sz="4" w:space="0" w:color="auto"/>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Document title</w:t>
            </w:r>
          </w:p>
        </w:tc>
        <w:tc>
          <w:tcPr>
            <w:tcW w:type="dxa" w:w="7740"/>
            <w:tcBorders>
              <w:top w:val="single" w:sz="4" w:space="0" w:color="auto"/>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Service Provider Portal Briefing</w:t>
            </w:r>
          </w:p>
        </w:tc>
      </w:tr>
      <w:tr>
        <w:tc>
          <w:tcPr>
            <w:tcW w:type="dxa" w:w="2700"/>
            <w:shd w:val="clear" w:color="auto" w:fill="F2F2F2"/>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Subtitle</w:t>
            </w:r>
          </w:p>
        </w:tc>
        <w:tc>
          <w:tcPr>
            <w:tcW w:type="dxa" w:w="7740"/>
            <w:shd w:val="clear" w:color="auto" w:fill="F2F2F2"/>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Security, access, and answers for firms using the TM ANTOINE Advisory Portal</w:t>
            </w:r>
          </w:p>
        </w:tc>
      </w:tr>
      <w:tr>
        <w:tc>
          <w:tcPr>
            <w:tcW w:type="dxa" w:w="2700"/>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Organization</w:t>
            </w:r>
          </w:p>
        </w:tc>
        <w:tc>
          <w:tcPr>
            <w:tcW w:type="dxa" w:w="7740"/>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TM ANTOINE Partners &amp; Advisory</w:t>
            </w:r>
          </w:p>
        </w:tc>
      </w:tr>
      <w:tr>
        <w:tc>
          <w:tcPr>
            <w:tcW w:type="dxa" w:w="2700"/>
            <w:shd w:val="clear" w:color="auto" w:fill="F2F2F2"/>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Product name</w:t>
            </w:r>
          </w:p>
        </w:tc>
        <w:tc>
          <w:tcPr>
            <w:tcW w:type="dxa" w:w="7740"/>
            <w:shd w:val="clear" w:color="auto" w:fill="F2F2F2"/>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TM ANTOINE Advisory Portal</w:t>
            </w:r>
          </w:p>
        </w:tc>
      </w:tr>
      <w:tr>
        <w:tc>
          <w:tcPr>
            <w:tcW w:type="dxa" w:w="2700"/>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Production host</w:t>
            </w:r>
          </w:p>
        </w:tc>
        <w:tc>
          <w:tcPr>
            <w:tcW w:type="dxa" w:w="7740"/>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https://portal.tmantoinelaw.com</w:t>
            </w:r>
          </w:p>
        </w:tc>
      </w:tr>
      <w:tr>
        <w:tc>
          <w:tcPr>
            <w:tcW w:type="dxa" w:w="2700"/>
            <w:shd w:val="clear" w:color="auto" w:fill="F2F2F2"/>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Support</w:t>
            </w:r>
          </w:p>
        </w:tc>
        <w:tc>
          <w:tcPr>
            <w:tcW w:type="dxa" w:w="7740"/>
            <w:shd w:val="clear" w:color="auto" w:fill="F2F2F2"/>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support@tmantoinelaw.com</w:t>
            </w:r>
          </w:p>
        </w:tc>
      </w:tr>
      <w:tr>
        <w:tc>
          <w:tcPr>
            <w:tcW w:type="dxa" w:w="2700"/>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Version</w:t>
            </w:r>
          </w:p>
        </w:tc>
        <w:tc>
          <w:tcPr>
            <w:tcW w:type="dxa" w:w="7740"/>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1.0</w:t>
            </w:r>
          </w:p>
        </w:tc>
      </w:tr>
      <w:tr>
        <w:tc>
          <w:tcPr>
            <w:tcW w:type="dxa" w:w="2700"/>
            <w:shd w:val="clear" w:color="auto" w:fill="F2F2F2"/>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Date</w:t>
            </w:r>
          </w:p>
        </w:tc>
        <w:tc>
          <w:tcPr>
            <w:tcW w:type="dxa" w:w="7740"/>
            <w:shd w:val="clear" w:color="auto" w:fill="F2F2F2"/>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22 September 2026</w:t>
            </w:r>
          </w:p>
        </w:tc>
      </w:tr>
      <w:tr>
        <w:tc>
          <w:tcPr>
            <w:tcW w:type="dxa" w:w="2700"/>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Prepared by</w:t>
            </w:r>
          </w:p>
        </w:tc>
        <w:tc>
          <w:tcPr>
            <w:tcW w:type="dxa" w:w="7740"/>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TM ANTOINE Partners &amp; Advisors</w:t>
            </w:r>
          </w:p>
        </w:tc>
      </w:tr>
      <w:tr>
        <w:tc>
          <w:tcPr>
            <w:tcW w:type="dxa" w:w="2700"/>
            <w:shd w:val="clear" w:color="auto" w:fill="F2F2F2"/>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Prepared for</w:t>
            </w:r>
          </w:p>
        </w:tc>
        <w:tc>
          <w:tcPr>
            <w:tcW w:type="dxa" w:w="7740"/>
            <w:shd w:val="clear" w:color="auto" w:fill="F2F2F2"/>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Service-provider firms</w:t>
            </w:r>
          </w:p>
        </w:tc>
      </w:tr>
      <w:tr>
        <w:tc>
          <w:tcPr>
            <w:tcW w:type="dxa" w:w="2700"/>
            <w:tcBorders>
              <w:top w:val="nil"/>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i w:val="0"/>
                <w:color w:val="000000"/>
                <w:sz w:val="20"/>
              </w:rPr>
              <w:t>Classification</w:t>
            </w:r>
          </w:p>
        </w:tc>
        <w:tc>
          <w:tcPr>
            <w:tcW w:type="dxa" w:w="7740"/>
            <w:tcBorders>
              <w:top w:val="nil"/>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Confidential — intended recipients only</w:t>
            </w:r>
          </w:p>
        </w:tc>
      </w:tr>
    </w:tbl>
    <w:p>
      <w:pPr>
        <w:pStyle w:val="Default"/>
        <w:spacing w:before="0" w:after="160" w:line="240" w:lineRule="auto"/>
      </w:pPr>
    </w:p>
    <w:p>
      <w:pPr>
        <w:pStyle w:val="Default"/>
        <w:keepNext/>
        <w:spacing w:before="120" w:after="160" w:line="240" w:lineRule="auto"/>
      </w:pPr>
      <w:r>
        <w:rPr>
          <w:rFonts w:ascii="Arial Unicode MS" w:hAnsi="Arial Unicode MS" w:cs="Arial Unicode MS" w:eastAsia="Arial Unicode MS"/>
          <w:b w:val="0"/>
          <w:i w:val="0"/>
          <w:color w:val="000000"/>
          <w:sz w:val="50"/>
        </w:rPr>
        <w:t>How to read this briefing</w:t>
      </w:r>
    </w:p>
    <w:p>
      <w:pPr>
        <w:pStyle w:val="Default"/>
        <w:spacing w:before="0" w:after="160" w:line="240" w:lineRule="auto"/>
      </w:pPr>
      <w:r>
        <w:rPr>
          <w:rFonts w:ascii="Arial Unicode MS" w:hAnsi="Arial Unicode MS" w:cs="Arial Unicode MS" w:eastAsia="Arial Unicode MS"/>
          <w:b w:val="0"/>
          <w:i w:val="0"/>
          <w:color w:val="000000"/>
          <w:sz w:val="20"/>
        </w:rPr>
        <w:t>Use it as the written answers for your compliance file. Tables are the short form of a question we have already been asked. Figures are there to present, not to decorate.</w:t>
      </w:r>
    </w:p>
    <w:tbl>
      <w:tblPr>
        <w:tblStyle w:val="Style1"/>
        <w:tblLook w:firstColumn="1" w:firstRow="1" w:lastColumn="0" w:lastRow="0" w:noHBand="0" w:noVBand="1" w:val="04A0"/>
        <w:tblW w:w="10440" w:type="dxa"/>
      </w:tblPr>
      <w:tblGrid>
        <w:gridCol w:w="2700"/>
        <w:gridCol w:w="7740"/>
      </w:tblGrid>
      <w:tr>
        <w:tc>
          <w:tcPr>
            <w:tcW w:type="dxa" w:w="2700"/>
            <w:shd w:val="clear" w:color="auto" w:fill="F2F2F2"/>
            <w:tcBorders>
              <w:top w:val="nil"/>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i w:val="0"/>
                <w:color w:val="000000"/>
                <w:sz w:val="20"/>
              </w:rPr>
              <w:t>Label</w:t>
            </w:r>
          </w:p>
        </w:tc>
        <w:tc>
          <w:tcPr>
            <w:tcW w:type="dxa" w:w="7740"/>
            <w:shd w:val="clear" w:color="auto" w:fill="F2F2F2"/>
            <w:tcBorders>
              <w:top w:val="nil"/>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i w:val="0"/>
                <w:color w:val="000000"/>
                <w:sz w:val="20"/>
              </w:rPr>
              <w:t>Meaning</w:t>
            </w:r>
          </w:p>
        </w:tc>
      </w:tr>
      <w:tr>
        <w:tc>
          <w:tcPr>
            <w:tcW w:type="dxa" w:w="2700"/>
            <w:tcBorders>
              <w:top w:val="single" w:sz="4" w:space="0" w:color="auto"/>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NOTE</w:t>
            </w:r>
          </w:p>
        </w:tc>
        <w:tc>
          <w:tcPr>
            <w:tcW w:type="dxa" w:w="7740"/>
            <w:tcBorders>
              <w:top w:val="single" w:sz="4" w:space="0" w:color="auto"/>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A rule that is easy to miss.</w:t>
            </w:r>
          </w:p>
        </w:tc>
      </w:tr>
      <w:tr>
        <w:tc>
          <w:tcPr>
            <w:tcW w:type="dxa" w:w="2700"/>
            <w:shd w:val="clear" w:color="auto" w:fill="F2F2F2"/>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SECURITY</w:t>
            </w:r>
          </w:p>
        </w:tc>
        <w:tc>
          <w:tcPr>
            <w:tcW w:type="dxa" w:w="7740"/>
            <w:shd w:val="clear" w:color="auto" w:fill="F2F2F2"/>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A control you should be able to repeat to a client.</w:t>
            </w:r>
          </w:p>
        </w:tc>
      </w:tr>
      <w:tr>
        <w:tc>
          <w:tcPr>
            <w:tcW w:type="dxa" w:w="2700"/>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HONESTY</w:t>
            </w:r>
          </w:p>
        </w:tc>
        <w:tc>
          <w:tcPr>
            <w:tcW w:type="dxa" w:w="7740"/>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Something we do not over-claim.</w:t>
            </w:r>
          </w:p>
        </w:tc>
      </w:tr>
      <w:tr>
        <w:tc>
          <w:tcPr>
            <w:tcW w:type="dxa" w:w="2700"/>
            <w:shd w:val="clear" w:color="auto" w:fill="F2F2F2"/>
            <w:tcBorders>
              <w:top w:val="nil"/>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i w:val="0"/>
                <w:color w:val="000000"/>
                <w:sz w:val="20"/>
              </w:rPr>
              <w:t>TIP</w:t>
            </w:r>
          </w:p>
        </w:tc>
        <w:tc>
          <w:tcPr>
            <w:tcW w:type="dxa" w:w="7740"/>
            <w:shd w:val="clear" w:color="auto" w:fill="F2F2F2"/>
            <w:tcBorders>
              <w:top w:val="nil"/>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What to do on Monday morning.</w:t>
            </w:r>
          </w:p>
        </w:tc>
      </w:tr>
    </w:tbl>
    <w:p>
      <w:pPr>
        <w:pStyle w:val="Default"/>
        <w:spacing w:before="0" w:after="160" w:line="240" w:lineRule="auto"/>
      </w:pPr>
    </w:p>
    <w:p>
      <w:pPr>
        <w:pStyle w:val="Default"/>
        <w:spacing w:before="0" w:after="0" w:line="240" w:lineRule="auto"/>
      </w:pPr>
      <w:r>
        <w:br w:type="page"/>
      </w:r>
    </w:p>
    <w:p>
      <w:pPr>
        <w:pStyle w:val="Default"/>
        <w:keepNext/>
        <w:spacing w:before="120" w:after="160" w:line="240" w:lineRule="auto"/>
      </w:pPr>
      <w:r>
        <w:rPr>
          <w:rFonts w:ascii="Arial Unicode MS" w:hAnsi="Arial Unicode MS" w:cs="Arial Unicode MS" w:eastAsia="Arial Unicode MS"/>
          <w:b w:val="0"/>
          <w:i w:val="0"/>
          <w:color w:val="000000"/>
          <w:sz w:val="50"/>
        </w:rPr>
        <w:t>Table of Contents</w:t>
      </w:r>
    </w:p>
    <w:p>
      <w:pPr>
        <w:pStyle w:val="Default"/>
        <w:tabs>
          <w:tab w:pos="9288" w:val="right" w:leader="dot"/>
        </w:tabs>
        <w:spacing w:before="40" w:after="80" w:line="240" w:lineRule="auto"/>
      </w:pPr>
      <w:r>
        <w:rPr>
          <w:rFonts w:ascii="Arial Unicode MS" w:hAnsi="Arial Unicode MS" w:cs="Arial Unicode MS" w:eastAsia="Arial Unicode MS"/>
          <w:b w:val="0"/>
          <w:i w:val="0"/>
          <w:color w:val="000000"/>
          <w:sz w:val="20"/>
        </w:rPr>
        <w:t>1.  Why this briefing exists</w:t>
        <w:tab/>
      </w:r>
      <w:r>
        <w:fldChar w:fldCharType="begin"/>
      </w:r>
      <w:r>
        <w:instrText xml:space="preserve"> PAGEREF c01 \h </w:instrText>
      </w:r>
      <w:r>
        <w:fldChar w:fldCharType="separate"/>
      </w:r>
      <w:r>
        <w:rPr>
          <w:rFonts w:ascii="Arial Unicode MS" w:hAnsi="Arial Unicode MS" w:cs="Arial Unicode MS" w:eastAsia="Arial Unicode MS"/>
          <w:b w:val="0"/>
          <w:i w:val="0"/>
          <w:color w:val="0E2841"/>
          <w:sz w:val="20"/>
        </w:rPr>
        <w:t xml:space="preserve"> </w:t>
      </w:r>
      <w:r>
        <w:fldChar w:fldCharType="end"/>
      </w:r>
    </w:p>
    <w:p>
      <w:pPr>
        <w:pStyle w:val="Default"/>
        <w:tabs>
          <w:tab w:pos="9288" w:val="right" w:leader="dot"/>
        </w:tabs>
        <w:spacing w:before="40" w:after="80" w:line="240" w:lineRule="auto"/>
      </w:pPr>
      <w:r>
        <w:rPr>
          <w:rFonts w:ascii="Arial Unicode MS" w:hAnsi="Arial Unicode MS" w:cs="Arial Unicode MS" w:eastAsia="Arial Unicode MS"/>
          <w:b w:val="0"/>
          <w:i w:val="0"/>
          <w:color w:val="000000"/>
          <w:sz w:val="20"/>
        </w:rPr>
        <w:t>2.  Authenticity and the two domains</w:t>
        <w:tab/>
      </w:r>
      <w:r>
        <w:fldChar w:fldCharType="begin"/>
      </w:r>
      <w:r>
        <w:instrText xml:space="preserve"> PAGEREF c02 \h </w:instrText>
      </w:r>
      <w:r>
        <w:fldChar w:fldCharType="separate"/>
      </w:r>
      <w:r>
        <w:rPr>
          <w:rFonts w:ascii="Arial Unicode MS" w:hAnsi="Arial Unicode MS" w:cs="Arial Unicode MS" w:eastAsia="Arial Unicode MS"/>
          <w:b w:val="0"/>
          <w:i w:val="0"/>
          <w:color w:val="0E2841"/>
          <w:sz w:val="20"/>
        </w:rPr>
        <w:t xml:space="preserve"> </w:t>
      </w:r>
      <w:r>
        <w:fldChar w:fldCharType="end"/>
      </w:r>
    </w:p>
    <w:p>
      <w:pPr>
        <w:pStyle w:val="Default"/>
        <w:tabs>
          <w:tab w:pos="9288" w:val="right" w:leader="dot"/>
        </w:tabs>
        <w:spacing w:before="40" w:after="80" w:line="240" w:lineRule="auto"/>
      </w:pPr>
      <w:r>
        <w:rPr>
          <w:rFonts w:ascii="Arial Unicode MS" w:hAnsi="Arial Unicode MS" w:cs="Arial Unicode MS" w:eastAsia="Arial Unicode MS"/>
          <w:b w:val="0"/>
          <w:i w:val="0"/>
          <w:color w:val="000000"/>
          <w:sz w:val="20"/>
        </w:rPr>
        <w:t>3.  Who can enter the portal</w:t>
        <w:tab/>
      </w:r>
      <w:r>
        <w:fldChar w:fldCharType="begin"/>
      </w:r>
      <w:r>
        <w:instrText xml:space="preserve"> PAGEREF c03 \h </w:instrText>
      </w:r>
      <w:r>
        <w:fldChar w:fldCharType="separate"/>
      </w:r>
      <w:r>
        <w:rPr>
          <w:rFonts w:ascii="Arial Unicode MS" w:hAnsi="Arial Unicode MS" w:cs="Arial Unicode MS" w:eastAsia="Arial Unicode MS"/>
          <w:b w:val="0"/>
          <w:i w:val="0"/>
          <w:color w:val="0E2841"/>
          <w:sz w:val="20"/>
        </w:rPr>
        <w:t xml:space="preserve"> </w:t>
      </w:r>
      <w:r>
        <w:fldChar w:fldCharType="end"/>
      </w:r>
    </w:p>
    <w:p>
      <w:pPr>
        <w:pStyle w:val="Default"/>
        <w:tabs>
          <w:tab w:pos="9288" w:val="right" w:leader="dot"/>
        </w:tabs>
        <w:spacing w:before="40" w:after="80" w:line="240" w:lineRule="auto"/>
      </w:pPr>
      <w:r>
        <w:rPr>
          <w:rFonts w:ascii="Arial Unicode MS" w:hAnsi="Arial Unicode MS" w:cs="Arial Unicode MS" w:eastAsia="Arial Unicode MS"/>
          <w:b w:val="0"/>
          <w:i w:val="0"/>
          <w:color w:val="000000"/>
          <w:sz w:val="20"/>
        </w:rPr>
        <w:t>4.  How sign-in works today, and what changes after this webinar</w:t>
        <w:tab/>
      </w:r>
      <w:r>
        <w:fldChar w:fldCharType="begin"/>
      </w:r>
      <w:r>
        <w:instrText xml:space="preserve"> PAGEREF c04 \h </w:instrText>
      </w:r>
      <w:r>
        <w:fldChar w:fldCharType="separate"/>
      </w:r>
      <w:r>
        <w:rPr>
          <w:rFonts w:ascii="Arial Unicode MS" w:hAnsi="Arial Unicode MS" w:cs="Arial Unicode MS" w:eastAsia="Arial Unicode MS"/>
          <w:b w:val="0"/>
          <w:i w:val="0"/>
          <w:color w:val="0E2841"/>
          <w:sz w:val="20"/>
        </w:rPr>
        <w:t xml:space="preserve"> </w:t>
      </w:r>
      <w:r>
        <w:fldChar w:fldCharType="end"/>
      </w:r>
    </w:p>
    <w:p>
      <w:pPr>
        <w:pStyle w:val="Default"/>
        <w:tabs>
          <w:tab w:pos="9288" w:val="right" w:leader="dot"/>
        </w:tabs>
        <w:spacing w:before="40" w:after="80" w:line="240" w:lineRule="auto"/>
      </w:pPr>
      <w:r>
        <w:rPr>
          <w:rFonts w:ascii="Arial Unicode MS" w:hAnsi="Arial Unicode MS" w:cs="Arial Unicode MS" w:eastAsia="Arial Unicode MS"/>
          <w:b w:val="0"/>
          <w:i w:val="0"/>
          <w:color w:val="000000"/>
          <w:sz w:val="20"/>
        </w:rPr>
        <w:t>5.  Where the portal may be used</w:t>
        <w:tab/>
      </w:r>
      <w:r>
        <w:fldChar w:fldCharType="begin"/>
      </w:r>
      <w:r>
        <w:instrText xml:space="preserve"> PAGEREF c05 \h </w:instrText>
      </w:r>
      <w:r>
        <w:fldChar w:fldCharType="separate"/>
      </w:r>
      <w:r>
        <w:rPr>
          <w:rFonts w:ascii="Arial Unicode MS" w:hAnsi="Arial Unicode MS" w:cs="Arial Unicode MS" w:eastAsia="Arial Unicode MS"/>
          <w:b w:val="0"/>
          <w:i w:val="0"/>
          <w:color w:val="0E2841"/>
          <w:sz w:val="20"/>
        </w:rPr>
        <w:t xml:space="preserve"> </w:t>
      </w:r>
      <w:r>
        <w:fldChar w:fldCharType="end"/>
      </w:r>
    </w:p>
    <w:p>
      <w:pPr>
        <w:pStyle w:val="Default"/>
        <w:tabs>
          <w:tab w:pos="9288" w:val="right" w:leader="dot"/>
        </w:tabs>
        <w:spacing w:before="40" w:after="80" w:line="240" w:lineRule="auto"/>
      </w:pPr>
      <w:r>
        <w:rPr>
          <w:rFonts w:ascii="Arial Unicode MS" w:hAnsi="Arial Unicode MS" w:cs="Arial Unicode MS" w:eastAsia="Arial Unicode MS"/>
          <w:b w:val="0"/>
          <w:i w:val="0"/>
          <w:color w:val="000000"/>
          <w:sz w:val="20"/>
        </w:rPr>
        <w:t>6.  How we protect the connection and the files</w:t>
        <w:tab/>
      </w:r>
      <w:r>
        <w:fldChar w:fldCharType="begin"/>
      </w:r>
      <w:r>
        <w:instrText xml:space="preserve"> PAGEREF c06 \h </w:instrText>
      </w:r>
      <w:r>
        <w:fldChar w:fldCharType="separate"/>
      </w:r>
      <w:r>
        <w:rPr>
          <w:rFonts w:ascii="Arial Unicode MS" w:hAnsi="Arial Unicode MS" w:cs="Arial Unicode MS" w:eastAsia="Arial Unicode MS"/>
          <w:b w:val="0"/>
          <w:i w:val="0"/>
          <w:color w:val="0E2841"/>
          <w:sz w:val="20"/>
        </w:rPr>
        <w:t xml:space="preserve"> </w:t>
      </w:r>
      <w:r>
        <w:fldChar w:fldCharType="end"/>
      </w:r>
    </w:p>
    <w:p>
      <w:pPr>
        <w:pStyle w:val="Default"/>
        <w:tabs>
          <w:tab w:pos="9288" w:val="right" w:leader="dot"/>
        </w:tabs>
        <w:spacing w:before="40" w:after="80" w:line="240" w:lineRule="auto"/>
      </w:pPr>
      <w:r>
        <w:rPr>
          <w:rFonts w:ascii="Arial Unicode MS" w:hAnsi="Arial Unicode MS" w:cs="Arial Unicode MS" w:eastAsia="Arial Unicode MS"/>
          <w:b w:val="0"/>
          <w:i w:val="0"/>
          <w:color w:val="000000"/>
          <w:sz w:val="20"/>
        </w:rPr>
        <w:t>7.  What may be uploaded</w:t>
        <w:tab/>
      </w:r>
      <w:r>
        <w:fldChar w:fldCharType="begin"/>
      </w:r>
      <w:r>
        <w:instrText xml:space="preserve"> PAGEREF c07 \h </w:instrText>
      </w:r>
      <w:r>
        <w:fldChar w:fldCharType="separate"/>
      </w:r>
      <w:r>
        <w:rPr>
          <w:rFonts w:ascii="Arial Unicode MS" w:hAnsi="Arial Unicode MS" w:cs="Arial Unicode MS" w:eastAsia="Arial Unicode MS"/>
          <w:b w:val="0"/>
          <w:i w:val="0"/>
          <w:color w:val="0E2841"/>
          <w:sz w:val="20"/>
        </w:rPr>
        <w:t xml:space="preserve"> </w:t>
      </w:r>
      <w:r>
        <w:fldChar w:fldCharType="end"/>
      </w:r>
    </w:p>
    <w:p>
      <w:pPr>
        <w:pStyle w:val="Default"/>
        <w:tabs>
          <w:tab w:pos="9288" w:val="right" w:leader="dot"/>
        </w:tabs>
        <w:spacing w:before="40" w:after="80" w:line="240" w:lineRule="auto"/>
      </w:pPr>
      <w:r>
        <w:rPr>
          <w:rFonts w:ascii="Arial Unicode MS" w:hAnsi="Arial Unicode MS" w:cs="Arial Unicode MS" w:eastAsia="Arial Unicode MS"/>
          <w:b w:val="0"/>
          <w:i w:val="0"/>
          <w:color w:val="000000"/>
          <w:sz w:val="20"/>
        </w:rPr>
        <w:t>8.  Where things live, and how they come back</w:t>
        <w:tab/>
      </w:r>
      <w:r>
        <w:fldChar w:fldCharType="begin"/>
      </w:r>
      <w:r>
        <w:instrText xml:space="preserve"> PAGEREF c08 \h </w:instrText>
      </w:r>
      <w:r>
        <w:fldChar w:fldCharType="separate"/>
      </w:r>
      <w:r>
        <w:rPr>
          <w:rFonts w:ascii="Arial Unicode MS" w:hAnsi="Arial Unicode MS" w:cs="Arial Unicode MS" w:eastAsia="Arial Unicode MS"/>
          <w:b w:val="0"/>
          <w:i w:val="0"/>
          <w:color w:val="0E2841"/>
          <w:sz w:val="20"/>
        </w:rPr>
        <w:t xml:space="preserve"> </w:t>
      </w:r>
      <w:r>
        <w:fldChar w:fldCharType="end"/>
      </w:r>
    </w:p>
    <w:p>
      <w:pPr>
        <w:pStyle w:val="Default"/>
        <w:tabs>
          <w:tab w:pos="9288" w:val="right" w:leader="dot"/>
        </w:tabs>
        <w:spacing w:before="40" w:after="80" w:line="240" w:lineRule="auto"/>
      </w:pPr>
      <w:r>
        <w:rPr>
          <w:rFonts w:ascii="Arial Unicode MS" w:hAnsi="Arial Unicode MS" w:cs="Arial Unicode MS" w:eastAsia="Arial Unicode MS"/>
          <w:b w:val="0"/>
          <w:i w:val="0"/>
          <w:color w:val="000000"/>
          <w:sz w:val="20"/>
        </w:rPr>
        <w:t>9.  Bespoke AI — use it</w:t>
        <w:tab/>
      </w:r>
      <w:r>
        <w:fldChar w:fldCharType="begin"/>
      </w:r>
      <w:r>
        <w:instrText xml:space="preserve"> PAGEREF c09 \h </w:instrText>
      </w:r>
      <w:r>
        <w:fldChar w:fldCharType="separate"/>
      </w:r>
      <w:r>
        <w:rPr>
          <w:rFonts w:ascii="Arial Unicode MS" w:hAnsi="Arial Unicode MS" w:cs="Arial Unicode MS" w:eastAsia="Arial Unicode MS"/>
          <w:b w:val="0"/>
          <w:i w:val="0"/>
          <w:color w:val="0E2841"/>
          <w:sz w:val="20"/>
        </w:rPr>
        <w:t xml:space="preserve"> </w:t>
      </w:r>
      <w:r>
        <w:fldChar w:fldCharType="end"/>
      </w:r>
    </w:p>
    <w:p>
      <w:pPr>
        <w:pStyle w:val="Default"/>
        <w:tabs>
          <w:tab w:pos="9288" w:val="right" w:leader="dot"/>
        </w:tabs>
        <w:spacing w:before="40" w:after="80" w:line="240" w:lineRule="auto"/>
      </w:pPr>
      <w:r>
        <w:rPr>
          <w:rFonts w:ascii="Arial Unicode MS" w:hAnsi="Arial Unicode MS" w:cs="Arial Unicode MS" w:eastAsia="Arial Unicode MS"/>
          <w:b w:val="0"/>
          <w:i w:val="0"/>
          <w:color w:val="000000"/>
          <w:sz w:val="20"/>
        </w:rPr>
        <w:t>10.  If something goes wrong</w:t>
        <w:tab/>
      </w:r>
      <w:r>
        <w:fldChar w:fldCharType="begin"/>
      </w:r>
      <w:r>
        <w:instrText xml:space="preserve"> PAGEREF c10 \h </w:instrText>
      </w:r>
      <w:r>
        <w:fldChar w:fldCharType="separate"/>
      </w:r>
      <w:r>
        <w:rPr>
          <w:rFonts w:ascii="Arial Unicode MS" w:hAnsi="Arial Unicode MS" w:cs="Arial Unicode MS" w:eastAsia="Arial Unicode MS"/>
          <w:b w:val="0"/>
          <w:i w:val="0"/>
          <w:color w:val="0E2841"/>
          <w:sz w:val="20"/>
        </w:rPr>
        <w:t xml:space="preserve"> </w:t>
      </w:r>
      <w:r>
        <w:fldChar w:fldCharType="end"/>
      </w:r>
    </w:p>
    <w:p>
      <w:pPr>
        <w:pStyle w:val="Default"/>
        <w:tabs>
          <w:tab w:pos="9288" w:val="right" w:leader="dot"/>
        </w:tabs>
        <w:spacing w:before="40" w:after="80" w:line="240" w:lineRule="auto"/>
      </w:pPr>
      <w:r>
        <w:rPr>
          <w:rFonts w:ascii="Arial Unicode MS" w:hAnsi="Arial Unicode MS" w:cs="Arial Unicode MS" w:eastAsia="Arial Unicode MS"/>
          <w:b w:val="0"/>
          <w:i w:val="0"/>
          <w:color w:val="000000"/>
          <w:sz w:val="20"/>
        </w:rPr>
        <w:t>11.  Questions we have already been asked</w:t>
        <w:tab/>
      </w:r>
      <w:r>
        <w:fldChar w:fldCharType="begin"/>
      </w:r>
      <w:r>
        <w:instrText xml:space="preserve"> PAGEREF c11 \h </w:instrText>
      </w:r>
      <w:r>
        <w:fldChar w:fldCharType="separate"/>
      </w:r>
      <w:r>
        <w:rPr>
          <w:rFonts w:ascii="Arial Unicode MS" w:hAnsi="Arial Unicode MS" w:cs="Arial Unicode MS" w:eastAsia="Arial Unicode MS"/>
          <w:b w:val="0"/>
          <w:i w:val="0"/>
          <w:color w:val="0E2841"/>
          <w:sz w:val="20"/>
        </w:rPr>
        <w:t xml:space="preserve"> </w:t>
      </w:r>
      <w:r>
        <w:fldChar w:fldCharType="end"/>
      </w:r>
    </w:p>
    <w:p>
      <w:pPr>
        <w:pStyle w:val="Default"/>
        <w:tabs>
          <w:tab w:pos="9288" w:val="right" w:leader="dot"/>
        </w:tabs>
        <w:spacing w:before="40" w:after="80" w:line="240" w:lineRule="auto"/>
      </w:pPr>
      <w:r>
        <w:rPr>
          <w:rFonts w:ascii="Arial Unicode MS" w:hAnsi="Arial Unicode MS" w:cs="Arial Unicode MS" w:eastAsia="Arial Unicode MS"/>
          <w:b w:val="0"/>
          <w:i w:val="0"/>
          <w:color w:val="000000"/>
          <w:sz w:val="20"/>
        </w:rPr>
        <w:t>12.  What we ask of you after the webinar</w:t>
        <w:tab/>
      </w:r>
      <w:r>
        <w:fldChar w:fldCharType="begin"/>
      </w:r>
      <w:r>
        <w:instrText xml:space="preserve"> PAGEREF c12 \h </w:instrText>
      </w:r>
      <w:r>
        <w:fldChar w:fldCharType="separate"/>
      </w:r>
      <w:r>
        <w:rPr>
          <w:rFonts w:ascii="Arial Unicode MS" w:hAnsi="Arial Unicode MS" w:cs="Arial Unicode MS" w:eastAsia="Arial Unicode MS"/>
          <w:b w:val="0"/>
          <w:i w:val="0"/>
          <w:color w:val="0E2841"/>
          <w:sz w:val="20"/>
        </w:rPr>
        <w:t xml:space="preserve"> </w:t>
      </w:r>
      <w:r>
        <w:fldChar w:fldCharType="end"/>
      </w:r>
    </w:p>
    <w:p>
      <w:pPr>
        <w:pStyle w:val="Default"/>
        <w:spacing w:before="0" w:after="0" w:line="240" w:lineRule="auto"/>
      </w:pPr>
      <w:r>
        <w:br w:type="page"/>
      </w:r>
    </w:p>
    <w:p>
      <w:bookmarkStart w:id="1" w:name="c01"/>
      <w:pPr>
        <w:pStyle w:val="Heading1"/>
        <w:keepNext/>
        <w:spacing w:before="120" w:after="160" w:line="240" w:lineRule="auto"/>
      </w:pPr>
      <w:r>
        <w:rPr>
          <w:rFonts w:ascii="Arial Unicode MS" w:hAnsi="Arial Unicode MS" w:cs="Arial Unicode MS" w:eastAsia="Arial Unicode MS"/>
          <w:b w:val="0"/>
          <w:i w:val="0"/>
          <w:color w:val="000000"/>
          <w:sz w:val="50"/>
        </w:rPr>
        <w:t>Why this briefing exists</w:t>
      </w:r>
      <w:bookmarkEnd w:id="1"/>
    </w:p>
    <w:p>
      <w:pPr>
        <w:pStyle w:val="Default"/>
        <w:spacing w:before="0" w:after="160" w:line="240" w:lineRule="auto"/>
      </w:pPr>
      <w:r>
        <w:rPr>
          <w:rFonts w:ascii="Arial Unicode MS" w:hAnsi="Arial Unicode MS" w:cs="Arial Unicode MS" w:eastAsia="Arial Unicode MS"/>
          <w:b w:val="0"/>
          <w:i w:val="0"/>
          <w:color w:val="000000"/>
          <w:sz w:val="20"/>
        </w:rPr>
        <w:t>This document is for service-provider firms that will use the TM ANTOINE Advisory Portal. It is written in plain language so a director, a compliance officer, or a case handler can read it in one sitting. It is the same material we present at the webinar, and it is the copy we send afterwards so it is on file before accounts are activated.</w:t>
      </w:r>
    </w:p>
    <w:p>
      <w:pPr>
        <w:pStyle w:val="Default"/>
        <w:spacing w:before="0" w:after="160" w:line="240" w:lineRule="auto"/>
      </w:pPr>
      <w:r>
        <w:rPr>
          <w:rFonts w:ascii="Arial Unicode MS" w:hAnsi="Arial Unicode MS" w:cs="Arial Unicode MS" w:eastAsia="Arial Unicode MS"/>
          <w:b w:val="0"/>
          <w:i w:val="0"/>
          <w:color w:val="000000"/>
          <w:sz w:val="20"/>
        </w:rPr>
        <w:t>The portal is the firm's working system for Citizenship by Investment files: applications, documents, messages, and status. It is not a licensed white-label product. It was designed and built in-house by TM ANTOINE Partners &amp; Advisors for this practice.</w:t>
      </w:r>
    </w:p>
    <w:tbl>
      <w:tblPr>
        <w:tblStyle w:val="Style1"/>
        <w:tblW w:type="auto" w:w="0"/>
        <w:tblLook w:firstColumn="1" w:firstRow="1" w:lastColumn="0" w:lastRow="0" w:noHBand="0" w:noVBand="1" w:val="04A0"/>
        <w:tblW w:w="10440" w:type="dxa"/>
      </w:tblPr>
      <w:tblGrid>
        <w:gridCol w:w="5233"/>
        <w:gridCol w:w="5233"/>
      </w:tblGrid>
      <w:tr>
        <w:tc>
          <w:tcPr>
            <w:tcW w:type="dxa" w:w="1800"/>
            <w:shd w:val="clear" w:color="auto" w:fill="F2F2F2"/>
            <w:tcBorders>
              <w:top w:val="single" w:sz="4" w:space="0" w:color="auto"/>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i w:val="0"/>
                <w:color w:val="000000"/>
                <w:sz w:val="20"/>
              </w:rPr>
              <w:t>NOTE</w:t>
            </w:r>
          </w:p>
        </w:tc>
        <w:tc>
          <w:tcPr>
            <w:tcW w:type="dxa" w:w="8640"/>
            <w:shd w:val="clear" w:color="auto" w:fill="F2F2F2"/>
            <w:tcBorders>
              <w:top w:val="single" w:sz="4" w:space="0" w:color="auto"/>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The controls below are in place today. We have already done security testing on the portal — including checks for injection, unsafe uploads, and access between accounts. That work is not finished. A full independent penetration test is still under way. We do not hold ISO 27001 or SOC 2 at this time. We say that plainly so you can judge the platform on facts, not on marketing.</w:t>
            </w:r>
          </w:p>
        </w:tc>
      </w:tr>
    </w:tbl>
    <w:p>
      <w:pPr>
        <w:pStyle w:val="Default"/>
        <w:spacing w:before="0" w:after="200" w:line="240" w:lineRule="auto"/>
      </w:pPr>
    </w:p>
    <w:p>
      <w:bookmarkStart w:id="2" w:name="c02"/>
      <w:pPr>
        <w:pStyle w:val="Heading1"/>
        <w:keepNext/>
        <w:spacing w:before="120" w:after="160" w:line="240" w:lineRule="auto"/>
      </w:pPr>
      <w:r>
        <w:rPr>
          <w:rFonts w:ascii="Arial Unicode MS" w:hAnsi="Arial Unicode MS" w:cs="Arial Unicode MS" w:eastAsia="Arial Unicode MS"/>
          <w:b w:val="0"/>
          <w:i w:val="0"/>
          <w:color w:val="000000"/>
          <w:sz w:val="50"/>
        </w:rPr>
        <w:t>Authenticity and the two domains</w:t>
      </w:r>
      <w:bookmarkEnd w:id="2"/>
    </w:p>
    <w:p>
      <w:pPr>
        <w:pStyle w:val="Default"/>
        <w:spacing w:before="0" w:after="160" w:line="240" w:lineRule="auto"/>
      </w:pPr>
      <w:r>
        <w:rPr>
          <w:rFonts w:ascii="Arial Unicode MS" w:hAnsi="Arial Unicode MS" w:cs="Arial Unicode MS" w:eastAsia="Arial Unicode MS"/>
          <w:b w:val="0"/>
          <w:i w:val="0"/>
          <w:color w:val="000000"/>
          <w:sz w:val="20"/>
        </w:rPr>
        <w:t>You may see two related names. That is not two products. It is one firm, with a staging address that is no longer used for live work.</w:t>
      </w:r>
    </w:p>
    <w:tbl>
      <w:tblPr>
        <w:tblStyle w:val="Style1"/>
        <w:tblLook w:firstColumn="1" w:firstRow="1" w:lastColumn="0" w:lastRow="0" w:noHBand="0" w:noVBand="1" w:val="04A0"/>
        <w:tblW w:w="10440" w:type="dxa"/>
      </w:tblPr>
      <w:tblGrid>
        <w:gridCol w:w="3600"/>
        <w:gridCol w:w="6840"/>
      </w:tblGrid>
      <w:tr>
        <w:tc>
          <w:tcPr>
            <w:tcW w:type="dxa" w:w="3600"/>
            <w:shd w:val="clear" w:color="auto" w:fill="F2F2F2"/>
            <w:tcBorders>
              <w:top w:val="nil"/>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i w:val="0"/>
                <w:color w:val="000000"/>
                <w:sz w:val="20"/>
              </w:rPr>
              <w:t>You may see</w:t>
            </w:r>
          </w:p>
        </w:tc>
        <w:tc>
          <w:tcPr>
            <w:tcW w:type="dxa" w:w="6840"/>
            <w:shd w:val="clear" w:color="auto" w:fill="F2F2F2"/>
            <w:tcBorders>
              <w:top w:val="nil"/>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i w:val="0"/>
                <w:color w:val="000000"/>
                <w:sz w:val="20"/>
              </w:rPr>
              <w:t>What it is</w:t>
            </w:r>
          </w:p>
        </w:tc>
      </w:tr>
      <w:tr>
        <w:tc>
          <w:tcPr>
            <w:tcW w:type="dxa" w:w="3600"/>
            <w:tcBorders>
              <w:top w:val="single" w:sz="4" w:space="0" w:color="auto"/>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portal.tmantoinelaw.com</w:t>
            </w:r>
          </w:p>
        </w:tc>
        <w:tc>
          <w:tcPr>
            <w:tcW w:type="dxa" w:w="6840"/>
            <w:tcBorders>
              <w:top w:val="single" w:sz="4" w:space="0" w:color="auto"/>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The live portal. Bookmark this.</w:t>
            </w:r>
          </w:p>
        </w:tc>
      </w:tr>
      <w:tr>
        <w:tc>
          <w:tcPr>
            <w:tcW w:type="dxa" w:w="3600"/>
            <w:shd w:val="clear" w:color="auto" w:fill="F2F2F2"/>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portal@tmantoinelaw.com</w:t>
            </w:r>
          </w:p>
        </w:tc>
        <w:tc>
          <w:tcPr>
            <w:tcW w:type="dxa" w:w="6840"/>
            <w:shd w:val="clear" w:color="auto" w:fill="F2F2F2"/>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The correct mailbox for portal mail from TM ANTOINE.</w:t>
            </w:r>
          </w:p>
        </w:tc>
      </w:tr>
      <w:tr>
        <w:tc>
          <w:tcPr>
            <w:tcW w:type="dxa" w:w="3600"/>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support@tmantoinelaw.com</w:t>
            </w:r>
          </w:p>
        </w:tc>
        <w:tc>
          <w:tcPr>
            <w:tcW w:type="dxa" w:w="6840"/>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Support. Shared with TM ANTOINE administrators. Aim: a reply within an hour, subject to people being available.</w:t>
            </w:r>
          </w:p>
        </w:tc>
      </w:tr>
      <w:tr>
        <w:tc>
          <w:tcPr>
            <w:tcW w:type="dxa" w:w="3600"/>
            <w:shd w:val="clear" w:color="auto" w:fill="F2F2F2"/>
            <w:tcBorders>
              <w:top w:val="nil"/>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i w:val="0"/>
                <w:color w:val="000000"/>
                <w:sz w:val="20"/>
              </w:rPr>
              <w:t>support@tmantoine.com</w:t>
            </w:r>
          </w:p>
        </w:tc>
        <w:tc>
          <w:tcPr>
            <w:tcW w:type="dxa" w:w="6840"/>
            <w:shd w:val="clear" w:color="auto" w:fill="F2F2F2"/>
            <w:tcBorders>
              <w:top w:val="nil"/>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Used for staging. Do not treat it as the live contact.</w:t>
            </w:r>
          </w:p>
        </w:tc>
      </w:tr>
    </w:tbl>
    <w:p>
      <w:pPr>
        <w:pStyle w:val="Default"/>
        <w:spacing w:before="0" w:after="160" w:line="240" w:lineRule="auto"/>
      </w:pPr>
    </w:p>
    <w:p>
      <w:pPr>
        <w:pStyle w:val="Default"/>
        <w:spacing w:before="0" w:after="160" w:line="240" w:lineRule="auto"/>
      </w:pPr>
      <w:r>
        <w:rPr>
          <w:rFonts w:ascii="Arial Unicode MS" w:hAnsi="Arial Unicode MS" w:cs="Arial Unicode MS" w:eastAsia="Arial Unicode MS"/>
          <w:b w:val="0"/>
          <w:i w:val="0"/>
          <w:color w:val="000000"/>
          <w:sz w:val="20"/>
        </w:rPr>
        <w:t>If an invitation, a sign-in page, or a message does not match portal.tmantoinelaw.com, stop and write to support@tmantoinelaw.com before you enter a password or a code.</w:t>
      </w:r>
    </w:p>
    <w:p>
      <w:bookmarkStart w:id="3" w:name="c03"/>
      <w:pPr>
        <w:pStyle w:val="Heading1"/>
        <w:keepNext/>
        <w:spacing w:before="120" w:after="160" w:line="240" w:lineRule="auto"/>
      </w:pPr>
      <w:r>
        <w:rPr>
          <w:rFonts w:ascii="Arial Unicode MS" w:hAnsi="Arial Unicode MS" w:cs="Arial Unicode MS" w:eastAsia="Arial Unicode MS"/>
          <w:b w:val="0"/>
          <w:i w:val="0"/>
          <w:color w:val="000000"/>
          <w:sz w:val="50"/>
        </w:rPr>
        <w:t>Who can enter the portal</w:t>
      </w:r>
      <w:bookmarkEnd w:id="3"/>
    </w:p>
    <w:p>
      <w:pPr>
        <w:pStyle w:val="Default"/>
        <w:spacing w:before="0" w:after="160" w:line="240" w:lineRule="auto"/>
      </w:pPr>
      <w:r>
        <w:rPr>
          <w:rFonts w:ascii="Arial Unicode MS" w:hAnsi="Arial Unicode MS" w:cs="Arial Unicode MS" w:eastAsia="Arial Unicode MS"/>
          <w:b w:val="0"/>
          <w:i w:val="0"/>
          <w:color w:val="000000"/>
          <w:sz w:val="20"/>
        </w:rPr>
        <w:t>There are four kinds of access. Service-provider people only ever hold the first two. The last two belong to TM ANTOINE.</w:t>
      </w:r>
    </w:p>
    <w:p>
      <w:pPr>
        <w:pStyle w:val="Default"/>
        <w:spacing w:before="120" w:after="40" w:line="240" w:lineRule="auto"/>
      </w:pPr>
      <w:r>
        <w:drawing>
          <wp:inline xmlns:a="http://schemas.openxmlformats.org/drawingml/2006/main" xmlns:pic="http://schemas.openxmlformats.org/drawingml/2006/picture">
            <wp:extent cx="5897880" cy="3132628"/>
            <wp:docPr id="1073741826" name="Picture 1073741826"/>
            <wp:cNvGraphicFramePr>
              <a:graphicFrameLocks noChangeAspect="1"/>
            </wp:cNvGraphicFramePr>
            <a:graphic>
              <a:graphicData uri="http://schemas.openxmlformats.org/drawingml/2006/picture">
                <pic:pic>
                  <pic:nvPicPr>
                    <pic:cNvPr id="0" name="chart-access.png"/>
                    <pic:cNvPicPr/>
                  </pic:nvPicPr>
                  <pic:blipFill>
                    <a:blip r:embed="rId25"/>
                    <a:stretch>
                      <a:fillRect/>
                    </a:stretch>
                  </pic:blipFill>
                  <pic:spPr>
                    <a:xfrm>
                      <a:off x="0" y="0"/>
                      <a:ext cx="5897880" cy="3132628"/>
                    </a:xfrm>
                    <a:prstGeom prst="rect"/>
                  </pic:spPr>
                </pic:pic>
              </a:graphicData>
            </a:graphic>
          </wp:inline>
        </w:drawing>
      </w:r>
    </w:p>
    <w:p>
      <w:pPr>
        <w:pStyle w:val="Caption"/>
        <w:spacing w:before="80" w:after="200" w:line="240" w:lineRule="auto"/>
      </w:pPr>
      <w:r>
        <w:rPr>
          <w:rFonts w:ascii="Arial Unicode MS" w:hAnsi="Arial Unicode MS" w:cs="Arial Unicode MS" w:eastAsia="Arial Unicode MS"/>
          <w:b w:val="0"/>
          <w:i/>
          <w:color w:val="0E2841"/>
          <w:sz w:val="18"/>
        </w:rPr>
        <w:t>Figure 1. The four account types. Service-provider firms use the first two.</w:t>
      </w:r>
    </w:p>
    <w:tbl>
      <w:tblPr>
        <w:tblStyle w:val="Style1"/>
        <w:tblLook w:firstColumn="1" w:firstRow="1" w:lastColumn="0" w:lastRow="0" w:noHBand="0" w:noVBand="1" w:val="04A0"/>
        <w:tblW w:w="10440" w:type="dxa"/>
      </w:tblPr>
      <w:tblGrid>
        <w:gridCol w:w="2700"/>
        <w:gridCol w:w="7740"/>
      </w:tblGrid>
      <w:tr>
        <w:tc>
          <w:tcPr>
            <w:tcW w:type="dxa" w:w="2700"/>
            <w:shd w:val="clear" w:color="auto" w:fill="F2F2F2"/>
            <w:tcBorders>
              <w:top w:val="nil"/>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i w:val="0"/>
                <w:color w:val="000000"/>
                <w:sz w:val="20"/>
              </w:rPr>
              <w:t>Access</w:t>
            </w:r>
          </w:p>
        </w:tc>
        <w:tc>
          <w:tcPr>
            <w:tcW w:type="dxa" w:w="7740"/>
            <w:shd w:val="clear" w:color="auto" w:fill="F2F2F2"/>
            <w:tcBorders>
              <w:top w:val="nil"/>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i w:val="0"/>
                <w:color w:val="000000"/>
                <w:sz w:val="20"/>
              </w:rPr>
              <w:t>In two sentences</w:t>
            </w:r>
          </w:p>
        </w:tc>
      </w:tr>
      <w:tr>
        <w:tc>
          <w:tcPr>
            <w:tcW w:type="dxa" w:w="2700"/>
            <w:tcBorders>
              <w:top w:val="single" w:sz="4" w:space="0" w:color="auto"/>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Service provider</w:t>
            </w:r>
          </w:p>
        </w:tc>
        <w:tc>
          <w:tcPr>
            <w:tcW w:type="dxa" w:w="7740"/>
            <w:tcBorders>
              <w:top w:val="single" w:sz="4" w:space="0" w:color="auto"/>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A named person at your firm. They can open every CIP application that belongs to your company, not only the ones they created, and they can work those files, messages, and documents.</w:t>
            </w:r>
          </w:p>
        </w:tc>
      </w:tr>
      <w:tr>
        <w:tc>
          <w:tcPr>
            <w:tcW w:type="dxa" w:w="2700"/>
            <w:shd w:val="clear" w:color="auto" w:fill="F2F2F2"/>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Service provider admin</w:t>
            </w:r>
          </w:p>
        </w:tc>
        <w:tc>
          <w:tcPr>
            <w:tcW w:type="dxa" w:w="7740"/>
            <w:shd w:val="clear" w:color="auto" w:fill="F2F2F2"/>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The person your firm names to TM ANTOINE. They invite colleagues and remove them when someone leaves or changes role. They cannot register a new firm, change the CIP code, or promote someone else to this role — that stays with TM ANTOINE.</w:t>
            </w:r>
          </w:p>
        </w:tc>
      </w:tr>
      <w:tr>
        <w:tc>
          <w:tcPr>
            <w:tcW w:type="dxa" w:w="2700"/>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CRO / reviewing officer</w:t>
            </w:r>
          </w:p>
        </w:tc>
        <w:tc>
          <w:tcPr>
            <w:tcW w:type="dxa" w:w="7740"/>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A TM ANTOINE officer who reviews files. They are not a member of your firm. They see the work that has been assigned to the practice.</w:t>
            </w:r>
          </w:p>
        </w:tc>
      </w:tr>
      <w:tr>
        <w:tc>
          <w:tcPr>
            <w:tcW w:type="dxa" w:w="2700"/>
            <w:shd w:val="clear" w:color="auto" w:fill="F2F2F2"/>
            <w:tcBorders>
              <w:top w:val="nil"/>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i w:val="0"/>
                <w:color w:val="000000"/>
                <w:sz w:val="20"/>
              </w:rPr>
              <w:t>Administrator</w:t>
            </w:r>
          </w:p>
        </w:tc>
        <w:tc>
          <w:tcPr>
            <w:tcW w:type="dxa" w:w="7740"/>
            <w:shd w:val="clear" w:color="auto" w:fill="F2F2F2"/>
            <w:tcBorders>
              <w:top w:val="nil"/>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A TM ANTOINE administrator. They approve new accounts before anyone can sign in, and they hold firm-wide settings. No service-provider person is an administrator of the portal.</w:t>
            </w:r>
          </w:p>
        </w:tc>
      </w:tr>
    </w:tbl>
    <w:p>
      <w:pPr>
        <w:pStyle w:val="Default"/>
        <w:spacing w:before="0" w:after="160" w:line="240" w:lineRule="auto"/>
      </w:pPr>
    </w:p>
    <w:p>
      <w:pPr>
        <w:pStyle w:val="Default"/>
        <w:keepNext/>
        <w:spacing w:before="240" w:after="120" w:line="240" w:lineRule="auto"/>
      </w:pPr>
      <w:r>
        <w:rPr>
          <w:rFonts w:ascii="Arial Unicode MS" w:hAnsi="Arial Unicode MS" w:cs="Arial Unicode MS" w:eastAsia="Arial Unicode MS"/>
          <w:b/>
          <w:i w:val="0"/>
          <w:color w:val="000000"/>
          <w:sz w:val="20"/>
        </w:rPr>
        <w:t>How a person at your firm gets an account</w:t>
      </w:r>
    </w:p>
    <w:p>
      <w:pPr>
        <w:pStyle w:val="Default"/>
        <w:spacing w:before="120" w:after="40" w:line="240" w:lineRule="auto"/>
      </w:pPr>
      <w:r>
        <w:drawing>
          <wp:inline xmlns:a="http://schemas.openxmlformats.org/drawingml/2006/main" xmlns:pic="http://schemas.openxmlformats.org/drawingml/2006/picture">
            <wp:extent cx="5897880" cy="2417734"/>
            <wp:docPr id="1073741827" name="Picture 1073741827"/>
            <wp:cNvGraphicFramePr>
              <a:graphicFrameLocks noChangeAspect="1"/>
            </wp:cNvGraphicFramePr>
            <a:graphic>
              <a:graphicData uri="http://schemas.openxmlformats.org/drawingml/2006/picture">
                <pic:pic>
                  <pic:nvPicPr>
                    <pic:cNvPr id="0" name="chart-account-flow.png"/>
                    <pic:cNvPicPr/>
                  </pic:nvPicPr>
                  <pic:blipFill>
                    <a:blip r:embed="rId26"/>
                    <a:stretch>
                      <a:fillRect/>
                    </a:stretch>
                  </pic:blipFill>
                  <pic:spPr>
                    <a:xfrm>
                      <a:off x="0" y="0"/>
                      <a:ext cx="5897880" cy="2417734"/>
                    </a:xfrm>
                    <a:prstGeom prst="rect"/>
                  </pic:spPr>
                </pic:pic>
              </a:graphicData>
            </a:graphic>
          </wp:inline>
        </w:drawing>
      </w:r>
    </w:p>
    <w:p>
      <w:pPr>
        <w:pStyle w:val="Caption"/>
        <w:spacing w:before="80" w:after="200" w:line="240" w:lineRule="auto"/>
      </w:pPr>
      <w:r>
        <w:rPr>
          <w:rFonts w:ascii="Arial Unicode MS" w:hAnsi="Arial Unicode MS" w:cs="Arial Unicode MS" w:eastAsia="Arial Unicode MS"/>
          <w:b w:val="0"/>
          <w:i/>
          <w:color w:val="0E2841"/>
          <w:sz w:val="18"/>
        </w:rPr>
        <w:t>Figure 2. Invitation, acceptance, then TM ANTOINE approval. The last step is required.</w:t>
      </w:r>
    </w:p>
    <w:p>
      <w:pPr>
        <w:pStyle w:val="Default"/>
        <w:spacing w:before="0" w:after="160" w:line="240" w:lineRule="auto"/>
      </w:pPr>
      <w:r>
        <w:rPr>
          <w:rFonts w:ascii="Arial Unicode MS" w:hAnsi="Arial Unicode MS" w:cs="Arial Unicode MS" w:eastAsia="Arial Unicode MS"/>
          <w:b w:val="0"/>
          <w:i w:val="0"/>
          <w:color w:val="000000"/>
          <w:sz w:val="20"/>
        </w:rPr>
        <w:t>TM ANTOINE will ask each service-provider firm to name one administrator. Only that person can add and remove accounts on your side. When they remove someone, TM ANTOINE administrators are notified. Removing a person who has left your organisation is your duty; we will not guess who still works for you.</w:t>
      </w:r>
    </w:p>
    <w:tbl>
      <w:tblPr>
        <w:tblStyle w:val="Style1"/>
        <w:tblW w:type="auto" w:w="0"/>
        <w:tblLook w:firstColumn="1" w:firstRow="1" w:lastColumn="0" w:lastRow="0" w:noHBand="0" w:noVBand="1" w:val="04A0"/>
        <w:tblW w:w="10440" w:type="dxa"/>
      </w:tblPr>
      <w:tblGrid>
        <w:gridCol w:w="5233"/>
        <w:gridCol w:w="5233"/>
      </w:tblGrid>
      <w:tr>
        <w:tc>
          <w:tcPr>
            <w:tcW w:type="dxa" w:w="1800"/>
            <w:shd w:val="clear" w:color="auto" w:fill="F2F2F2"/>
            <w:tcBorders>
              <w:top w:val="single" w:sz="4" w:space="0" w:color="auto"/>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i w:val="0"/>
                <w:color w:val="000000"/>
                <w:sz w:val="20"/>
              </w:rPr>
              <w:t>SECURITY</w:t>
            </w:r>
          </w:p>
        </w:tc>
        <w:tc>
          <w:tcPr>
            <w:tcW w:type="dxa" w:w="8640"/>
            <w:shd w:val="clear" w:color="auto" w:fill="F2F2F2"/>
            <w:tcBorders>
              <w:top w:val="single" w:sz="4" w:space="0" w:color="auto"/>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An invitation is not enough. The account stays closed until a TM ANTOINE administrator approves it. That is a second human check, on purpose.</w:t>
            </w:r>
          </w:p>
        </w:tc>
      </w:tr>
    </w:tbl>
    <w:p>
      <w:pPr>
        <w:pStyle w:val="Default"/>
        <w:spacing w:before="0" w:after="200" w:line="240" w:lineRule="auto"/>
      </w:pPr>
    </w:p>
    <w:p>
      <w:bookmarkStart w:id="4" w:name="c04"/>
      <w:pPr>
        <w:pStyle w:val="Heading1"/>
        <w:keepNext/>
        <w:spacing w:before="120" w:after="160" w:line="240" w:lineRule="auto"/>
      </w:pPr>
      <w:r>
        <w:rPr>
          <w:rFonts w:ascii="Arial Unicode MS" w:hAnsi="Arial Unicode MS" w:cs="Arial Unicode MS" w:eastAsia="Arial Unicode MS"/>
          <w:b w:val="0"/>
          <w:i w:val="0"/>
          <w:color w:val="000000"/>
          <w:sz w:val="50"/>
        </w:rPr>
        <w:t>How sign-in works today, and what changes after this webinar</w:t>
      </w:r>
      <w:bookmarkEnd w:id="4"/>
    </w:p>
    <w:p>
      <w:pPr>
        <w:pStyle w:val="Default"/>
        <w:spacing w:before="0" w:after="160" w:line="240" w:lineRule="auto"/>
      </w:pPr>
      <w:r>
        <w:rPr>
          <w:rFonts w:ascii="Arial Unicode MS" w:hAnsi="Arial Unicode MS" w:cs="Arial Unicode MS" w:eastAsia="Arial Unicode MS"/>
          <w:b w:val="0"/>
          <w:i w:val="0"/>
          <w:color w:val="000000"/>
          <w:sz w:val="20"/>
        </w:rPr>
        <w:t>Today the portal uses a dual check. On the first sign-in from a known setup you complete the usual email path. If the device changes, the portal asks for a six-digit code. That code is sent only to the email address already on the account. It is not sent to a new address the visitor types in.</w:t>
      </w:r>
    </w:p>
    <w:p>
      <w:pPr>
        <w:pStyle w:val="Default"/>
        <w:spacing w:before="120" w:after="40" w:line="240" w:lineRule="auto"/>
      </w:pPr>
      <w:r>
        <w:drawing>
          <wp:inline xmlns:a="http://schemas.openxmlformats.org/drawingml/2006/main" xmlns:pic="http://schemas.openxmlformats.org/drawingml/2006/picture">
            <wp:extent cx="5303520" cy="6425110"/>
            <wp:docPr id="1073741828" name="Picture 1073741828"/>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5303520" cy="6425110"/>
                    </a:xfrm>
                    <a:prstGeom prst="rect"/>
                  </pic:spPr>
                </pic:pic>
              </a:graphicData>
            </a:graphic>
          </wp:inline>
        </w:drawing>
      </w:r>
    </w:p>
    <w:p>
      <w:pPr>
        <w:pStyle w:val="Caption"/>
        <w:spacing w:before="80" w:after="200" w:line="240" w:lineRule="auto"/>
      </w:pPr>
      <w:r>
        <w:rPr>
          <w:rFonts w:ascii="Arial Unicode MS" w:hAnsi="Arial Unicode MS" w:cs="Arial Unicode MS" w:eastAsia="Arial Unicode MS"/>
          <w:b w:val="0"/>
          <w:i/>
          <w:color w:val="0E2841"/>
          <w:sz w:val="18"/>
        </w:rPr>
        <w:t>Figure 3. Sign-in on portal.tmantoinelaw.com. Use the live host, not a look-alike.</w:t>
      </w:r>
    </w:p>
    <w:p>
      <w:pPr>
        <w:pStyle w:val="Default"/>
        <w:spacing w:before="120" w:after="40" w:line="240" w:lineRule="auto"/>
      </w:pPr>
      <w:r>
        <w:drawing>
          <wp:inline xmlns:a="http://schemas.openxmlformats.org/drawingml/2006/main" xmlns:pic="http://schemas.openxmlformats.org/drawingml/2006/picture">
            <wp:extent cx="5303520" cy="6425110"/>
            <wp:docPr id="1073741829" name="Picture 1073741829"/>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5303520" cy="6425110"/>
                    </a:xfrm>
                    <a:prstGeom prst="rect"/>
                  </pic:spPr>
                </pic:pic>
              </a:graphicData>
            </a:graphic>
          </wp:inline>
        </w:drawing>
      </w:r>
    </w:p>
    <w:p>
      <w:pPr>
        <w:pStyle w:val="Caption"/>
        <w:spacing w:before="80" w:after="200" w:line="240" w:lineRule="auto"/>
      </w:pPr>
      <w:r>
        <w:rPr>
          <w:rFonts w:ascii="Arial Unicode MS" w:hAnsi="Arial Unicode MS" w:cs="Arial Unicode MS" w:eastAsia="Arial Unicode MS"/>
          <w:b w:val="0"/>
          <w:i/>
          <w:color w:val="0E2841"/>
          <w:sz w:val="18"/>
        </w:rPr>
        <w:t>Figure 4. A six-digit email code. Codes are never asked for by chat, and support will never request yours.</w:t>
      </w:r>
    </w:p>
    <w:p>
      <w:pPr>
        <w:pStyle w:val="Default"/>
        <w:keepNext/>
        <w:spacing w:before="240" w:after="120" w:line="240" w:lineRule="auto"/>
      </w:pPr>
      <w:r>
        <w:rPr>
          <w:rFonts w:ascii="Arial Unicode MS" w:hAnsi="Arial Unicode MS" w:cs="Arial Unicode MS" w:eastAsia="Arial Unicode MS"/>
          <w:b/>
          <w:i w:val="0"/>
          <w:color w:val="000000"/>
          <w:sz w:val="20"/>
        </w:rPr>
        <w:t>Authenticator app — required after this webinar</w:t>
      </w:r>
    </w:p>
    <w:p>
      <w:pPr>
        <w:pStyle w:val="Default"/>
        <w:spacing w:before="0" w:after="160" w:line="240" w:lineRule="auto"/>
      </w:pPr>
      <w:r>
        <w:rPr>
          <w:rFonts w:ascii="Arial Unicode MS" w:hAnsi="Arial Unicode MS" w:cs="Arial Unicode MS" w:eastAsia="Arial Unicode MS"/>
          <w:b w:val="0"/>
          <w:i w:val="0"/>
          <w:color w:val="000000"/>
          <w:sz w:val="20"/>
        </w:rPr>
        <w:t>After this session we will require every service-provider account to connect an authenticator app (for example Google Authenticator, Microsoft Authenticator, or Authy). The app sits on your phone and shows a new six-digit code every thirty seconds. Even if someone has your password and your email, they still cannot sign in without that phone.</w:t>
      </w:r>
    </w:p>
    <w:p>
      <w:pPr>
        <w:pStyle w:val="Default"/>
        <w:spacing w:before="120" w:after="40" w:line="240" w:lineRule="auto"/>
      </w:pPr>
      <w:r>
        <w:drawing>
          <wp:inline xmlns:a="http://schemas.openxmlformats.org/drawingml/2006/main" xmlns:pic="http://schemas.openxmlformats.org/drawingml/2006/picture">
            <wp:extent cx="5669280" cy="6868221"/>
            <wp:docPr id="1073741830" name="Picture 1073741830"/>
            <wp:cNvGraphicFramePr>
              <a:graphicFrameLocks noChangeAspect="1"/>
            </wp:cNvGraphicFramePr>
            <a:graphic>
              <a:graphicData uri="http://schemas.openxmlformats.org/drawingml/2006/picture">
                <pic:pic>
                  <pic:nvPicPr>
                    <pic:cNvPr id="0" name="image.png"/>
                    <pic:cNvPicPr/>
                  </pic:nvPicPr>
                  <pic:blipFill>
                    <a:blip r:embed="rId14"/>
                    <a:stretch>
                      <a:fillRect/>
                    </a:stretch>
                  </pic:blipFill>
                  <pic:spPr>
                    <a:xfrm>
                      <a:off x="0" y="0"/>
                      <a:ext cx="5669280" cy="6868221"/>
                    </a:xfrm>
                    <a:prstGeom prst="rect"/>
                  </pic:spPr>
                </pic:pic>
              </a:graphicData>
            </a:graphic>
          </wp:inline>
        </w:drawing>
      </w:r>
    </w:p>
    <w:p>
      <w:pPr>
        <w:pStyle w:val="Caption"/>
        <w:spacing w:before="80" w:after="200" w:line="240" w:lineRule="auto"/>
      </w:pPr>
      <w:r>
        <w:rPr>
          <w:rFonts w:ascii="Arial Unicode MS" w:hAnsi="Arial Unicode MS" w:cs="Arial Unicode MS" w:eastAsia="Arial Unicode MS"/>
          <w:b w:val="0"/>
          <w:i/>
          <w:color w:val="0E2841"/>
          <w:sz w:val="18"/>
        </w:rPr>
        <w:t>Figure 5. Settings → Account Security. Connect Authenticator app, then keep the recovery codes in a safe place that is not email.</w:t>
      </w:r>
    </w:p>
    <w:p>
      <w:pPr>
        <w:pStyle w:val="ListParagraph"/>
        <w:spacing w:before="0" w:after="80" w:line="240" w:lineRule="auto"/>
        <w:ind w:left="360"/>
      </w:pPr>
      <w:r>
        <w:rPr>
          <w:rFonts w:ascii="Arial Unicode MS" w:hAnsi="Arial Unicode MS" w:cs="Arial Unicode MS" w:eastAsia="Arial Unicode MS"/>
          <w:b w:val="0"/>
          <w:i w:val="0"/>
          <w:color w:val="000000"/>
          <w:sz w:val="20"/>
        </w:rPr>
        <w:t>1. Open Settings → Account Security → Two-factor authentication.</w:t>
      </w:r>
    </w:p>
    <w:p>
      <w:pPr>
        <w:pStyle w:val="ListParagraph"/>
        <w:spacing w:before="0" w:after="80" w:line="240" w:lineRule="auto"/>
        <w:ind w:left="360"/>
      </w:pPr>
      <w:r>
        <w:rPr>
          <w:rFonts w:ascii="Arial Unicode MS" w:hAnsi="Arial Unicode MS" w:cs="Arial Unicode MS" w:eastAsia="Arial Unicode MS"/>
          <w:b w:val="0"/>
          <w:i w:val="0"/>
          <w:color w:val="000000"/>
          <w:sz w:val="20"/>
        </w:rPr>
        <w:t>2. Choose Authenticator app, scan the QR code, enter the six-digit code the app shows.</w:t>
      </w:r>
    </w:p>
    <w:p>
      <w:pPr>
        <w:pStyle w:val="ListParagraph"/>
        <w:spacing w:before="0" w:after="80" w:line="240" w:lineRule="auto"/>
        <w:ind w:left="360"/>
      </w:pPr>
      <w:r>
        <w:rPr>
          <w:rFonts w:ascii="Arial Unicode MS" w:hAnsi="Arial Unicode MS" w:cs="Arial Unicode MS" w:eastAsia="Arial Unicode MS"/>
          <w:b w:val="0"/>
          <w:i w:val="0"/>
          <w:color w:val="000000"/>
          <w:sz w:val="20"/>
        </w:rPr>
        <w:t>3. Store the recovery codes offline. They are the only way back in if the phone is lost.</w:t>
      </w:r>
    </w:p>
    <w:p>
      <w:pPr>
        <w:pStyle w:val="ListParagraph"/>
        <w:spacing w:before="0" w:after="80" w:line="240" w:lineRule="auto"/>
        <w:ind w:left="360"/>
      </w:pPr>
      <w:r>
        <w:rPr>
          <w:rFonts w:ascii="Arial Unicode MS" w:hAnsi="Arial Unicode MS" w:cs="Arial Unicode MS" w:eastAsia="Arial Unicode MS"/>
          <w:b w:val="0"/>
          <w:i w:val="0"/>
          <w:color w:val="000000"/>
          <w:sz w:val="20"/>
        </w:rPr>
        <w:t>4. Do not share authenticator codes in Messages, email, or with Bespoke AI.</w:t>
      </w:r>
    </w:p>
    <w:p>
      <w:bookmarkStart w:id="5" w:name="c05"/>
      <w:pPr>
        <w:pStyle w:val="Heading1"/>
        <w:keepNext/>
        <w:spacing w:before="120" w:after="160" w:line="240" w:lineRule="auto"/>
      </w:pPr>
      <w:r>
        <w:rPr>
          <w:rFonts w:ascii="Arial Unicode MS" w:hAnsi="Arial Unicode MS" w:cs="Arial Unicode MS" w:eastAsia="Arial Unicode MS"/>
          <w:b w:val="0"/>
          <w:i w:val="0"/>
          <w:color w:val="000000"/>
          <w:sz w:val="50"/>
        </w:rPr>
        <w:t>Where the portal may be used</w:t>
      </w:r>
      <w:bookmarkEnd w:id="5"/>
    </w:p>
    <w:p>
      <w:pPr>
        <w:pStyle w:val="Default"/>
        <w:spacing w:before="0" w:after="160" w:line="240" w:lineRule="auto"/>
      </w:pPr>
      <w:r>
        <w:rPr>
          <w:rFonts w:ascii="Arial Unicode MS" w:hAnsi="Arial Unicode MS" w:cs="Arial Unicode MS" w:eastAsia="Arial Unicode MS"/>
          <w:b w:val="0"/>
          <w:i w:val="0"/>
          <w:color w:val="000000"/>
          <w:sz w:val="20"/>
        </w:rPr>
        <w:t>Access is limited to countries where TM ANTOINE's service-provider clients actually operate. We do not leave the door open to the rest of the world. North Korea, South Korea, and Russia are among the locations that cannot reach the portal. The country is read at the network edge, before a session is created, so a refused visitor never reaches sign-in.</w:t>
      </w:r>
    </w:p>
    <w:p>
      <w:pPr>
        <w:pStyle w:val="Default"/>
        <w:spacing w:before="0" w:after="160" w:line="240" w:lineRule="auto"/>
      </w:pPr>
      <w:r>
        <w:rPr>
          <w:rFonts w:ascii="Arial Unicode MS" w:hAnsi="Arial Unicode MS" w:cs="Arial Unicode MS" w:eastAsia="Arial Unicode MS"/>
          <w:b w:val="0"/>
          <w:i w:val="0"/>
          <w:color w:val="000000"/>
          <w:sz w:val="20"/>
        </w:rPr>
        <w:t>A virtual private network (VPN) or anonymising proxy is treated as a way around that rule. The portal can refuse those connections. If you are travelling and the page asks you to turn a VPN off, that is the control working, not a fault.</w:t>
      </w:r>
    </w:p>
    <w:tbl>
      <w:tblPr>
        <w:tblStyle w:val="Style1"/>
        <w:tblW w:type="auto" w:w="0"/>
        <w:tblLook w:firstColumn="1" w:firstRow="1" w:lastColumn="0" w:lastRow="0" w:noHBand="0" w:noVBand="1" w:val="04A0"/>
        <w:tblW w:w="10440" w:type="dxa"/>
      </w:tblPr>
      <w:tblGrid>
        <w:gridCol w:w="5233"/>
        <w:gridCol w:w="5233"/>
      </w:tblGrid>
      <w:tr>
        <w:tc>
          <w:tcPr>
            <w:tcW w:type="dxa" w:w="1800"/>
            <w:shd w:val="clear" w:color="auto" w:fill="F2F2F2"/>
            <w:tcBorders>
              <w:top w:val="single" w:sz="4" w:space="0" w:color="auto"/>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i w:val="0"/>
                <w:color w:val="000000"/>
                <w:sz w:val="20"/>
              </w:rPr>
              <w:t>NOTE</w:t>
            </w:r>
          </w:p>
        </w:tc>
        <w:tc>
          <w:tcPr>
            <w:tcW w:type="dxa" w:w="8640"/>
            <w:shd w:val="clear" w:color="auto" w:fill="F2F2F2"/>
            <w:tcBorders>
              <w:top w:val="single" w:sz="4" w:space="0" w:color="auto"/>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Geography is one control beside passwords, codes, and roles. It is not the whole of security. A determined attacker with a residential proxy can still look local. That is why the other layers exist.</w:t>
            </w:r>
          </w:p>
        </w:tc>
      </w:tr>
    </w:tbl>
    <w:p>
      <w:pPr>
        <w:pStyle w:val="Default"/>
        <w:spacing w:before="0" w:after="200" w:line="240" w:lineRule="auto"/>
      </w:pPr>
    </w:p>
    <w:p>
      <w:bookmarkStart w:id="6" w:name="c06"/>
      <w:pPr>
        <w:pStyle w:val="Heading1"/>
        <w:keepNext/>
        <w:spacing w:before="120" w:after="160" w:line="240" w:lineRule="auto"/>
      </w:pPr>
      <w:r>
        <w:rPr>
          <w:rFonts w:ascii="Arial Unicode MS" w:hAnsi="Arial Unicode MS" w:cs="Arial Unicode MS" w:eastAsia="Arial Unicode MS"/>
          <w:b w:val="0"/>
          <w:i w:val="0"/>
          <w:color w:val="000000"/>
          <w:sz w:val="50"/>
        </w:rPr>
        <w:t>How we protect the connection and the files</w:t>
      </w:r>
      <w:bookmarkEnd w:id="6"/>
    </w:p>
    <w:p>
      <w:pPr>
        <w:pStyle w:val="Default"/>
        <w:spacing w:before="120" w:after="40" w:line="240" w:lineRule="auto"/>
      </w:pPr>
      <w:r>
        <w:drawing>
          <wp:inline xmlns:a="http://schemas.openxmlformats.org/drawingml/2006/main" xmlns:pic="http://schemas.openxmlformats.org/drawingml/2006/picture">
            <wp:extent cx="5897880" cy="3966672"/>
            <wp:docPr id="1073741831" name="Picture 1073741831"/>
            <wp:cNvGraphicFramePr>
              <a:graphicFrameLocks noChangeAspect="1"/>
            </wp:cNvGraphicFramePr>
            <a:graphic>
              <a:graphicData uri="http://schemas.openxmlformats.org/drawingml/2006/picture">
                <pic:pic>
                  <pic:nvPicPr>
                    <pic:cNvPr id="0" name="chart-layers.png"/>
                    <pic:cNvPicPr/>
                  </pic:nvPicPr>
                  <pic:blipFill>
                    <a:blip r:embed="rId27"/>
                    <a:stretch>
                      <a:fillRect/>
                    </a:stretch>
                  </pic:blipFill>
                  <pic:spPr>
                    <a:xfrm>
                      <a:off x="0" y="0"/>
                      <a:ext cx="5897880" cy="3966672"/>
                    </a:xfrm>
                    <a:prstGeom prst="rect"/>
                  </pic:spPr>
                </pic:pic>
              </a:graphicData>
            </a:graphic>
          </wp:inline>
        </w:drawing>
      </w:r>
    </w:p>
    <w:p>
      <w:pPr>
        <w:pStyle w:val="Caption"/>
        <w:spacing w:before="80" w:after="200" w:line="240" w:lineRule="auto"/>
      </w:pPr>
      <w:r>
        <w:rPr>
          <w:rFonts w:ascii="Arial Unicode MS" w:hAnsi="Arial Unicode MS" w:cs="Arial Unicode MS" w:eastAsia="Arial Unicode MS"/>
          <w:b w:val="0"/>
          <w:i/>
          <w:color w:val="0E2841"/>
          <w:sz w:val="18"/>
        </w:rPr>
        <w:t>Figure 6. Six layers. None of them is enough on its own.</w:t>
      </w:r>
    </w:p>
    <w:p>
      <w:pPr>
        <w:pStyle w:val="Default"/>
        <w:keepNext/>
        <w:spacing w:before="240" w:after="120" w:line="240" w:lineRule="auto"/>
      </w:pPr>
      <w:r>
        <w:rPr>
          <w:rFonts w:ascii="Arial Unicode MS" w:hAnsi="Arial Unicode MS" w:cs="Arial Unicode MS" w:eastAsia="Arial Unicode MS"/>
          <w:b/>
          <w:i w:val="0"/>
          <w:color w:val="000000"/>
          <w:sz w:val="20"/>
        </w:rPr>
        <w:t>Encryption, in ordinary words</w:t>
      </w:r>
    </w:p>
    <w:p>
      <w:pPr>
        <w:pStyle w:val="Default"/>
        <w:spacing w:before="120" w:after="40" w:line="240" w:lineRule="auto"/>
      </w:pPr>
      <w:r>
        <w:drawing>
          <wp:inline xmlns:a="http://schemas.openxmlformats.org/drawingml/2006/main" xmlns:pic="http://schemas.openxmlformats.org/drawingml/2006/picture">
            <wp:extent cx="5897880" cy="2719578"/>
            <wp:docPr id="1073741832" name="Picture 1073741832"/>
            <wp:cNvGraphicFramePr>
              <a:graphicFrameLocks noChangeAspect="1"/>
            </wp:cNvGraphicFramePr>
            <a:graphic>
              <a:graphicData uri="http://schemas.openxmlformats.org/drawingml/2006/picture">
                <pic:pic>
                  <pic:nvPicPr>
                    <pic:cNvPr id="0" name="chart-encryption.png"/>
                    <pic:cNvPicPr/>
                  </pic:nvPicPr>
                  <pic:blipFill>
                    <a:blip r:embed="rId28"/>
                    <a:stretch>
                      <a:fillRect/>
                    </a:stretch>
                  </pic:blipFill>
                  <pic:spPr>
                    <a:xfrm>
                      <a:off x="0" y="0"/>
                      <a:ext cx="5897880" cy="2719578"/>
                    </a:xfrm>
                    <a:prstGeom prst="rect"/>
                  </pic:spPr>
                </pic:pic>
              </a:graphicData>
            </a:graphic>
          </wp:inline>
        </w:drawing>
      </w:r>
    </w:p>
    <w:p>
      <w:pPr>
        <w:pStyle w:val="Caption"/>
        <w:spacing w:before="80" w:after="200" w:line="240" w:lineRule="auto"/>
      </w:pPr>
      <w:r>
        <w:rPr>
          <w:rFonts w:ascii="Arial Unicode MS" w:hAnsi="Arial Unicode MS" w:cs="Arial Unicode MS" w:eastAsia="Arial Unicode MS"/>
          <w:b w:val="0"/>
          <w:i/>
          <w:color w:val="0E2841"/>
          <w:sz w:val="18"/>
        </w:rPr>
        <w:t>Figure 7. Three places encryption does work you can explain to a client.</w:t>
      </w:r>
    </w:p>
    <w:p>
      <w:pPr>
        <w:pStyle w:val="Default"/>
        <w:spacing w:before="0" w:after="160" w:line="240" w:lineRule="auto"/>
      </w:pPr>
      <w:r>
        <w:rPr>
          <w:rFonts w:ascii="Arial Unicode MS" w:hAnsi="Arial Unicode MS" w:cs="Arial Unicode MS" w:eastAsia="Arial Unicode MS"/>
          <w:b w:val="0"/>
          <w:i w:val="0"/>
          <w:color w:val="000000"/>
          <w:sz w:val="20"/>
        </w:rPr>
        <w:t>In transit means the path between your browser and the portal. That path uses TLS — the lock in the address bar, the same idea as online banking. A packet-capture tool on the network (the family of products people know as Wireshark) can see that traffic is happening. It cannot read the pages, the passwords, or the files.</w:t>
      </w:r>
    </w:p>
    <w:p>
      <w:pPr>
        <w:pStyle w:val="Default"/>
        <w:spacing w:before="0" w:after="160" w:line="240" w:lineRule="auto"/>
      </w:pPr>
      <w:r>
        <w:rPr>
          <w:rFonts w:ascii="Arial Unicode MS" w:hAnsi="Arial Unicode MS" w:cs="Arial Unicode MS" w:eastAsia="Arial Unicode MS"/>
          <w:b w:val="0"/>
          <w:i w:val="0"/>
          <w:color w:val="000000"/>
          <w:sz w:val="20"/>
        </w:rPr>
        <w:t>At rest means the file sitting in storage when nobody is looking at it. Vault files are stored as ciphertext, not as an open PDF on a disk. The portal holds the key so officers can still open, scan, e-sign, and sync a file. This is not a zero-knowledge vault: TM ANTOINE can open a file that you can open, because that is required to run the practice. What a stranger on the storage platform cannot do is read the bytes as a document.</w:t>
      </w:r>
    </w:p>
    <w:p>
      <w:pPr>
        <w:pStyle w:val="Default"/>
        <w:keepNext/>
        <w:spacing w:before="240" w:after="120" w:line="240" w:lineRule="auto"/>
      </w:pPr>
      <w:r>
        <w:rPr>
          <w:rFonts w:ascii="Arial Unicode MS" w:hAnsi="Arial Unicode MS" w:cs="Arial Unicode MS" w:eastAsia="Arial Unicode MS"/>
          <w:b/>
          <w:i w:val="0"/>
          <w:color w:val="000000"/>
          <w:sz w:val="20"/>
        </w:rPr>
        <w:t>Intercepting tools and injection</w:t>
      </w:r>
    </w:p>
    <w:p>
      <w:pPr>
        <w:pStyle w:val="Default"/>
        <w:spacing w:before="0" w:after="160" w:line="240" w:lineRule="auto"/>
      </w:pPr>
      <w:r>
        <w:rPr>
          <w:rFonts w:ascii="Arial Unicode MS" w:hAnsi="Arial Unicode MS" w:cs="Arial Unicode MS" w:eastAsia="Arial Unicode MS"/>
          <w:b w:val="0"/>
          <w:i w:val="0"/>
          <w:color w:val="000000"/>
          <w:sz w:val="20"/>
        </w:rPr>
        <w:t>The portal sits behind Cloudflare. Automated scanners, known attack signatures, and many intercepting proxy tools are filtered at that edge before they reach the application. Requests that do get through still need a signed-in session. They are checked again on the server for every action — opening a file, changing a status, sending a message. The browser is not trusted to decide who may do what.</w:t>
      </w:r>
    </w:p>
    <w:p>
      <w:pPr>
        <w:pStyle w:val="Default"/>
        <w:spacing w:before="0" w:after="160" w:line="240" w:lineRule="auto"/>
      </w:pPr>
      <w:r>
        <w:rPr>
          <w:rFonts w:ascii="Arial Unicode MS" w:hAnsi="Arial Unicode MS" w:cs="Arial Unicode MS" w:eastAsia="Arial Unicode MS"/>
          <w:b w:val="0"/>
          <w:i w:val="0"/>
          <w:color w:val="000000"/>
          <w:sz w:val="20"/>
        </w:rPr>
        <w:t>API keys, mail credentials, and cloud secrets are stored on the server only. They are not in the web page, not in Bespoke AI, and not in a file a service provider can download. The assistant is forbidden from repeating hosting details, keys, or internal infrastructure. If a document tries to instruct the assistant to ignore those rules, the portal treats that text as data, not as an order.</w:t>
      </w:r>
    </w:p>
    <w:tbl>
      <w:tblPr>
        <w:tblStyle w:val="Style1"/>
        <w:tblW w:type="auto" w:w="0"/>
        <w:tblLook w:firstColumn="1" w:firstRow="1" w:lastColumn="0" w:lastRow="0" w:noHBand="0" w:noVBand="1" w:val="04A0"/>
        <w:tblW w:w="10440" w:type="dxa"/>
      </w:tblPr>
      <w:tblGrid>
        <w:gridCol w:w="5233"/>
        <w:gridCol w:w="5233"/>
      </w:tblGrid>
      <w:tr>
        <w:tc>
          <w:tcPr>
            <w:tcW w:type="dxa" w:w="1800"/>
            <w:shd w:val="clear" w:color="auto" w:fill="F2F2F2"/>
            <w:tcBorders>
              <w:top w:val="single" w:sz="4" w:space="0" w:color="auto"/>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i w:val="0"/>
                <w:color w:val="000000"/>
                <w:sz w:val="20"/>
              </w:rPr>
              <w:t>HONESTY</w:t>
            </w:r>
          </w:p>
        </w:tc>
        <w:tc>
          <w:tcPr>
            <w:tcW w:type="dxa" w:w="8640"/>
            <w:shd w:val="clear" w:color="auto" w:fill="F2F2F2"/>
            <w:tcBorders>
              <w:top w:val="single" w:sz="4" w:space="0" w:color="auto"/>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We have already tested the portal against common attacks. A full independent penetration test is not complete yet. We do not hold ISO 27001 or SOC 2. We will share the outcome when that work is done.</w:t>
            </w:r>
          </w:p>
        </w:tc>
      </w:tr>
    </w:tbl>
    <w:p>
      <w:pPr>
        <w:pStyle w:val="Default"/>
        <w:spacing w:before="0" w:after="200" w:line="240" w:lineRule="auto"/>
      </w:pPr>
    </w:p>
    <w:p>
      <w:bookmarkStart w:id="7" w:name="c07"/>
      <w:pPr>
        <w:pStyle w:val="Heading1"/>
        <w:keepNext/>
        <w:spacing w:before="120" w:after="160" w:line="240" w:lineRule="auto"/>
      </w:pPr>
      <w:r>
        <w:rPr>
          <w:rFonts w:ascii="Arial Unicode MS" w:hAnsi="Arial Unicode MS" w:cs="Arial Unicode MS" w:eastAsia="Arial Unicode MS"/>
          <w:b w:val="0"/>
          <w:i w:val="0"/>
          <w:color w:val="000000"/>
          <w:sz w:val="50"/>
        </w:rPr>
        <w:t>What may be uploaded</w:t>
      </w:r>
      <w:bookmarkEnd w:id="7"/>
    </w:p>
    <w:p>
      <w:pPr>
        <w:pStyle w:val="Default"/>
        <w:spacing w:before="0" w:after="160" w:line="240" w:lineRule="auto"/>
      </w:pPr>
      <w:r>
        <w:rPr>
          <w:rFonts w:ascii="Arial Unicode MS" w:hAnsi="Arial Unicode MS" w:cs="Arial Unicode MS" w:eastAsia="Arial Unicode MS"/>
          <w:b w:val="0"/>
          <w:i w:val="0"/>
          <w:color w:val="000000"/>
          <w:sz w:val="20"/>
        </w:rPr>
        <w:t>CIP application uploads are PDF files or images (photograph formats such as JPEG, PNG, WebP, and HEIC). The portal does not take the filename at its word. It reads the first bytes of the file. A renamed program — a so-called PDF that is actually software — is refused.</w:t>
      </w:r>
    </w:p>
    <w:p>
      <w:pPr>
        <w:pStyle w:val="Default"/>
        <w:spacing w:before="0" w:after="160" w:line="240" w:lineRule="auto"/>
      </w:pPr>
      <w:r>
        <w:rPr>
          <w:rFonts w:ascii="Arial Unicode MS" w:hAnsi="Arial Unicode MS" w:cs="Arial Unicode MS" w:eastAsia="Arial Unicode MS"/>
          <w:b w:val="0"/>
          <w:i w:val="0"/>
          <w:color w:val="000000"/>
          <w:sz w:val="20"/>
        </w:rPr>
        <w:t>Public upload links, the door a person who is not signed in can push a file through, are capped at 5 or 10 megabytes. That is a security limit as well as a practical one: a huge file is a common way to hide a payload or to knock a service over. Other doors in the portal have their own caps; none of them is unbounded.</w:t>
      </w:r>
    </w:p>
    <w:p>
      <w:pPr>
        <w:pStyle w:val="Default"/>
        <w:spacing w:before="0" w:after="160" w:line="240" w:lineRule="auto"/>
      </w:pPr>
      <w:r>
        <w:rPr>
          <w:rFonts w:ascii="Arial Unicode MS" w:hAnsi="Arial Unicode MS" w:cs="Arial Unicode MS" w:eastAsia="Arial Unicode MS"/>
          <w:b w:val="0"/>
          <w:i w:val="0"/>
          <w:color w:val="000000"/>
          <w:sz w:val="20"/>
        </w:rPr>
        <w:t>Every uploaded file is queued for a malware scan. A file that fails the scan cannot be opened or downloaded. Colleagues on the same file are not used as a way to spread it.</w:t>
      </w:r>
    </w:p>
    <w:tbl>
      <w:tblPr>
        <w:tblStyle w:val="Style1"/>
        <w:tblLook w:firstColumn="1" w:firstRow="1" w:lastColumn="0" w:lastRow="0" w:noHBand="0" w:noVBand="1" w:val="04A0"/>
        <w:tblW w:w="10440" w:type="dxa"/>
      </w:tblPr>
      <w:tblGrid>
        <w:gridCol w:w="2700"/>
        <w:gridCol w:w="7740"/>
      </w:tblGrid>
      <w:tr>
        <w:tc>
          <w:tcPr>
            <w:tcW w:type="dxa" w:w="2700"/>
            <w:shd w:val="clear" w:color="auto" w:fill="F2F2F2"/>
            <w:tcBorders>
              <w:top w:val="nil"/>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i w:val="0"/>
                <w:color w:val="000000"/>
                <w:sz w:val="20"/>
              </w:rPr>
              <w:t>Rule</w:t>
            </w:r>
          </w:p>
        </w:tc>
        <w:tc>
          <w:tcPr>
            <w:tcW w:type="dxa" w:w="7740"/>
            <w:shd w:val="clear" w:color="auto" w:fill="F2F2F2"/>
            <w:tcBorders>
              <w:top w:val="nil"/>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i w:val="0"/>
                <w:color w:val="000000"/>
                <w:sz w:val="20"/>
              </w:rPr>
              <w:t>What it means for you</w:t>
            </w:r>
          </w:p>
        </w:tc>
      </w:tr>
      <w:tr>
        <w:tc>
          <w:tcPr>
            <w:tcW w:type="dxa" w:w="2700"/>
            <w:tcBorders>
              <w:top w:val="single" w:sz="4" w:space="0" w:color="auto"/>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PDF or image for CIP</w:t>
            </w:r>
          </w:p>
        </w:tc>
        <w:tc>
          <w:tcPr>
            <w:tcW w:type="dxa" w:w="7740"/>
            <w:tcBorders>
              <w:top w:val="single" w:sz="4" w:space="0" w:color="auto"/>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Do not zip executables or office macros into an application folder and hope the name looks harmless.</w:t>
            </w:r>
          </w:p>
        </w:tc>
      </w:tr>
      <w:tr>
        <w:tc>
          <w:tcPr>
            <w:tcW w:type="dxa" w:w="2700"/>
            <w:shd w:val="clear" w:color="auto" w:fill="F2F2F2"/>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5–10 MB on request links</w:t>
            </w:r>
          </w:p>
        </w:tc>
        <w:tc>
          <w:tcPr>
            <w:tcW w:type="dxa" w:w="7740"/>
            <w:shd w:val="clear" w:color="auto" w:fill="F2F2F2"/>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Split a very large scan, or compress a photograph, rather than sending a 200 MB archive.</w:t>
            </w:r>
          </w:p>
        </w:tc>
      </w:tr>
      <w:tr>
        <w:tc>
          <w:tcPr>
            <w:tcW w:type="dxa" w:w="2700"/>
            <w:tcBorders>
              <w:top w:val="nil"/>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i w:val="0"/>
                <w:color w:val="000000"/>
                <w:sz w:val="20"/>
              </w:rPr>
              <w:t>Malware scan</w:t>
            </w:r>
          </w:p>
        </w:tc>
        <w:tc>
          <w:tcPr>
            <w:tcW w:type="dxa" w:w="7740"/>
            <w:tcBorders>
              <w:top w:val="nil"/>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If a file is blocked, replace it with a clean original. Do not ask someone to 'just download it anyway'.</w:t>
            </w:r>
          </w:p>
        </w:tc>
      </w:tr>
    </w:tbl>
    <w:p>
      <w:pPr>
        <w:pStyle w:val="Default"/>
        <w:spacing w:before="0" w:after="160" w:line="240" w:lineRule="auto"/>
      </w:pPr>
    </w:p>
    <w:p>
      <w:bookmarkStart w:id="8" w:name="c08"/>
      <w:pPr>
        <w:pStyle w:val="Heading1"/>
        <w:keepNext/>
        <w:spacing w:before="120" w:after="160" w:line="240" w:lineRule="auto"/>
      </w:pPr>
      <w:r>
        <w:rPr>
          <w:rFonts w:ascii="Arial Unicode MS" w:hAnsi="Arial Unicode MS" w:cs="Arial Unicode MS" w:eastAsia="Arial Unicode MS"/>
          <w:b w:val="0"/>
          <w:i w:val="0"/>
          <w:color w:val="000000"/>
          <w:sz w:val="50"/>
        </w:rPr>
        <w:t>Where things live, and how they come back</w:t>
      </w:r>
      <w:bookmarkEnd w:id="8"/>
    </w:p>
    <w:p>
      <w:pPr>
        <w:pStyle w:val="Default"/>
        <w:spacing w:before="0" w:after="160" w:line="240" w:lineRule="auto"/>
      </w:pPr>
      <w:r>
        <w:rPr>
          <w:rFonts w:ascii="Arial Unicode MS" w:hAnsi="Arial Unicode MS" w:cs="Arial Unicode MS" w:eastAsia="Arial Unicode MS"/>
          <w:b w:val="0"/>
          <w:i w:val="0"/>
          <w:color w:val="000000"/>
          <w:sz w:val="20"/>
        </w:rPr>
        <w:t>The application and its database run together on Laravel Cloud, on Amazon Web Services, in the United States. They are not split across two unrelated computer rooms. In front of that sits Cloudflare. Document bytes sit in a private object store (Cloudflare R2) and are mirrored to Microsoft 365 / SharePoint.</w:t>
      </w:r>
    </w:p>
    <w:p>
      <w:pPr>
        <w:pStyle w:val="Default"/>
        <w:spacing w:before="120" w:after="40" w:line="240" w:lineRule="auto"/>
      </w:pPr>
      <w:r>
        <w:drawing>
          <wp:inline xmlns:a="http://schemas.openxmlformats.org/drawingml/2006/main" xmlns:pic="http://schemas.openxmlformats.org/drawingml/2006/picture">
            <wp:extent cx="5120640" cy="2655147"/>
            <wp:docPr id="1073741833" name="Picture 1073741833"/>
            <wp:cNvGraphicFramePr>
              <a:graphicFrameLocks noChangeAspect="1"/>
            </wp:cNvGraphicFramePr>
            <a:graphic>
              <a:graphicData uri="http://schemas.openxmlformats.org/drawingml/2006/picture">
                <pic:pic>
                  <pic:nvPicPr>
                    <pic:cNvPr id="0" name="chart-backup.png"/>
                    <pic:cNvPicPr/>
                  </pic:nvPicPr>
                  <pic:blipFill>
                    <a:blip r:embed="rId29"/>
                    <a:stretch>
                      <a:fillRect/>
                    </a:stretch>
                  </pic:blipFill>
                  <pic:spPr>
                    <a:xfrm>
                      <a:off x="0" y="0"/>
                      <a:ext cx="5120640" cy="2655147"/>
                    </a:xfrm>
                    <a:prstGeom prst="rect"/>
                  </pic:spPr>
                </pic:pic>
              </a:graphicData>
            </a:graphic>
          </wp:inline>
        </w:drawing>
      </w:r>
    </w:p>
    <w:p>
      <w:pPr>
        <w:pStyle w:val="Caption"/>
        <w:spacing w:before="80" w:after="200" w:line="240" w:lineRule="auto"/>
      </w:pPr>
      <w:r>
        <w:rPr>
          <w:rFonts w:ascii="Arial Unicode MS" w:hAnsi="Arial Unicode MS" w:cs="Arial Unicode MS" w:eastAsia="Arial Unicode MS"/>
          <w:b w:val="0"/>
          <w:i/>
          <w:color w:val="0E2841"/>
          <w:sz w:val="18"/>
        </w:rPr>
        <w:t>Figure 8. Three copies: the working store, the Microsoft mirror, and the daily host backup.</w:t>
      </w:r>
    </w:p>
    <w:tbl>
      <w:tblPr>
        <w:tblStyle w:val="Style1"/>
        <w:tblLook w:firstColumn="1" w:firstRow="1" w:lastColumn="0" w:lastRow="0" w:noHBand="0" w:noVBand="1" w:val="04A0"/>
        <w:tblW w:w="10440" w:type="dxa"/>
      </w:tblPr>
      <w:tblGrid>
        <w:gridCol w:w="2700"/>
        <w:gridCol w:w="7740"/>
      </w:tblGrid>
      <w:tr>
        <w:tc>
          <w:tcPr>
            <w:tcW w:type="dxa" w:w="2700"/>
            <w:shd w:val="clear" w:color="auto" w:fill="F2F2F2"/>
            <w:tcBorders>
              <w:top w:val="nil"/>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i w:val="0"/>
                <w:color w:val="000000"/>
                <w:sz w:val="20"/>
              </w:rPr>
              <w:t>Copy</w:t>
            </w:r>
          </w:p>
        </w:tc>
        <w:tc>
          <w:tcPr>
            <w:tcW w:type="dxa" w:w="7740"/>
            <w:shd w:val="clear" w:color="auto" w:fill="F2F2F2"/>
            <w:tcBorders>
              <w:top w:val="nil"/>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i w:val="0"/>
                <w:color w:val="000000"/>
                <w:sz w:val="20"/>
              </w:rPr>
              <w:t>What it is for</w:t>
            </w:r>
          </w:p>
        </w:tc>
      </w:tr>
      <w:tr>
        <w:tc>
          <w:tcPr>
            <w:tcW w:type="dxa" w:w="2700"/>
            <w:tcBorders>
              <w:top w:val="single" w:sz="4" w:space="0" w:color="auto"/>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Portal store (R2)</w:t>
            </w:r>
          </w:p>
        </w:tc>
        <w:tc>
          <w:tcPr>
            <w:tcW w:type="dxa" w:w="7740"/>
            <w:tcBorders>
              <w:top w:val="single" w:sz="4" w:space="0" w:color="auto"/>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The files you open while you work. Encrypted at rest.</w:t>
            </w:r>
          </w:p>
        </w:tc>
      </w:tr>
      <w:tr>
        <w:tc>
          <w:tcPr>
            <w:tcW w:type="dxa" w:w="2700"/>
            <w:shd w:val="clear" w:color="auto" w:fill="F2F2F2"/>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Microsoft 365 / SharePoint</w:t>
            </w:r>
          </w:p>
        </w:tc>
        <w:tc>
          <w:tcPr>
            <w:tcW w:type="dxa" w:w="7740"/>
            <w:shd w:val="clear" w:color="auto" w:fill="F2F2F2"/>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A live mirror. If the portal is down, the firm's document set is still in SharePoint.</w:t>
            </w:r>
          </w:p>
        </w:tc>
      </w:tr>
      <w:tr>
        <w:tc>
          <w:tcPr>
            <w:tcW w:type="dxa" w:w="2700"/>
            <w:tcBorders>
              <w:top w:val="nil"/>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i w:val="0"/>
                <w:color w:val="000000"/>
                <w:sz w:val="20"/>
              </w:rPr>
              <w:t>Daily host backup</w:t>
            </w:r>
          </w:p>
        </w:tc>
        <w:tc>
          <w:tcPr>
            <w:tcW w:type="dxa" w:w="7740"/>
            <w:tcBorders>
              <w:top w:val="nil"/>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A once-a-day copy of the site on Laravel Cloud, for disaster recovery of the application itself.</w:t>
            </w:r>
          </w:p>
        </w:tc>
      </w:tr>
    </w:tbl>
    <w:p>
      <w:pPr>
        <w:pStyle w:val="Default"/>
        <w:spacing w:before="0" w:after="160" w:line="240" w:lineRule="auto"/>
      </w:pPr>
    </w:p>
    <w:p>
      <w:pPr>
        <w:pStyle w:val="Default"/>
        <w:spacing w:before="0" w:after="160" w:line="240" w:lineRule="auto"/>
      </w:pPr>
      <w:r>
        <w:rPr>
          <w:rFonts w:ascii="Arial Unicode MS" w:hAnsi="Arial Unicode MS" w:cs="Arial Unicode MS" w:eastAsia="Arial Unicode MS"/>
          <w:b w:val="0"/>
          <w:i w:val="0"/>
          <w:color w:val="000000"/>
          <w:sz w:val="20"/>
        </w:rPr>
        <w:t>There is an audit record of activity on the site: who did what, and when, including access to documents. That log is not a screen a user can edit.</w:t>
      </w:r>
    </w:p>
    <w:p>
      <w:bookmarkStart w:id="9" w:name="c09"/>
      <w:pPr>
        <w:pStyle w:val="Heading1"/>
        <w:keepNext/>
        <w:spacing w:before="120" w:after="160" w:line="240" w:lineRule="auto"/>
      </w:pPr>
      <w:r>
        <w:rPr>
          <w:rFonts w:ascii="Arial Unicode MS" w:hAnsi="Arial Unicode MS" w:cs="Arial Unicode MS" w:eastAsia="Arial Unicode MS"/>
          <w:b w:val="0"/>
          <w:i w:val="0"/>
          <w:color w:val="000000"/>
          <w:sz w:val="50"/>
        </w:rPr>
        <w:t>Bespoke AI — use it</w:t>
      </w:r>
      <w:bookmarkEnd w:id="9"/>
    </w:p>
    <w:p>
      <w:pPr>
        <w:pStyle w:val="Default"/>
        <w:spacing w:before="0" w:after="160" w:line="240" w:lineRule="auto"/>
      </w:pPr>
      <w:r>
        <w:rPr>
          <w:rFonts w:ascii="Arial Unicode MS" w:hAnsi="Arial Unicode MS" w:cs="Arial Unicode MS" w:eastAsia="Arial Unicode MS"/>
          <w:b w:val="0"/>
          <w:i w:val="0"/>
          <w:color w:val="000000"/>
          <w:sz w:val="20"/>
        </w:rPr>
        <w:t>The portal includes a built-in assistant named Bespoke AI. It answers questions about this portal: how a workflow moves, which field is required, who to write to when something is wrong. It is not a general chatbot. It cannot see other firms' files. It cannot see API keys. It cannot change a file until you confirm the action on screen.</w:t>
      </w:r>
    </w:p>
    <w:p>
      <w:pPr>
        <w:pStyle w:val="ListParagraph"/>
        <w:spacing w:before="0" w:after="80" w:line="240" w:lineRule="auto"/>
        <w:ind w:left="360"/>
      </w:pPr>
      <w:r>
        <w:rPr>
          <w:rFonts w:ascii="Arial Unicode MS" w:hAnsi="Arial Unicode MS" w:cs="Arial Unicode MS" w:eastAsia="Arial Unicode MS"/>
          <w:b w:val="0"/>
          <w:i w:val="0"/>
          <w:color w:val="000000"/>
          <w:sz w:val="20"/>
        </w:rPr>
        <w:t>•  Ask how a Pre-Approval or Post-Approval step works, in the language you already use.</w:t>
      </w:r>
    </w:p>
    <w:p>
      <w:pPr>
        <w:pStyle w:val="ListParagraph"/>
        <w:spacing w:before="0" w:after="80" w:line="240" w:lineRule="auto"/>
        <w:ind w:left="360"/>
      </w:pPr>
      <w:r>
        <w:rPr>
          <w:rFonts w:ascii="Arial Unicode MS" w:hAnsi="Arial Unicode MS" w:cs="Arial Unicode MS" w:eastAsia="Arial Unicode MS"/>
          <w:b w:val="0"/>
          <w:i w:val="0"/>
          <w:color w:val="000000"/>
          <w:sz w:val="20"/>
        </w:rPr>
        <w:t>•  Ask what is still missing on the application you have open.</w:t>
      </w:r>
    </w:p>
    <w:p>
      <w:pPr>
        <w:pStyle w:val="ListParagraph"/>
        <w:spacing w:before="0" w:after="80" w:line="240" w:lineRule="auto"/>
        <w:ind w:left="360"/>
      </w:pPr>
      <w:r>
        <w:rPr>
          <w:rFonts w:ascii="Arial Unicode MS" w:hAnsi="Arial Unicode MS" w:cs="Arial Unicode MS" w:eastAsia="Arial Unicode MS"/>
          <w:b w:val="0"/>
          <w:i w:val="0"/>
          <w:color w:val="000000"/>
          <w:sz w:val="20"/>
        </w:rPr>
        <w:t>•  Ask who to contact about a portal fault — it will point you to support@tmantoinelaw.com and to Messages.</w:t>
      </w:r>
    </w:p>
    <w:p>
      <w:pPr>
        <w:pStyle w:val="ListParagraph"/>
        <w:spacing w:before="0" w:after="80" w:line="240" w:lineRule="auto"/>
        <w:ind w:left="360"/>
      </w:pPr>
      <w:r>
        <w:rPr>
          <w:rFonts w:ascii="Arial Unicode MS" w:hAnsi="Arial Unicode MS" w:cs="Arial Unicode MS" w:eastAsia="Arial Unicode MS"/>
          <w:b w:val="0"/>
          <w:i w:val="0"/>
          <w:color w:val="000000"/>
          <w:sz w:val="20"/>
        </w:rPr>
        <w:t>•  Do not paste passwords, authenticator codes, or passport numbers into the assistant unless you are asking about a field that already holds that data on the page.</w:t>
      </w:r>
    </w:p>
    <w:tbl>
      <w:tblPr>
        <w:tblStyle w:val="Style1"/>
        <w:tblW w:type="auto" w:w="0"/>
        <w:tblLook w:firstColumn="1" w:firstRow="1" w:lastColumn="0" w:lastRow="0" w:noHBand="0" w:noVBand="1" w:val="04A0"/>
        <w:tblW w:w="10440" w:type="dxa"/>
      </w:tblPr>
      <w:tblGrid>
        <w:gridCol w:w="5233"/>
        <w:gridCol w:w="5233"/>
      </w:tblGrid>
      <w:tr>
        <w:tc>
          <w:tcPr>
            <w:tcW w:type="dxa" w:w="1800"/>
            <w:shd w:val="clear" w:color="auto" w:fill="F2F2F2"/>
            <w:tcBorders>
              <w:top w:val="single" w:sz="4" w:space="0" w:color="auto"/>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i w:val="0"/>
                <w:color w:val="000000"/>
                <w:sz w:val="20"/>
              </w:rPr>
              <w:t>TIP</w:t>
            </w:r>
          </w:p>
        </w:tc>
        <w:tc>
          <w:tcPr>
            <w:tcW w:type="dxa" w:w="8640"/>
            <w:shd w:val="clear" w:color="auto" w:fill="F2F2F2"/>
            <w:tcBorders>
              <w:top w:val="single" w:sz="4" w:space="0" w:color="auto"/>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If you are stuck, ask Bespoke AI before you wait on email. For a true outage or an account that cannot sign in, email support@tmantoinelaw.com.</w:t>
            </w:r>
          </w:p>
        </w:tc>
      </w:tr>
    </w:tbl>
    <w:p>
      <w:pPr>
        <w:pStyle w:val="Default"/>
        <w:spacing w:before="0" w:after="200" w:line="240" w:lineRule="auto"/>
      </w:pPr>
    </w:p>
    <w:p>
      <w:bookmarkStart w:id="10" w:name="c10"/>
      <w:pPr>
        <w:pStyle w:val="Heading1"/>
        <w:keepNext/>
        <w:spacing w:before="120" w:after="160" w:line="240" w:lineRule="auto"/>
      </w:pPr>
      <w:r>
        <w:rPr>
          <w:rFonts w:ascii="Arial Unicode MS" w:hAnsi="Arial Unicode MS" w:cs="Arial Unicode MS" w:eastAsia="Arial Unicode MS"/>
          <w:b w:val="0"/>
          <w:i w:val="0"/>
          <w:color w:val="000000"/>
          <w:sz w:val="50"/>
        </w:rPr>
        <w:t>If something goes wrong</w:t>
      </w:r>
      <w:bookmarkEnd w:id="10"/>
    </w:p>
    <w:p>
      <w:pPr>
        <w:pStyle w:val="Default"/>
        <w:spacing w:before="120" w:after="40" w:line="240" w:lineRule="auto"/>
      </w:pPr>
      <w:r>
        <w:drawing>
          <wp:inline xmlns:a="http://schemas.openxmlformats.org/drawingml/2006/main" xmlns:pic="http://schemas.openxmlformats.org/drawingml/2006/picture">
            <wp:extent cx="5669280" cy="6868221"/>
            <wp:docPr id="1073741834" name="Picture 1073741834"/>
            <wp:cNvGraphicFramePr>
              <a:graphicFrameLocks noChangeAspect="1"/>
            </wp:cNvGraphicFramePr>
            <a:graphic>
              <a:graphicData uri="http://schemas.openxmlformats.org/drawingml/2006/picture">
                <pic:pic>
                  <pic:nvPicPr>
                    <pic:cNvPr id="0" name="image.png"/>
                    <pic:cNvPicPr/>
                  </pic:nvPicPr>
                  <pic:blipFill>
                    <a:blip r:embed="rId18"/>
                    <a:stretch>
                      <a:fillRect/>
                    </a:stretch>
                  </pic:blipFill>
                  <pic:spPr>
                    <a:xfrm>
                      <a:off x="0" y="0"/>
                      <a:ext cx="5669280" cy="6868221"/>
                    </a:xfrm>
                    <a:prstGeom prst="rect"/>
                  </pic:spPr>
                </pic:pic>
              </a:graphicData>
            </a:graphic>
          </wp:inline>
        </w:drawing>
      </w:r>
    </w:p>
    <w:p>
      <w:pPr>
        <w:pStyle w:val="Caption"/>
        <w:spacing w:before="80" w:after="200" w:line="240" w:lineRule="auto"/>
      </w:pPr>
      <w:r>
        <w:rPr>
          <w:rFonts w:ascii="Arial Unicode MS" w:hAnsi="Arial Unicode MS" w:cs="Arial Unicode MS" w:eastAsia="Arial Unicode MS"/>
          <w:b w:val="0"/>
          <w:i/>
          <w:color w:val="0E2841"/>
          <w:sz w:val="18"/>
        </w:rPr>
        <w:t>Figure 9. Built-in Messages. You can write to TM ANTOINE administrators from inside the portal when you can still sign in.</w:t>
      </w:r>
    </w:p>
    <w:p>
      <w:pPr>
        <w:pStyle w:val="Default"/>
        <w:spacing w:before="0" w:after="160" w:line="240" w:lineRule="auto"/>
      </w:pPr>
      <w:r>
        <w:rPr>
          <w:rFonts w:ascii="Arial Unicode MS" w:hAnsi="Arial Unicode MS" w:cs="Arial Unicode MS" w:eastAsia="Arial Unicode MS"/>
          <w:b w:val="0"/>
          <w:i w:val="0"/>
          <w:color w:val="000000"/>
          <w:sz w:val="20"/>
        </w:rPr>
        <w:t>When the portal itself is the problem — an error page, a file that will not upload, an outage during an active application — write to support@tmantoinelaw.com. That mailbox is shared with TM ANTOINE administrators, so it does not depend on one person being at their desk. Target response is within an hour, pending availability.</w:t>
      </w:r>
    </w:p>
    <w:tbl>
      <w:tblPr>
        <w:tblStyle w:val="Style1"/>
        <w:tblLook w:firstColumn="1" w:firstRow="1" w:lastColumn="0" w:lastRow="0" w:noHBand="0" w:noVBand="1" w:val="04A0"/>
        <w:tblW w:w="10440" w:type="dxa"/>
      </w:tblPr>
      <w:tblGrid>
        <w:gridCol w:w="2700"/>
        <w:gridCol w:w="7740"/>
      </w:tblGrid>
      <w:tr>
        <w:tc>
          <w:tcPr>
            <w:tcW w:type="dxa" w:w="2700"/>
            <w:shd w:val="clear" w:color="auto" w:fill="F2F2F2"/>
            <w:tcBorders>
              <w:top w:val="nil"/>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i w:val="0"/>
                <w:color w:val="000000"/>
                <w:sz w:val="20"/>
              </w:rPr>
              <w:t>Person</w:t>
            </w:r>
          </w:p>
        </w:tc>
        <w:tc>
          <w:tcPr>
            <w:tcW w:type="dxa" w:w="7740"/>
            <w:shd w:val="clear" w:color="auto" w:fill="F2F2F2"/>
            <w:tcBorders>
              <w:top w:val="nil"/>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i w:val="0"/>
                <w:color w:val="000000"/>
                <w:sz w:val="20"/>
              </w:rPr>
              <w:t>Role in support</w:t>
            </w:r>
          </w:p>
        </w:tc>
      </w:tr>
      <w:tr>
        <w:tc>
          <w:tcPr>
            <w:tcW w:type="dxa" w:w="2700"/>
            <w:tcBorders>
              <w:top w:val="single" w:sz="4" w:space="0" w:color="auto"/>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Vernon Francis</w:t>
            </w:r>
          </w:p>
        </w:tc>
        <w:tc>
          <w:tcPr>
            <w:tcW w:type="dxa" w:w="7740"/>
            <w:tcBorders>
              <w:top w:val="single" w:sz="4" w:space="0" w:color="auto"/>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Primary technical contact for portal faults.</w:t>
            </w:r>
          </w:p>
        </w:tc>
      </w:tr>
      <w:tr>
        <w:tc>
          <w:tcPr>
            <w:tcW w:type="dxa" w:w="2700"/>
            <w:shd w:val="clear" w:color="auto" w:fill="F2F2F2"/>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Cindy McLean</w:t>
            </w:r>
          </w:p>
        </w:tc>
        <w:tc>
          <w:tcPr>
            <w:tcW w:type="dxa" w:w="7740"/>
            <w:shd w:val="clear" w:color="auto" w:fill="F2F2F2"/>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TM ANTOINE administrator. Reachable by email or Messages.</w:t>
            </w:r>
          </w:p>
        </w:tc>
      </w:tr>
      <w:tr>
        <w:tc>
          <w:tcPr>
            <w:tcW w:type="dxa" w:w="2700"/>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Emmanuel McLean</w:t>
            </w:r>
          </w:p>
        </w:tc>
        <w:tc>
          <w:tcPr>
            <w:tcW w:type="dxa" w:w="7740"/>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TM ANTOINE administrator. Reachable by email or Messages.</w:t>
            </w:r>
          </w:p>
        </w:tc>
      </w:tr>
      <w:tr>
        <w:tc>
          <w:tcPr>
            <w:tcW w:type="dxa" w:w="2700"/>
            <w:shd w:val="clear" w:color="auto" w:fill="F2F2F2"/>
            <w:tcBorders>
              <w:top w:val="nil"/>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i w:val="0"/>
                <w:color w:val="000000"/>
                <w:sz w:val="20"/>
              </w:rPr>
              <w:t>Krishna Manru</w:t>
            </w:r>
          </w:p>
        </w:tc>
        <w:tc>
          <w:tcPr>
            <w:tcW w:type="dxa" w:w="7740"/>
            <w:shd w:val="clear" w:color="auto" w:fill="F2F2F2"/>
            <w:tcBorders>
              <w:top w:val="nil"/>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TM ANTOINE administrator. Reachable by email or Messages.</w:t>
            </w:r>
          </w:p>
        </w:tc>
      </w:tr>
    </w:tbl>
    <w:p>
      <w:pPr>
        <w:pStyle w:val="Default"/>
        <w:spacing w:before="0" w:after="160" w:line="240" w:lineRule="auto"/>
      </w:pPr>
    </w:p>
    <w:p>
      <w:pPr>
        <w:pStyle w:val="Default"/>
        <w:spacing w:before="0" w:after="160" w:line="240" w:lineRule="auto"/>
      </w:pPr>
      <w:r>
        <w:rPr>
          <w:rFonts w:ascii="Arial Unicode MS" w:hAnsi="Arial Unicode MS" w:cs="Arial Unicode MS" w:eastAsia="Arial Unicode MS"/>
          <w:b w:val="0"/>
          <w:i w:val="0"/>
          <w:color w:val="000000"/>
          <w:sz w:val="20"/>
        </w:rPr>
        <w:t>In the message include the page you were on, the account email, the CIP application number if there is one, and what you clicked. Never include a sign-in code or an authenticator code.</w:t>
      </w:r>
    </w:p>
    <w:p>
      <w:bookmarkStart w:id="11" w:name="c11"/>
      <w:pPr>
        <w:pStyle w:val="Heading1"/>
        <w:keepNext/>
        <w:spacing w:before="120" w:after="160" w:line="240" w:lineRule="auto"/>
      </w:pPr>
      <w:r>
        <w:rPr>
          <w:rFonts w:ascii="Arial Unicode MS" w:hAnsi="Arial Unicode MS" w:cs="Arial Unicode MS" w:eastAsia="Arial Unicode MS"/>
          <w:b w:val="0"/>
          <w:i w:val="0"/>
          <w:color w:val="000000"/>
          <w:sz w:val="50"/>
        </w:rPr>
        <w:t>Questions we have already been asked</w:t>
      </w:r>
      <w:bookmarkEnd w:id="11"/>
    </w:p>
    <w:p>
      <w:pPr>
        <w:pStyle w:val="Default"/>
        <w:spacing w:before="0" w:after="160" w:line="240" w:lineRule="auto"/>
      </w:pPr>
      <w:r>
        <w:rPr>
          <w:rFonts w:ascii="Arial Unicode MS" w:hAnsi="Arial Unicode MS" w:cs="Arial Unicode MS" w:eastAsia="Arial Unicode MS"/>
          <w:b w:val="0"/>
          <w:i w:val="0"/>
          <w:color w:val="000000"/>
          <w:sz w:val="20"/>
        </w:rPr>
        <w:t>The answers below are the ones we want on file with your compliance team. They match this briefing. Where work is still in progress, the sentence says so.</w:t>
      </w:r>
    </w:p>
    <w:p>
      <w:pPr>
        <w:pStyle w:val="Default"/>
        <w:keepNext/>
        <w:spacing w:before="240" w:after="120" w:line="240" w:lineRule="auto"/>
      </w:pPr>
      <w:r>
        <w:rPr>
          <w:rFonts w:ascii="Arial Unicode MS" w:hAnsi="Arial Unicode MS" w:cs="Arial Unicode MS" w:eastAsia="Arial Unicode MS"/>
          <w:b/>
          <w:i w:val="0"/>
          <w:color w:val="000000"/>
          <w:sz w:val="20"/>
        </w:rPr>
        <w:t>1. Authenticity and ownership</w:t>
      </w:r>
    </w:p>
    <w:tbl>
      <w:tblPr>
        <w:tblStyle w:val="Style1"/>
        <w:tblLook w:firstColumn="1" w:firstRow="1" w:lastColumn="0" w:lastRow="0" w:noHBand="0" w:noVBand="1" w:val="04A0"/>
        <w:tblW w:w="10440" w:type="dxa"/>
      </w:tblPr>
      <w:tblGrid>
        <w:gridCol w:w="3600"/>
        <w:gridCol w:w="6840"/>
      </w:tblGrid>
      <w:tr>
        <w:tc>
          <w:tcPr>
            <w:tcW w:type="dxa" w:w="3600"/>
            <w:shd w:val="clear" w:color="auto" w:fill="F2F2F2"/>
            <w:tcBorders>
              <w:top w:val="nil"/>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i w:val="0"/>
                <w:color w:val="000000"/>
                <w:sz w:val="20"/>
              </w:rPr>
              <w:t>Question</w:t>
            </w:r>
          </w:p>
        </w:tc>
        <w:tc>
          <w:tcPr>
            <w:tcW w:type="dxa" w:w="6840"/>
            <w:shd w:val="clear" w:color="auto" w:fill="F2F2F2"/>
            <w:tcBorders>
              <w:top w:val="nil"/>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i w:val="0"/>
                <w:color w:val="000000"/>
                <w:sz w:val="20"/>
              </w:rPr>
              <w:t>Answer</w:t>
            </w:r>
          </w:p>
        </w:tc>
      </w:tr>
      <w:tr>
        <w:tc>
          <w:tcPr>
            <w:tcW w:type="dxa" w:w="3600"/>
            <w:tcBorders>
              <w:top w:val="single" w:sz="4" w:space="0" w:color="auto"/>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The invitation mentioned support@tmantoine.com, while the portal is on tmantoinelaw.com. How are the domains related?</w:t>
            </w:r>
          </w:p>
        </w:tc>
        <w:tc>
          <w:tcPr>
            <w:tcW w:type="dxa" w:w="6840"/>
            <w:tcBorders>
              <w:top w:val="single" w:sz="4" w:space="0" w:color="auto"/>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One firm. portal.tmantoinelaw.com and portal@tmantoinelaw.com are live. support@tmantoine.com was used for staging. Use support@tmantoinelaw.com from now on.</w:t>
            </w:r>
          </w:p>
        </w:tc>
      </w:tr>
      <w:tr>
        <w:tc>
          <w:tcPr>
            <w:tcW w:type="dxa" w:w="3600"/>
            <w:shd w:val="clear" w:color="auto" w:fill="F2F2F2"/>
            <w:tcBorders>
              <w:top w:val="nil"/>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i w:val="0"/>
                <w:color w:val="000000"/>
                <w:sz w:val="20"/>
              </w:rPr>
              <w:t>Is the portal built in-house, or a licensed / white-label platform? If the latter, who is the vendor?</w:t>
            </w:r>
          </w:p>
        </w:tc>
        <w:tc>
          <w:tcPr>
            <w:tcW w:type="dxa" w:w="6840"/>
            <w:shd w:val="clear" w:color="auto" w:fill="F2F2F2"/>
            <w:tcBorders>
              <w:top w:val="nil"/>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Built in-house by TM ANTOINE. There is no underlying portal vendor to name.</w:t>
            </w:r>
          </w:p>
        </w:tc>
      </w:tr>
    </w:tbl>
    <w:p>
      <w:pPr>
        <w:pStyle w:val="Default"/>
        <w:spacing w:before="0" w:after="160" w:line="240" w:lineRule="auto"/>
      </w:pPr>
    </w:p>
    <w:p>
      <w:pPr>
        <w:pStyle w:val="Default"/>
        <w:keepNext/>
        <w:spacing w:before="240" w:after="120" w:line="240" w:lineRule="auto"/>
      </w:pPr>
      <w:r>
        <w:rPr>
          <w:rFonts w:ascii="Arial Unicode MS" w:hAnsi="Arial Unicode MS" w:cs="Arial Unicode MS" w:eastAsia="Arial Unicode MS"/>
          <w:b/>
          <w:i w:val="0"/>
          <w:color w:val="000000"/>
          <w:sz w:val="20"/>
        </w:rPr>
        <w:t>2. Security</w:t>
      </w:r>
    </w:p>
    <w:tbl>
      <w:tblPr>
        <w:tblStyle w:val="Style1"/>
        <w:tblLook w:firstColumn="1" w:firstRow="1" w:lastColumn="0" w:lastRow="0" w:noHBand="0" w:noVBand="1" w:val="04A0"/>
        <w:tblW w:w="10440" w:type="dxa"/>
      </w:tblPr>
      <w:tblGrid>
        <w:gridCol w:w="3600"/>
        <w:gridCol w:w="6840"/>
      </w:tblGrid>
      <w:tr>
        <w:tc>
          <w:tcPr>
            <w:tcW w:type="dxa" w:w="3600"/>
            <w:shd w:val="clear" w:color="auto" w:fill="F2F2F2"/>
            <w:tcBorders>
              <w:top w:val="nil"/>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i w:val="0"/>
                <w:color w:val="000000"/>
                <w:sz w:val="20"/>
              </w:rPr>
              <w:t>Question</w:t>
            </w:r>
          </w:p>
        </w:tc>
        <w:tc>
          <w:tcPr>
            <w:tcW w:type="dxa" w:w="6840"/>
            <w:shd w:val="clear" w:color="auto" w:fill="F2F2F2"/>
            <w:tcBorders>
              <w:top w:val="nil"/>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i w:val="0"/>
                <w:color w:val="000000"/>
                <w:sz w:val="20"/>
              </w:rPr>
              <w:t>Answer</w:t>
            </w:r>
          </w:p>
        </w:tc>
      </w:tr>
      <w:tr>
        <w:tc>
          <w:tcPr>
            <w:tcW w:type="dxa" w:w="3600"/>
            <w:tcBorders>
              <w:top w:val="single" w:sz="4" w:space="0" w:color="auto"/>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Where is the portal hosted (provider and data-centre region)?</w:t>
            </w:r>
          </w:p>
        </w:tc>
        <w:tc>
          <w:tcPr>
            <w:tcW w:type="dxa" w:w="6840"/>
            <w:tcBorders>
              <w:top w:val="single" w:sz="4" w:space="0" w:color="auto"/>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Laravel Cloud on Amazon Web Services, United States, with Cloudflare in front.</w:t>
            </w:r>
          </w:p>
        </w:tc>
      </w:tr>
      <w:tr>
        <w:tc>
          <w:tcPr>
            <w:tcW w:type="dxa" w:w="3600"/>
            <w:shd w:val="clear" w:color="auto" w:fill="F2F2F2"/>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Is data encrypted in transit (TLS) and at rest?</w:t>
            </w:r>
          </w:p>
        </w:tc>
        <w:tc>
          <w:tcPr>
            <w:tcW w:type="dxa" w:w="6840"/>
            <w:shd w:val="clear" w:color="auto" w:fill="F2F2F2"/>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Yes. HTTPS/TLS on the path. Vault files stored as ciphertext. Cloudflare R2 for object storage.</w:t>
            </w:r>
          </w:p>
        </w:tc>
      </w:tr>
      <w:tr>
        <w:tc>
          <w:tcPr>
            <w:tcW w:type="dxa" w:w="3600"/>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Is multi-factor authentication available or enforced for service-provider accounts?</w:t>
            </w:r>
          </w:p>
        </w:tc>
        <w:tc>
          <w:tcPr>
            <w:tcW w:type="dxa" w:w="6840"/>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Available today: a six-digit code to the email on file when the device changes. After this webinar, an authenticator app will be required for every service-provider account.</w:t>
            </w:r>
          </w:p>
        </w:tc>
      </w:tr>
      <w:tr>
        <w:tc>
          <w:tcPr>
            <w:tcW w:type="dxa" w:w="3600"/>
            <w:shd w:val="clear" w:color="auto" w:fill="F2F2F2"/>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What can a company member see — every application for our company, or only ones they create?</w:t>
            </w:r>
          </w:p>
        </w:tc>
        <w:tc>
          <w:tcPr>
            <w:tcW w:type="dxa" w:w="6840"/>
            <w:shd w:val="clear" w:color="auto" w:fill="F2F2F2"/>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Every application for the company. Membership is at firm level, not at 'my files only'.</w:t>
            </w:r>
          </w:p>
        </w:tc>
      </w:tr>
      <w:tr>
        <w:tc>
          <w:tcPr>
            <w:tcW w:type="dxa" w:w="3600"/>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Independent testing (penetration test, vulnerability scan) or ISO 27001 / SOC 2?</w:t>
            </w:r>
          </w:p>
        </w:tc>
        <w:tc>
          <w:tcPr>
            <w:tcW w:type="dxa" w:w="6840"/>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We have done security testing on the platform, including injection, unsafe uploads, and access between accounts. A full independent penetration test is not complete yet. We do not currently hold ISO 27001 or SOC 2. We will share the outcome when that work is finished.</w:t>
            </w:r>
          </w:p>
        </w:tc>
      </w:tr>
      <w:tr>
        <w:tc>
          <w:tcPr>
            <w:tcW w:type="dxa" w:w="3600"/>
            <w:shd w:val="clear" w:color="auto" w:fill="F2F2F2"/>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Backup and disaster recovery?</w:t>
            </w:r>
          </w:p>
        </w:tc>
        <w:tc>
          <w:tcPr>
            <w:tcW w:type="dxa" w:w="6840"/>
            <w:shd w:val="clear" w:color="auto" w:fill="F2F2F2"/>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Working files in the portal store; a Microsoft 365 / SharePoint mirror; a daily backup of the site with the hosting provider.</w:t>
            </w:r>
          </w:p>
        </w:tc>
      </w:tr>
      <w:tr>
        <w:tc>
          <w:tcPr>
            <w:tcW w:type="dxa" w:w="3600"/>
            <w:tcBorders>
              <w:top w:val="nil"/>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i w:val="0"/>
                <w:color w:val="000000"/>
                <w:sz w:val="20"/>
              </w:rPr>
              <w:t>Is there an audit log of who accessed or downloaded a document?</w:t>
            </w:r>
          </w:p>
        </w:tc>
        <w:tc>
          <w:tcPr>
            <w:tcW w:type="dxa" w:w="6840"/>
            <w:tcBorders>
              <w:top w:val="nil"/>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Yes. Activity on the site is recorded: who, what, when. Users cannot edit that record.</w:t>
            </w:r>
          </w:p>
        </w:tc>
      </w:tr>
    </w:tbl>
    <w:p>
      <w:pPr>
        <w:pStyle w:val="Default"/>
        <w:spacing w:before="0" w:after="160" w:line="240" w:lineRule="auto"/>
      </w:pPr>
    </w:p>
    <w:p>
      <w:pPr>
        <w:pStyle w:val="Default"/>
        <w:keepNext/>
        <w:spacing w:before="240" w:after="120" w:line="240" w:lineRule="auto"/>
      </w:pPr>
      <w:r>
        <w:rPr>
          <w:rFonts w:ascii="Arial Unicode MS" w:hAnsi="Arial Unicode MS" w:cs="Arial Unicode MS" w:eastAsia="Arial Unicode MS"/>
          <w:b/>
          <w:i w:val="0"/>
          <w:color w:val="000000"/>
          <w:sz w:val="20"/>
        </w:rPr>
        <w:t>3. Data protection</w:t>
      </w:r>
    </w:p>
    <w:tbl>
      <w:tblPr>
        <w:tblStyle w:val="Style1"/>
        <w:tblLook w:firstColumn="1" w:firstRow="1" w:lastColumn="0" w:lastRow="0" w:noHBand="0" w:noVBand="1" w:val="04A0"/>
        <w:tblW w:w="10440" w:type="dxa"/>
      </w:tblPr>
      <w:tblGrid>
        <w:gridCol w:w="3600"/>
        <w:gridCol w:w="6840"/>
      </w:tblGrid>
      <w:tr>
        <w:tc>
          <w:tcPr>
            <w:tcW w:type="dxa" w:w="3600"/>
            <w:shd w:val="clear" w:color="auto" w:fill="F2F2F2"/>
            <w:tcBorders>
              <w:top w:val="nil"/>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i w:val="0"/>
                <w:color w:val="000000"/>
                <w:sz w:val="20"/>
              </w:rPr>
              <w:t>Question</w:t>
            </w:r>
          </w:p>
        </w:tc>
        <w:tc>
          <w:tcPr>
            <w:tcW w:type="dxa" w:w="6840"/>
            <w:shd w:val="clear" w:color="auto" w:fill="F2F2F2"/>
            <w:tcBorders>
              <w:top w:val="nil"/>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i w:val="0"/>
                <w:color w:val="000000"/>
                <w:sz w:val="20"/>
              </w:rPr>
              <w:t>Answer</w:t>
            </w:r>
          </w:p>
        </w:tc>
      </w:tr>
      <w:tr>
        <w:tc>
          <w:tcPr>
            <w:tcW w:type="dxa" w:w="3600"/>
            <w:tcBorders>
              <w:top w:val="single" w:sz="4" w:space="0" w:color="auto"/>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Will TM ANTOINE sign a Data Processing Agreement covering data processed through the portal?</w:t>
            </w:r>
          </w:p>
        </w:tc>
        <w:tc>
          <w:tcPr>
            <w:tcW w:type="dxa" w:w="6840"/>
            <w:tcBorders>
              <w:top w:val="single" w:sz="4" w:space="0" w:color="auto"/>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Yes, subject to review by our legal team. We will work from your paper or ours.</w:t>
            </w:r>
          </w:p>
        </w:tc>
      </w:tr>
      <w:tr>
        <w:tc>
          <w:tcPr>
            <w:tcW w:type="dxa" w:w="3600"/>
            <w:shd w:val="clear" w:color="auto" w:fill="F2F2F2"/>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Saint Lucia has no EU adequacy decision. What safeguard applies to personal data of your clients?</w:t>
            </w:r>
          </w:p>
        </w:tc>
        <w:tc>
          <w:tcPr>
            <w:tcW w:type="dxa" w:w="6840"/>
            <w:shd w:val="clear" w:color="auto" w:fill="F2F2F2"/>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We collect only what the various applications require. We transfer onwards only what the Citizenship by Investment Unit, the National Insurance Corporation, and the Immigration Department need, as we did before the portal. A DPA, and Standard Contractual Clauses where they are the right tool, remain a matter for legal review with your firm.</w:t>
            </w:r>
          </w:p>
        </w:tc>
      </w:tr>
      <w:tr>
        <w:tc>
          <w:tcPr>
            <w:tcW w:type="dxa" w:w="3600"/>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Retention and deletion of applicant documents after a case closes?</w:t>
            </w:r>
          </w:p>
        </w:tc>
        <w:tc>
          <w:tcPr>
            <w:tcW w:type="dxa" w:w="6840"/>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We keep the file unless the applicant asks us to delete it after the case is closed. Documents sit in Cloudflare R2, with the Microsoft mirror described above.</w:t>
            </w:r>
          </w:p>
        </w:tc>
      </w:tr>
      <w:tr>
        <w:tc>
          <w:tcPr>
            <w:tcW w:type="dxa" w:w="3600"/>
            <w:shd w:val="clear" w:color="auto" w:fill="F2F2F2"/>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Sub-processors, and where they are?</w:t>
            </w:r>
          </w:p>
        </w:tc>
        <w:tc>
          <w:tcPr>
            <w:tcW w:type="dxa" w:w="6840"/>
            <w:shd w:val="clear" w:color="auto" w:fill="F2F2F2"/>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Laravel Cloud on AWS (United States) for the application and database. Cloudflare (including R2). Microsoft 365 / SharePoint for the document mirror. Email delivery is from the portal's own mail stack on that host.</w:t>
            </w:r>
          </w:p>
        </w:tc>
      </w:tr>
      <w:tr>
        <w:tc>
          <w:tcPr>
            <w:tcW w:type="dxa" w:w="3600"/>
            <w:tcBorders>
              <w:top w:val="nil"/>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i w:val="0"/>
                <w:color w:val="000000"/>
                <w:sz w:val="20"/>
              </w:rPr>
              <w:t>Breach notification process and timeline?</w:t>
            </w:r>
          </w:p>
        </w:tc>
        <w:tc>
          <w:tcPr>
            <w:tcW w:type="dxa" w:w="6840"/>
            <w:tcBorders>
              <w:top w:val="nil"/>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The written playbook is being finalised. Detection is continuous (sign-in events, country, unusual download volume, malware). If a breach of personal data is confirmed, we will notify affected firms without delay and will not wait for a newsletter cycle.</w:t>
            </w:r>
          </w:p>
        </w:tc>
      </w:tr>
    </w:tbl>
    <w:p>
      <w:pPr>
        <w:pStyle w:val="Default"/>
        <w:spacing w:before="0" w:after="160" w:line="240" w:lineRule="auto"/>
      </w:pPr>
    </w:p>
    <w:p>
      <w:pPr>
        <w:pStyle w:val="Default"/>
        <w:keepNext/>
        <w:spacing w:before="240" w:after="120" w:line="240" w:lineRule="auto"/>
      </w:pPr>
      <w:r>
        <w:rPr>
          <w:rFonts w:ascii="Arial Unicode MS" w:hAnsi="Arial Unicode MS" w:cs="Arial Unicode MS" w:eastAsia="Arial Unicode MS"/>
          <w:b/>
          <w:i w:val="0"/>
          <w:color w:val="000000"/>
          <w:sz w:val="20"/>
        </w:rPr>
        <w:t>4. Operational</w:t>
      </w:r>
    </w:p>
    <w:tbl>
      <w:tblPr>
        <w:tblStyle w:val="Style1"/>
        <w:tblLook w:firstColumn="1" w:firstRow="1" w:lastColumn="0" w:lastRow="0" w:noHBand="0" w:noVBand="1" w:val="04A0"/>
        <w:tblW w:w="10440" w:type="dxa"/>
      </w:tblPr>
      <w:tblGrid>
        <w:gridCol w:w="3600"/>
        <w:gridCol w:w="6840"/>
      </w:tblGrid>
      <w:tr>
        <w:tc>
          <w:tcPr>
            <w:tcW w:type="dxa" w:w="3600"/>
            <w:shd w:val="clear" w:color="auto" w:fill="F2F2F2"/>
            <w:tcBorders>
              <w:top w:val="nil"/>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i w:val="0"/>
                <w:color w:val="000000"/>
                <w:sz w:val="20"/>
              </w:rPr>
              <w:t>Question</w:t>
            </w:r>
          </w:p>
        </w:tc>
        <w:tc>
          <w:tcPr>
            <w:tcW w:type="dxa" w:w="6840"/>
            <w:shd w:val="clear" w:color="auto" w:fill="F2F2F2"/>
            <w:tcBorders>
              <w:top w:val="nil"/>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i w:val="0"/>
                <w:color w:val="000000"/>
                <w:sz w:val="20"/>
              </w:rPr>
              <w:t>Answer</w:t>
            </w:r>
          </w:p>
        </w:tc>
      </w:tr>
      <w:tr>
        <w:tc>
          <w:tcPr>
            <w:tcW w:type="dxa" w:w="3600"/>
            <w:tcBorders>
              <w:top w:val="single" w:sz="4" w:space="0" w:color="auto"/>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Who can grant or revoke service-provider accounts on our side? What happens when a staff member leaves?</w:t>
            </w:r>
          </w:p>
        </w:tc>
        <w:tc>
          <w:tcPr>
            <w:tcW w:type="dxa" w:w="6840"/>
            <w:tcBorders>
              <w:top w:val="single" w:sz="4" w:space="0" w:color="auto"/>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Your named service-provider admin adds and removes people. TM ANTOINE still approves new accounts. When you remove someone, our administrators are notified. Do that the day they leave.</w:t>
            </w:r>
          </w:p>
        </w:tc>
      </w:tr>
      <w:tr>
        <w:tc>
          <w:tcPr>
            <w:tcW w:type="dxa" w:w="3600"/>
            <w:shd w:val="clear" w:color="auto" w:fill="F2F2F2"/>
            <w:tcBorders>
              <w:top w:val="nil"/>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i w:val="0"/>
                <w:color w:val="000000"/>
                <w:sz w:val="20"/>
              </w:rPr>
              <w:t>Support contact and expected response if the portal is down during an active application?</w:t>
            </w:r>
          </w:p>
        </w:tc>
        <w:tc>
          <w:tcPr>
            <w:tcW w:type="dxa" w:w="6840"/>
            <w:shd w:val="clear" w:color="auto" w:fill="F2F2F2"/>
            <w:tcBorders>
              <w:top w:val="nil"/>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support@tmantoinelaw.com, primary contact Vernon Francis, mailbox shared with TM ANTOINE administrators. Target: within an hour, pending availability. If you can still sign in, Messages to Cindy McLean, Emmanuel McLean, Krishna Manru, or Vernon Francis is equally valid.</w:t>
            </w:r>
          </w:p>
        </w:tc>
      </w:tr>
    </w:tbl>
    <w:p>
      <w:pPr>
        <w:pStyle w:val="Default"/>
        <w:spacing w:before="0" w:after="160" w:line="240" w:lineRule="auto"/>
      </w:pPr>
    </w:p>
    <w:p>
      <w:pPr>
        <w:pStyle w:val="Default"/>
        <w:spacing w:before="0" w:after="160" w:line="240" w:lineRule="auto"/>
      </w:pPr>
      <w:r>
        <w:rPr>
          <w:rFonts w:ascii="Arial Unicode MS" w:hAnsi="Arial Unicode MS" w:cs="Arial Unicode MS" w:eastAsia="Arial Unicode MS"/>
          <w:b w:val="0"/>
          <w:i w:val="0"/>
          <w:color w:val="000000"/>
          <w:sz w:val="20"/>
        </w:rPr>
        <w:t>We would rather walk through any remaining point on a call than leave a gap on your file. The portal is how we work with you. Comfort using it is part of that work.</w:t>
      </w:r>
    </w:p>
    <w:p>
      <w:bookmarkStart w:id="12" w:name="c12"/>
      <w:pPr>
        <w:pStyle w:val="Heading1"/>
        <w:keepNext/>
        <w:spacing w:before="120" w:after="160" w:line="240" w:lineRule="auto"/>
      </w:pPr>
      <w:r>
        <w:rPr>
          <w:rFonts w:ascii="Arial Unicode MS" w:hAnsi="Arial Unicode MS" w:cs="Arial Unicode MS" w:eastAsia="Arial Unicode MS"/>
          <w:b w:val="0"/>
          <w:i w:val="0"/>
          <w:color w:val="000000"/>
          <w:sz w:val="50"/>
        </w:rPr>
        <w:t>What we ask of you after the webinar</w:t>
      </w:r>
      <w:bookmarkEnd w:id="12"/>
    </w:p>
    <w:p>
      <w:pPr>
        <w:pStyle w:val="ListParagraph"/>
        <w:spacing w:before="0" w:after="80" w:line="240" w:lineRule="auto"/>
        <w:ind w:left="360"/>
      </w:pPr>
      <w:r>
        <w:rPr>
          <w:rFonts w:ascii="Arial Unicode MS" w:hAnsi="Arial Unicode MS" w:cs="Arial Unicode MS" w:eastAsia="Arial Unicode MS"/>
          <w:b w:val="0"/>
          <w:i w:val="0"/>
          <w:color w:val="000000"/>
          <w:sz w:val="20"/>
        </w:rPr>
        <w:t>1. Name your service-provider administrator if you have not already.</w:t>
      </w:r>
    </w:p>
    <w:p>
      <w:pPr>
        <w:pStyle w:val="ListParagraph"/>
        <w:spacing w:before="0" w:after="80" w:line="240" w:lineRule="auto"/>
        <w:ind w:left="360"/>
      </w:pPr>
      <w:r>
        <w:rPr>
          <w:rFonts w:ascii="Arial Unicode MS" w:hAnsi="Arial Unicode MS" w:cs="Arial Unicode MS" w:eastAsia="Arial Unicode MS"/>
          <w:b w:val="0"/>
          <w:i w:val="0"/>
          <w:color w:val="000000"/>
          <w:sz w:val="20"/>
        </w:rPr>
        <w:t>2. Connect an authenticator app on every account that will be used.</w:t>
      </w:r>
    </w:p>
    <w:p>
      <w:pPr>
        <w:pStyle w:val="ListParagraph"/>
        <w:spacing w:before="0" w:after="80" w:line="240" w:lineRule="auto"/>
        <w:ind w:left="360"/>
      </w:pPr>
      <w:r>
        <w:rPr>
          <w:rFonts w:ascii="Arial Unicode MS" w:hAnsi="Arial Unicode MS" w:cs="Arial Unicode MS" w:eastAsia="Arial Unicode MS"/>
          <w:b w:val="0"/>
          <w:i w:val="0"/>
          <w:color w:val="000000"/>
          <w:sz w:val="20"/>
        </w:rPr>
        <w:t>3. Bookmark https://portal.tmantoinelaw.com and treat any other host as suspect.</w:t>
      </w:r>
    </w:p>
    <w:p>
      <w:pPr>
        <w:pStyle w:val="ListParagraph"/>
        <w:spacing w:before="0" w:after="80" w:line="240" w:lineRule="auto"/>
        <w:ind w:left="360"/>
      </w:pPr>
      <w:r>
        <w:rPr>
          <w:rFonts w:ascii="Arial Unicode MS" w:hAnsi="Arial Unicode MS" w:cs="Arial Unicode MS" w:eastAsia="Arial Unicode MS"/>
          <w:b w:val="0"/>
          <w:i w:val="0"/>
          <w:color w:val="000000"/>
          <w:sz w:val="20"/>
        </w:rPr>
        <w:t>4. Use Bespoke AI for 'how does this screen work' questions.</w:t>
      </w:r>
    </w:p>
    <w:p>
      <w:pPr>
        <w:pStyle w:val="ListParagraph"/>
        <w:spacing w:before="0" w:after="80" w:line="240" w:lineRule="auto"/>
        <w:ind w:left="360"/>
      </w:pPr>
      <w:r>
        <w:rPr>
          <w:rFonts w:ascii="Arial Unicode MS" w:hAnsi="Arial Unicode MS" w:cs="Arial Unicode MS" w:eastAsia="Arial Unicode MS"/>
          <w:b w:val="0"/>
          <w:i w:val="0"/>
          <w:color w:val="000000"/>
          <w:sz w:val="20"/>
        </w:rPr>
        <w:t>5. Use support@tmantoinelaw.com or Messages for faults, never for sharing codes.</w:t>
      </w:r>
    </w:p>
    <w:p>
      <w:pPr>
        <w:pStyle w:val="ListParagraph"/>
        <w:spacing w:before="0" w:after="80" w:line="240" w:lineRule="auto"/>
        <w:ind w:left="360"/>
      </w:pPr>
      <w:r>
        <w:rPr>
          <w:rFonts w:ascii="Arial Unicode MS" w:hAnsi="Arial Unicode MS" w:cs="Arial Unicode MS" w:eastAsia="Arial Unicode MS"/>
          <w:b w:val="0"/>
          <w:i w:val="0"/>
          <w:color w:val="000000"/>
          <w:sz w:val="20"/>
        </w:rPr>
        <w:t>6. Keep this briefing with your compliance file.</w:t>
      </w:r>
    </w:p>
    <w:p>
      <w:pPr>
        <w:pStyle w:val="Default"/>
        <w:spacing w:before="0" w:after="160" w:line="240" w:lineRule="auto"/>
      </w:pPr>
      <w:r>
        <w:rPr>
          <w:rFonts w:ascii="Arial Unicode MS" w:hAnsi="Arial Unicode MS" w:cs="Arial Unicode MS" w:eastAsia="Arial Unicode MS"/>
          <w:b w:val="0"/>
          <w:i w:val="0"/>
          <w:color w:val="000000"/>
          <w:sz w:val="20"/>
        </w:rPr>
        <w:t>Thank you for reading this as carefully as you read a client's file. That is the standard we are holding the portal to.</w:t>
      </w:r>
    </w:p>
    <w:p>
      <w:pPr>
        <w:sectPr w:rsidR="006F70A6" w:rsidSect="00D030DA">
          <w:type w:val="nextPage"/>
          <w:footerReference w:type="default" r:id="rId23"/>
          <w:headerReference w:type="default" r:id="rId24"/>
          <w:pgSz w:w="11906" w:h="16838"/>
          <w:pgMar w:top="720" w:right="720" w:bottom="720" w:left="720" w:header="720" w:footer="720" w:gutter="0"/>
          <w:cols w:space="720"/>
          <w:docGrid w:linePitch="360"/>
          <w:pgNumType w:start="1"/>
        </w:sectPr>
      </w:pPr>
    </w:p>
    <w:p>
      <w:pPr>
        <w:pStyle w:val="Default"/>
      </w:pPr>
      <w:r>
        <w:br w:type="page"/>
      </w:r>
    </w:p>
    <w:p w14:paraId="6EA0A7C3" w14:textId="6BF8CF3D" w:rsidR="00465289" w:rsidRPr="00D05DDF" w:rsidRDefault="00465289">
      <w:r w:rsidRPr="00D05DDF">
        <w:rPr>
          <w:rFonts w:ascii="Arial Unicode MS" w:hAnsi="Arial Unicode MS" w:cs="Arial Unicode MS"/>
          <w:noProof/>
          <w:color w:val="000000"/>
          <w14:textOutline w14:w="0" w14:cap="flat" w14:cmpd="sng" w14:algn="ctr">
            <w14:noFill/>
            <w14:prstDash w14:val="solid"/>
            <w14:bevel/>
          </w14:textOutline>
        </w:rPr>
        <w:lastRenderedPageBreak/>
        <w:drawing>
          <wp:anchor distT="152400" distB="152400" distL="152400" distR="152400" simplePos="0" relativeHeight="251663360" behindDoc="0" locked="0" layoutInCell="1" allowOverlap="1" wp14:anchorId="43333F76" wp14:editId="7F0F68C1">
            <wp:simplePos x="0" y="0"/>
            <wp:positionH relativeFrom="page">
              <wp:posOffset>17145</wp:posOffset>
            </wp:positionH>
            <wp:positionV relativeFrom="page">
              <wp:posOffset>0</wp:posOffset>
            </wp:positionV>
            <wp:extent cx="7585403" cy="10726615"/>
            <wp:effectExtent l="0" t="0" r="0" b="5080"/>
            <wp:wrapTopAndBottom distT="152400" distB="152400"/>
            <wp:docPr id="1073741831" name="officeArt object" descr="Thank You.jpg"/>
            <wp:cNvGraphicFramePr/>
            <a:graphic xmlns:a="http://schemas.openxmlformats.org/drawingml/2006/main">
              <a:graphicData uri="http://schemas.openxmlformats.org/drawingml/2006/picture">
                <pic:pic xmlns:pic="http://schemas.openxmlformats.org/drawingml/2006/picture">
                  <pic:nvPicPr>
                    <pic:cNvPr id="1073741831" name="Thank You.jpg" descr="Thank You.jpg"/>
                    <pic:cNvPicPr>
                      <a:picLocks noChangeAspect="1"/>
                    </pic:cNvPicPr>
                  </pic:nvPicPr>
                  <pic:blipFill>
                    <a:blip r:embed="rId7"/>
                    <a:stretch>
                      <a:fillRect/>
                    </a:stretch>
                  </pic:blipFill>
                  <pic:spPr>
                    <a:xfrm>
                      <a:off x="0" y="0"/>
                      <a:ext cx="7585403" cy="10726615"/>
                    </a:xfrm>
                    <a:prstGeom prst="rect">
                      <a:avLst/>
                    </a:prstGeom>
                    <a:ln w="12700" cap="flat">
                      <a:noFill/>
                      <a:miter lim="400000"/>
                    </a:ln>
                    <a:effectLst/>
                  </pic:spPr>
                </pic:pic>
              </a:graphicData>
            </a:graphic>
            <wp14:sizeRelH relativeFrom="margin">
              <wp14:pctWidth>0</wp14:pctWidth>
            </wp14:sizeRelH>
            <wp14:sizeRelV relativeFrom="margin">
              <wp14:pctHeight>0</wp14:pctHeight>
            </wp14:sizeRelV>
          </wp:anchor>
        </w:drawing>
      </w:r>
    </w:p>
    <w:sectPr w:rsidR="006F70A6" w:rsidSect="00D030DA">
      <w:footerReference w:type="default" r:id="rId23"/>
      <w:headerReference w:type="default" r:id="rId24"/>
      <w:pgSz w:w="11906" w:h="16838"/>
      <w:pgMar w:top="720" w:right="720" w:bottom="720" w:left="720" w:header="720" w:footer="720" w:gutter="0"/>
      <w:cols w:space="720"/>
      <w:docGrid w:linePitch="360"/>
      <w:pgNumType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Arial Unicode MS">
    <w:panose1 w:val="02020603050405020304"/>
    <w:charset w:val="00"/>
    <w:family w:val="roman"/>
    <w:pitch w:val="variable"/>
    <w:sig w:usb0="E0002EFF" w:usb1="C000785B" w:usb2="00000009" w:usb3="00000000" w:csb0="000001FF" w:csb1="00000000"/>
  </w:font>
  <w:font w:name="Arial Unicode MS">
    <w:panose1 w:val="020B0004020202020204"/>
    <w:charset w:val="00"/>
    <w:family w:val="swiss"/>
    <w:pitch w:val="variable"/>
    <w:sig w:usb0="20000287" w:usb1="00000003" w:usb2="00000000" w:usb3="00000000" w:csb0="0000019F" w:csb1="00000000"/>
  </w:font>
  <w:font w:name="Arial Unicode MS">
    <w:panose1 w:val="020B0004020202020204"/>
    <w:charset w:val="00"/>
    <w:family w:val="swiss"/>
    <w:pitch w:val="variable"/>
    <w:sig w:usb0="20000287" w:usb1="00000003" w:usb2="00000000" w:usb3="00000000" w:csb0="0000019F" w:csb1="00000000"/>
  </w:font>
  <w:font w:name="Arial Unicode MS">
    <w:panose1 w:val="02000503000000020004"/>
    <w:charset w:val="00"/>
    <w:family w:val="auto"/>
    <w:pitch w:val="variable"/>
    <w:sig w:usb0="E50002FF" w:usb1="500079DB" w:usb2="00000010" w:usb3="00000000" w:csb0="00000001" w:csb1="00000000"/>
  </w:font>
  <w:font w:name="Arial Unicode MS">
    <w:panose1 w:val="020B0604020202020204"/>
    <w:charset w:val="80"/>
    <w:family w:val="swiss"/>
    <w:pitch w:val="variable"/>
    <w:sig w:usb0="F7FFAFFF" w:usb1="E9DFFFFF" w:usb2="0000003F" w:usb3="00000000" w:csb0="003F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left"/>
    </w:pPr>
    <w:r>
      <w:rPr>
        <w:rFonts w:ascii="Arial Unicode MS" w:hAnsi="Arial Unicode MS" w:cs="Arial Unicode MS" w:eastAsia="Arial Unicode MS"/>
        <w:b w:val="0"/>
        <w:i w:val="0"/>
        <w:color w:val="136DA0"/>
        <w:sz w:val="18"/>
      </w:rPr>
      <w:t>TM ANTOINE Advisory Portal</w:t>
    </w:r>
    <w:r>
      <w:rPr>
        <w:rFonts w:ascii="Arial Unicode MS" w:hAnsi="Arial Unicode MS" w:cs="Arial Unicode MS" w:eastAsia="Arial Unicode MS"/>
        <w:b w:val="0"/>
        <w:i w:val="0"/>
        <w:color w:val="000000"/>
        <w:sz w:val="18"/>
      </w:rPr>
      <w:t xml:space="preserve">    </w:t>
    </w:r>
    <w:r>
      <w:fldChar w:fldCharType="begin"/>
    </w:r>
    <w:r>
      <w:instrText xml:space="preserve"> PAGE </w:instrText>
    </w:r>
    <w:r>
      <w:fldChar w:fldCharType="separate"/>
    </w:r>
    <w:r>
      <w:rPr>
        <w:rFonts w:ascii="Arial Unicode MS" w:hAnsi="Arial Unicode MS" w:cs="Arial Unicode MS" w:eastAsia="Arial Unicode MS"/>
        <w:b w:val="0"/>
        <w:i w:val="0"/>
        <w:color w:val="136DA0"/>
        <w:sz w:val="20"/>
      </w:rPr>
      <w:t xml:space="preserve"> </w:t>
    </w:r>
    <w:r>
      <w:fldChar w:fldCharType="end"/>
    </w:r>
    <w:r>
      <w:rPr>
        <w:rFonts w:ascii="Arial Unicode MS" w:hAnsi="Arial Unicode MS" w:cs="Arial Unicode MS" w:eastAsia="Arial Unicode MS"/>
        <w:b w:val="0"/>
        <w:i w:val="0"/>
        <w:color w:val="136DA0"/>
        <w:sz w:val="18"/>
      </w:rPr>
      <w:t xml:space="preserve">  ·  Confidential</w:t>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left"/>
    </w:pPr>
    <w: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
      <w:rPr>
        <w:rFonts w:ascii="Arial Unicode MS" w:hAnsi="Arial Unicode MS" w:cs="Arial Unicode MS" w:eastAsia="Arial Unicode MS"/>
        <w:b w:val="0"/>
        <w:i w:val="0"/>
        <w:color w:val="136DA0"/>
        <w:sz w:val="18"/>
      </w:rPr>
      <w:t>Service Provider Portal Briefing</w:t>
    </w: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32150400"/>
    <w:multiLevelType w:val="multilevel"/>
    <w:tmpl w:val="685E3DB8"/>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num w:numId="1" w16cid:durableId="199706723">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31"/>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65289"/>
    <w:rsid w:val="00224634"/>
    <w:rsid w:val="002A08A3"/>
    <w:rsid w:val="002A6374"/>
    <w:rsid w:val="00380F93"/>
    <w:rsid w:val="003A2DCE"/>
    <w:rsid w:val="00465289"/>
    <w:rsid w:val="004A290F"/>
    <w:rsid w:val="006F70A6"/>
    <w:rsid w:val="00887343"/>
    <w:rsid w:val="008D022D"/>
    <w:rsid w:val="0093640B"/>
    <w:rsid w:val="00D030DA"/>
    <w:rsid w:val="00D05DDF"/>
    <w:rsid w:val="00D61E49"/>
    <w:rsid w:val="00E96021"/>
    <w:rsid w:val="00F02305"/>
    <w:rsid w:val="00FF235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789F8156"/>
  <w15:chartTrackingRefBased/>
  <w15:docId w15:val="{1569A9E8-CC6E-374B-8E0C-054146E164E2}"/>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6528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46528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46528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6528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6528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6528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6528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6528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6528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6528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46528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46528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6528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6528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6528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6528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6528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65289"/>
    <w:rPr>
      <w:rFonts w:eastAsiaTheme="majorEastAsia" w:cstheme="majorBidi"/>
      <w:color w:val="272727" w:themeColor="text1" w:themeTint="D8"/>
    </w:rPr>
  </w:style>
  <w:style w:type="paragraph" w:styleId="Title">
    <w:name w:val="Title"/>
    <w:basedOn w:val="Normal"/>
    <w:next w:val="Normal"/>
    <w:link w:val="TitleChar"/>
    <w:uiPriority w:val="10"/>
    <w:qFormat/>
    <w:rsid w:val="0046528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6528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6528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6528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65289"/>
    <w:pPr>
      <w:spacing w:before="160"/>
      <w:jc w:val="center"/>
    </w:pPr>
    <w:rPr>
      <w:i/>
      <w:iCs/>
      <w:color w:val="404040" w:themeColor="text1" w:themeTint="BF"/>
    </w:rPr>
  </w:style>
  <w:style w:type="character" w:customStyle="1" w:styleId="QuoteChar">
    <w:name w:val="Quote Char"/>
    <w:basedOn w:val="DefaultParagraphFont"/>
    <w:link w:val="Quote"/>
    <w:uiPriority w:val="29"/>
    <w:rsid w:val="00465289"/>
    <w:rPr>
      <w:i/>
      <w:iCs/>
      <w:color w:val="404040" w:themeColor="text1" w:themeTint="BF"/>
    </w:rPr>
  </w:style>
  <w:style w:type="paragraph" w:styleId="ListParagraph">
    <w:name w:val="List Paragraph"/>
    <w:basedOn w:val="Normal"/>
    <w:uiPriority w:val="34"/>
    <w:qFormat/>
    <w:rsid w:val="00465289"/>
    <w:pPr>
      <w:ind w:left="720"/>
      <w:contextualSpacing/>
    </w:pPr>
  </w:style>
  <w:style w:type="character" w:styleId="IntenseEmphasis">
    <w:name w:val="Intense Emphasis"/>
    <w:basedOn w:val="DefaultParagraphFont"/>
    <w:uiPriority w:val="21"/>
    <w:qFormat/>
    <w:rsid w:val="00465289"/>
    <w:rPr>
      <w:i/>
      <w:iCs/>
      <w:color w:val="0F4761" w:themeColor="accent1" w:themeShade="BF"/>
    </w:rPr>
  </w:style>
  <w:style w:type="paragraph" w:styleId="IntenseQuote">
    <w:name w:val="Intense Quote"/>
    <w:basedOn w:val="Normal"/>
    <w:next w:val="Normal"/>
    <w:link w:val="IntenseQuoteChar"/>
    <w:uiPriority w:val="30"/>
    <w:qFormat/>
    <w:rsid w:val="0046528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65289"/>
    <w:rPr>
      <w:i/>
      <w:iCs/>
      <w:color w:val="0F4761" w:themeColor="accent1" w:themeShade="BF"/>
    </w:rPr>
  </w:style>
  <w:style w:type="character" w:styleId="IntenseReference">
    <w:name w:val="Intense Reference"/>
    <w:basedOn w:val="DefaultParagraphFont"/>
    <w:uiPriority w:val="32"/>
    <w:qFormat/>
    <w:rsid w:val="00465289"/>
    <w:rPr>
      <w:b/>
      <w:bCs/>
      <w:smallCaps/>
      <w:color w:val="0F4761" w:themeColor="accent1" w:themeShade="BF"/>
      <w:spacing w:val="5"/>
    </w:rPr>
  </w:style>
  <w:style w:type="paragraph" w:customStyle="1" w:styleId="Default">
    <w:name w:val="Default"/>
    <w:rsid w:val="00D030DA"/>
    <w:pPr>
      <w:pBdr>
        <w:top w:val="nil"/>
        <w:left w:val="nil"/>
        <w:bottom w:val="nil"/>
        <w:right w:val="nil"/>
        <w:between w:val="nil"/>
        <w:bar w:val="nil"/>
      </w:pBdr>
      <w:spacing w:before="160" w:after="0" w:line="288" w:lineRule="auto"/>
    </w:pPr>
    <w:rPr>
      <w:rFonts w:ascii="Arial Unicode MS" w:eastAsia="Arial Unicode MS" w:hAnsi="Arial Unicode MS" w:cs="Arial Unicode MS"/>
      <w:color w:val="000000"/>
      <w:kern w:val="0"/>
      <w:bdr w:val="nil"/>
      <w14:textOutline w14:w="0" w14:cap="flat" w14:cmpd="sng" w14:algn="ctr">
        <w14:noFill/>
        <w14:prstDash w14:val="solid"/>
        <w14:bevel/>
      </w14:textOutline>
      <w14:ligatures w14:val="none"/>
    </w:rPr>
  </w:style>
  <w:style w:type="character" w:styleId="Hyperlink">
    <w:name w:val="Hyperlink"/>
    <w:rsid w:val="00D05DDF"/>
    <w:rPr>
      <w:u w:val="single"/>
    </w:rPr>
  </w:style>
  <w:style w:type="table" w:customStyle="1" w:styleId="Style1">
    <w:name w:val="Style1"/>
    <w:basedOn w:val="TableNormal"/>
    <w:rsid w:val="00D05DDF"/>
    <w:pPr>
      <w:spacing w:after="0" w:line="240" w:lineRule="auto"/>
    </w:pPr>
    <w:rPr>
      <w:rFonts w:ascii="Arial Unicode MS" w:eastAsia="Arial Unicode MS" w:hAnsi="Arial Unicode MS" w:cs="Arial Unicode MS"/>
      <w:kern w:val="0"/>
      <w:sz w:val="20"/>
      <w:szCs w:val="20"/>
      <w:bdr w:val="nil"/>
      <w14:ligatures w14:val="none"/>
    </w:rPr>
    <w:tblPr/>
  </w:style>
  <w:style w:type="character" w:styleId="BookTitle">
    <w:name w:val="Book Title"/>
    <w:basedOn w:val="DefaultParagraphFont"/>
    <w:uiPriority w:val="33"/>
    <w:qFormat/>
    <w:rsid w:val="006F70A6"/>
    <w:rPr>
      <w:b/>
      <w:bCs/>
      <w:i/>
      <w:iCs/>
      <w:spacing w:val="5"/>
    </w:rPr>
  </w:style>
  <w:style w:type="paragraph" w:styleId="Caption">
    <w:name w:val="caption"/>
    <w:basedOn w:val="Normal"/>
    <w:next w:val="Normal"/>
    <w:uiPriority w:val="35"/>
    <w:semiHidden/>
    <w:unhideWhenUsed/>
    <w:qFormat/>
    <w:rsid w:val="006F70A6"/>
    <w:pPr>
      <w:spacing w:after="200" w:line="240" w:lineRule="auto"/>
    </w:pPr>
    <w:rPr>
      <w:i/>
      <w:iCs/>
      <w:color w:val="0E2841" w:themeColor="text2"/>
      <w:sz w:val="18"/>
      <w:szCs w:val="18"/>
    </w:rPr>
  </w:style>
  <w:style w:type="character" w:styleId="Emphasis">
    <w:name w:val="Emphasis"/>
    <w:basedOn w:val="DefaultParagraphFont"/>
    <w:uiPriority w:val="20"/>
    <w:qFormat/>
    <w:rsid w:val="006F70A6"/>
    <w:rPr>
      <w:i/>
      <w:iCs/>
    </w:rPr>
  </w:style>
  <w:style w:type="paragraph" w:styleId="NoSpacing">
    <w:name w:val="No Spacing"/>
    <w:uiPriority w:val="1"/>
    <w:qFormat/>
    <w:rsid w:val="006F70A6"/>
    <w:pPr>
      <w:spacing w:after="0" w:line="240" w:lineRule="auto"/>
    </w:pPr>
  </w:style>
  <w:style w:type="character" w:styleId="Strong">
    <w:name w:val="Strong"/>
    <w:basedOn w:val="DefaultParagraphFont"/>
    <w:uiPriority w:val="22"/>
    <w:qFormat/>
    <w:rsid w:val="006F70A6"/>
    <w:rPr>
      <w:b/>
      <w:bCs/>
    </w:rPr>
  </w:style>
  <w:style w:type="character" w:styleId="SubtleEmphasis">
    <w:name w:val="Subtle Emphasis"/>
    <w:basedOn w:val="DefaultParagraphFont"/>
    <w:uiPriority w:val="19"/>
    <w:qFormat/>
    <w:rsid w:val="006F70A6"/>
    <w:rPr>
      <w:i/>
      <w:iCs/>
      <w:color w:val="404040" w:themeColor="text1" w:themeTint="BF"/>
    </w:rPr>
  </w:style>
  <w:style w:type="character" w:styleId="SubtleReference">
    <w:name w:val="Subtle Reference"/>
    <w:basedOn w:val="DefaultParagraphFont"/>
    <w:uiPriority w:val="31"/>
    <w:qFormat/>
    <w:rsid w:val="006F70A6"/>
    <w:rPr>
      <w:smallCaps/>
      <w:color w:val="5A5A5A" w:themeColor="text1" w:themeTint="A5"/>
    </w:rPr>
  </w:style>
  <w:style w:type="paragraph" w:styleId="TOCHeading">
    <w:name w:val="TOC Heading"/>
    <w:basedOn w:val="Heading1"/>
    <w:next w:val="Normal"/>
    <w:uiPriority w:val="39"/>
    <w:semiHidden/>
    <w:unhideWhenUsed/>
    <w:qFormat/>
    <w:rsid w:val="006F70A6"/>
    <w:pPr>
      <w:spacing w:before="240" w:after="0"/>
      <w:outlineLvl w:val="9"/>
    </w:pPr>
    <w:rPr>
      <w:sz w:val="32"/>
      <w:szCs w:val="32"/>
    </w:rPr>
  </w:style>
  <w:style w:type="paragraph" w:styleId="NormalWeb">
    <w:name w:val="Normal (Web)"/>
    <w:basedOn w:val="Normal"/>
    <w:uiPriority w:val="99"/>
    <w:semiHidden/>
    <w:unhideWhenUsed/>
    <w:rsid w:val="006F70A6"/>
    <w:pPr>
      <w:spacing w:before="100" w:beforeAutospacing="1" w:after="100" w:afterAutospacing="1" w:line="240" w:lineRule="auto"/>
    </w:pPr>
    <w:rPr>
      <w:rFonts w:ascii="Arial Unicode MS" w:hAnsi="Arial Unicode MS" w:cs="Arial Unicode MS"/>
      <w:kern w:val="0"/>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jpe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jpeg"/><Relationship Id="rId4" Type="http://schemas.openxmlformats.org/officeDocument/2006/relationships/webSettings" Target="webSettings.xml"/><Relationship Id="rId9" Type="http://schemas.openxmlformats.org/officeDocument/2006/relationships/theme" Target="theme/theme1.xml"/><Relationship Id="rId10" Type="http://schemas.openxmlformats.org/officeDocument/2006/relationships/image" Target="media/image4.png"/><Relationship Id="rId11" Type="http://schemas.openxmlformats.org/officeDocument/2006/relationships/image" Target="media/image5.png"/><Relationship Id="rId12" Type="http://schemas.openxmlformats.org/officeDocument/2006/relationships/image" Target="media/image6.png"/><Relationship Id="rId13" Type="http://schemas.openxmlformats.org/officeDocument/2006/relationships/image" Target="media/image7.png"/><Relationship Id="rId14" Type="http://schemas.openxmlformats.org/officeDocument/2006/relationships/image" Target="media/image8.png"/><Relationship Id="rId15" Type="http://schemas.openxmlformats.org/officeDocument/2006/relationships/image" Target="media/image9.png"/><Relationship Id="rId16" Type="http://schemas.openxmlformats.org/officeDocument/2006/relationships/image" Target="media/image10.png"/><Relationship Id="rId17" Type="http://schemas.openxmlformats.org/officeDocument/2006/relationships/image" Target="media/image11.png"/><Relationship Id="rId18" Type="http://schemas.openxmlformats.org/officeDocument/2006/relationships/image" Target="media/image12.png"/><Relationship Id="rId19" Type="http://schemas.openxmlformats.org/officeDocument/2006/relationships/footer" Target="footer1.xml"/><Relationship Id="rId20" Type="http://schemas.openxmlformats.org/officeDocument/2006/relationships/header" Target="header1.xml"/><Relationship Id="rId21" Type="http://schemas.openxmlformats.org/officeDocument/2006/relationships/footer" Target="footer2.xml"/><Relationship Id="rId22" Type="http://schemas.openxmlformats.org/officeDocument/2006/relationships/header" Target="header2.xml"/><Relationship Id="rId23" Type="http://schemas.openxmlformats.org/officeDocument/2006/relationships/footer" Target="footer3.xml"/><Relationship Id="rId24" Type="http://schemas.openxmlformats.org/officeDocument/2006/relationships/header" Target="header3.xml"/><Relationship Id="rId25" Type="http://schemas.openxmlformats.org/officeDocument/2006/relationships/image" Target="media/image13.png"/><Relationship Id="rId26" Type="http://schemas.openxmlformats.org/officeDocument/2006/relationships/image" Target="media/image14.png"/><Relationship Id="rId27" Type="http://schemas.openxmlformats.org/officeDocument/2006/relationships/image" Target="media/image15.png"/><Relationship Id="rId28" Type="http://schemas.openxmlformats.org/officeDocument/2006/relationships/image" Target="media/image16.png"/><Relationship Id="rId29" Type="http://schemas.openxmlformats.org/officeDocument/2006/relationships/image" Target="media/image17.png"/><Relationship Id="rId30" Type="http://schemas.openxmlformats.org/officeDocument/2006/relationships/footer" Target="footer4.xml"/><Relationship Id="rId31" Type="http://schemas.openxmlformats.org/officeDocument/2006/relationships/header" Target="header4.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rial Unicode MS" panose="02110004020202020204"/>
        <a:ea typeface=""/>
        <a:cs typeface=""/>
        <a:font script="Jpan" typeface="游ゴシック Light"/>
        <a:font script="Hang" typeface="맑은 고딕"/>
        <a:font script="Hans" typeface="等线 Light"/>
        <a:font script="Hant" typeface="新細明體"/>
        <a:font script="Arab" typeface="Arial Unicode MS"/>
        <a:font script="Hebr" typeface="Arial Unicode MS"/>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Unicode MS"/>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rial Unicode M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85</TotalTime>
  <Pages>8</Pages>
  <Words>642</Words>
  <Characters>3984</Characters>
  <Application>Microsoft Office Word</Application>
  <DocSecurity>0</DocSecurity>
  <Lines>185</Lines>
  <Paragraphs>75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4556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Vernon Francis</dc:creator>
  <cp:keywords/>
  <dc:description/>
  <cp:lastModifiedBy>info@igraphixmktg.com</cp:lastModifiedBy>
  <cp:revision>3</cp:revision>
  <dcterms:created xsi:type="dcterms:W3CDTF">2026-09-06T05:33:00Z</dcterms:created>
  <dcterms:modified xsi:type="dcterms:W3CDTF">2026-09-06T08:56:00Z</dcterms:modified>
</cp:coreProperties>
</file>